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宋体" w:hAnsi="宋体"/>
          <w:b/>
          <w:bCs/>
          <w:color w:val="000000" w:themeColor="text1"/>
          <w:sz w:val="52"/>
          <w:szCs w:val="52"/>
          <w14:textFill>
            <w14:solidFill>
              <w14:schemeClr w14:val="tx1"/>
            </w14:solidFill>
          </w14:textFill>
        </w:rPr>
      </w:pPr>
    </w:p>
    <w:p>
      <w:pPr>
        <w:tabs>
          <w:tab w:val="left" w:pos="420"/>
        </w:tabs>
        <w:spacing w:line="1700" w:lineRule="exact"/>
        <w:jc w:val="center"/>
        <w:rPr>
          <w:rFonts w:ascii="微软简标宋"/>
          <w:b/>
          <w:bCs/>
          <w:color w:val="000000" w:themeColor="text1"/>
          <w:sz w:val="52"/>
          <w14:textFill>
            <w14:solidFill>
              <w14:schemeClr w14:val="tx1"/>
            </w14:solidFill>
          </w14:textFill>
        </w:rPr>
      </w:pPr>
      <w:r>
        <w:rPr>
          <w:rFonts w:hint="eastAsia" w:ascii="微软简标宋"/>
          <w:b/>
          <w:bCs/>
          <w:color w:val="000000" w:themeColor="text1"/>
          <w:sz w:val="52"/>
          <w14:textFill>
            <w14:solidFill>
              <w14:schemeClr w14:val="tx1"/>
            </w14:solidFill>
          </w14:textFill>
        </w:rPr>
        <w:t>服务类标准招标文件</w:t>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5220"/>
          <w:tab w:val="left" w:pos="8820"/>
        </w:tabs>
        <w:spacing w:line="500" w:lineRule="exact"/>
        <w:rPr>
          <w:rFonts w:ascii="微软简标宋"/>
          <w:bCs/>
          <w:color w:val="000000" w:themeColor="text1"/>
          <w:sz w:val="52"/>
          <w14:textFill>
            <w14:solidFill>
              <w14:schemeClr w14:val="tx1"/>
            </w14:solidFill>
          </w14:textFill>
        </w:rPr>
      </w:pP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spacing w:line="360" w:lineRule="auto"/>
        <w:jc w:val="left"/>
        <w:rPr>
          <w:rFonts w:ascii="宋体" w:hAnsi="宋体"/>
          <w:color w:val="000000" w:themeColor="text1"/>
          <w:szCs w:val="21"/>
          <w14:textFill>
            <w14:solidFill>
              <w14:schemeClr w14:val="tx1"/>
            </w14:solidFill>
          </w14:textFill>
        </w:rPr>
      </w:pPr>
    </w:p>
    <w:p>
      <w:pPr>
        <w:widowControl/>
        <w:jc w:val="center"/>
        <w:rPr>
          <w:rFonts w:ascii="宋体" w:hAnsi="宋体" w:cs="宋体"/>
          <w:color w:val="000000" w:themeColor="text1"/>
          <w:kern w:val="0"/>
          <w:sz w:val="24"/>
          <w:szCs w:val="24"/>
          <w14:textFill>
            <w14:solidFill>
              <w14:schemeClr w14:val="tx1"/>
            </w14:solidFill>
          </w14:textFill>
        </w:rPr>
      </w:pPr>
      <w:r>
        <w:rPr>
          <w:color w:val="000000" w:themeColor="text1"/>
          <w14:textFill>
            <w14:solidFill>
              <w14:schemeClr w14:val="tx1"/>
            </w14:solidFill>
          </w14:textFill>
        </w:rPr>
        <w:drawing>
          <wp:inline distT="0" distB="0" distL="0" distR="0">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000000" w:themeColor="text1"/>
          <w:sz w:val="44"/>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s>
        <w:autoSpaceDE w:val="0"/>
        <w:autoSpaceDN w:val="0"/>
        <w:adjustRightInd w:val="0"/>
        <w:snapToGrid w:val="0"/>
        <w:spacing w:line="360" w:lineRule="auto"/>
        <w:ind w:firstLine="723" w:firstLineChars="200"/>
        <w:rPr>
          <w:rFonts w:ascii="宋体" w:hAnsi="DotumChe" w:cs="宋体"/>
          <w:b/>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项目名称：合肥体育中心及天鹅湖全民健身中心2022年度消防维保服务</w:t>
      </w:r>
    </w:p>
    <w:p>
      <w:pPr>
        <w:tabs>
          <w:tab w:val="left" w:pos="2410"/>
        </w:tabs>
        <w:autoSpaceDE w:val="0"/>
        <w:autoSpaceDN w:val="0"/>
        <w:adjustRightInd w:val="0"/>
        <w:snapToGrid w:val="0"/>
        <w:spacing w:line="360" w:lineRule="auto"/>
        <w:ind w:firstLine="723" w:firstLineChars="200"/>
        <w:rPr>
          <w:rFonts w:hint="eastAsia" w:ascii="宋体" w:hAnsi="DotumChe" w:cs="宋体"/>
          <w:b/>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项目编号：2021WLBLZB00</w:t>
      </w:r>
      <w:r>
        <w:rPr>
          <w:rFonts w:hint="eastAsia" w:ascii="宋体" w:hAnsi="DotumChe" w:cs="宋体"/>
          <w:b/>
          <w:color w:val="000000" w:themeColor="text1"/>
          <w:spacing w:val="20"/>
          <w:kern w:val="0"/>
          <w:sz w:val="32"/>
          <w:szCs w:val="32"/>
          <w:lang w:val="en-US" w:eastAsia="zh-CN"/>
          <w14:textFill>
            <w14:solidFill>
              <w14:schemeClr w14:val="tx1"/>
            </w14:solidFill>
          </w14:textFill>
        </w:rPr>
        <w:t>98</w:t>
      </w:r>
      <w:r>
        <w:rPr>
          <w:rFonts w:hint="eastAsia" w:ascii="宋体" w:hAnsi="DotumChe" w:cs="宋体"/>
          <w:b/>
          <w:color w:val="000000" w:themeColor="text1"/>
          <w:spacing w:val="20"/>
          <w:kern w:val="0"/>
          <w:sz w:val="32"/>
          <w:szCs w:val="32"/>
          <w14:textFill>
            <w14:solidFill>
              <w14:schemeClr w14:val="tx1"/>
            </w14:solidFill>
          </w14:textFill>
        </w:rPr>
        <w:t>号</w:t>
      </w:r>
    </w:p>
    <w:p>
      <w:pPr>
        <w:tabs>
          <w:tab w:val="left" w:pos="2410"/>
        </w:tabs>
        <w:autoSpaceDE w:val="0"/>
        <w:autoSpaceDN w:val="0"/>
        <w:adjustRightInd w:val="0"/>
        <w:snapToGrid w:val="0"/>
        <w:spacing w:line="360" w:lineRule="auto"/>
        <w:ind w:firstLine="723" w:firstLineChars="200"/>
        <w:rPr>
          <w:rFonts w:ascii="宋体" w:hAnsi="DotumChe" w:cs="宋体"/>
          <w:b/>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 标 人：合肥文旅博览集团有限公司</w:t>
      </w:r>
    </w:p>
    <w:p>
      <w:pPr>
        <w:tabs>
          <w:tab w:val="left" w:pos="2410"/>
        </w:tabs>
        <w:autoSpaceDE w:val="0"/>
        <w:autoSpaceDN w:val="0"/>
        <w:adjustRightInd w:val="0"/>
        <w:snapToGrid w:val="0"/>
        <w:spacing w:line="360" w:lineRule="auto"/>
        <w:ind w:firstLine="723" w:firstLineChars="200"/>
        <w:rPr>
          <w:rFonts w:ascii="宋体" w:hAnsi="DotumChe" w:cs="宋体"/>
          <w:b/>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招标时间：2021年</w:t>
      </w:r>
      <w:r>
        <w:rPr>
          <w:rFonts w:hint="eastAsia" w:ascii="宋体" w:hAnsi="DotumChe" w:cs="宋体"/>
          <w:b/>
          <w:color w:val="000000" w:themeColor="text1"/>
          <w:spacing w:val="20"/>
          <w:kern w:val="0"/>
          <w:sz w:val="32"/>
          <w:szCs w:val="32"/>
          <w:lang w:val="en-US" w:eastAsia="zh-CN"/>
          <w14:textFill>
            <w14:solidFill>
              <w14:schemeClr w14:val="tx1"/>
            </w14:solidFill>
          </w14:textFill>
        </w:rPr>
        <w:t>12</w:t>
      </w:r>
      <w:r>
        <w:rPr>
          <w:rFonts w:hint="eastAsia" w:ascii="宋体" w:hAnsi="DotumChe" w:cs="宋体"/>
          <w:b/>
          <w:color w:val="000000" w:themeColor="text1"/>
          <w:spacing w:val="20"/>
          <w:kern w:val="0"/>
          <w:sz w:val="32"/>
          <w:szCs w:val="32"/>
          <w14:textFill>
            <w14:solidFill>
              <w14:schemeClr w14:val="tx1"/>
            </w14:solidFill>
          </w14:textFill>
        </w:rPr>
        <w:t>月</w:t>
      </w:r>
    </w:p>
    <w:p>
      <w:pPr>
        <w:spacing w:line="500" w:lineRule="exact"/>
        <w:rPr>
          <w:rFonts w:ascii="黑体" w:hAnsi="宋体" w:eastAsia="黑体"/>
          <w:b/>
          <w:color w:val="000000" w:themeColor="text1"/>
          <w:sz w:val="32"/>
          <w14:textFill>
            <w14:solidFill>
              <w14:schemeClr w14:val="tx1"/>
            </w14:solidFill>
          </w14:textFill>
        </w:rPr>
      </w:pPr>
    </w:p>
    <w:p>
      <w:pPr>
        <w:spacing w:line="500" w:lineRule="exact"/>
        <w:jc w:val="center"/>
        <w:rPr>
          <w:rFonts w:ascii="黑体" w:hAnsi="宋体" w:eastAsia="黑体"/>
          <w:b/>
          <w:color w:val="000000" w:themeColor="text1"/>
          <w:sz w:val="32"/>
          <w14:textFill>
            <w14:solidFill>
              <w14:schemeClr w14:val="tx1"/>
            </w14:solidFill>
          </w14:textFill>
        </w:rPr>
      </w:pPr>
    </w:p>
    <w:p>
      <w:pPr>
        <w:spacing w:line="500" w:lineRule="exact"/>
        <w:jc w:val="center"/>
        <w:rPr>
          <w:rFonts w:ascii="黑体" w:hAnsi="宋体" w:eastAsia="黑体"/>
          <w:b/>
          <w:i w:val="0"/>
          <w:iCs w:val="0"/>
          <w:color w:val="000000" w:themeColor="text1"/>
          <w:sz w:val="32"/>
          <w14:textFill>
            <w14:solidFill>
              <w14:schemeClr w14:val="tx1"/>
            </w14:solidFill>
          </w14:textFill>
        </w:rPr>
      </w:pPr>
      <w:bookmarkStart w:id="144" w:name="_GoBack"/>
      <w:r>
        <w:rPr>
          <w:rFonts w:hint="eastAsia" w:ascii="黑体" w:hAnsi="宋体" w:eastAsia="黑体"/>
          <w:b/>
          <w:i w:val="0"/>
          <w:iCs w:val="0"/>
          <w:color w:val="000000" w:themeColor="text1"/>
          <w:sz w:val="32"/>
          <w14:textFill>
            <w14:solidFill>
              <w14:schemeClr w14:val="tx1"/>
            </w14:solidFill>
          </w14:textFill>
        </w:rPr>
        <w:t>目    录</w:t>
      </w:r>
    </w:p>
    <w:p>
      <w:pPr>
        <w:spacing w:line="500" w:lineRule="exact"/>
        <w:jc w:val="center"/>
        <w:rPr>
          <w:rFonts w:ascii="黑体" w:hAnsi="宋体" w:eastAsia="黑体"/>
          <w:b/>
          <w:i w:val="0"/>
          <w:iCs w:val="0"/>
          <w:color w:val="000000" w:themeColor="text1"/>
          <w:sz w:val="32"/>
          <w14:textFill>
            <w14:solidFill>
              <w14:schemeClr w14:val="tx1"/>
            </w14:solidFill>
          </w14:textFill>
        </w:rPr>
      </w:pPr>
    </w:p>
    <w:p>
      <w:pPr>
        <w:pStyle w:val="55"/>
        <w:tabs>
          <w:tab w:val="right" w:leader="dot" w:pos="8316"/>
          <w:tab w:val="clear" w:pos="9403"/>
        </w:tabs>
        <w:rPr>
          <w:i w:val="0"/>
          <w:iCs w:val="0"/>
        </w:rPr>
      </w:pPr>
      <w:bookmarkStart w:id="0" w:name="_Hlt519045295"/>
      <w:bookmarkEnd w:id="0"/>
      <w:bookmarkStart w:id="1" w:name="_Hlt533241375"/>
      <w:bookmarkEnd w:id="1"/>
      <w:bookmarkStart w:id="2" w:name="_Hlt526418134"/>
      <w:bookmarkEnd w:id="2"/>
      <w:r>
        <w:rPr>
          <w:rFonts w:hint="eastAsia" w:ascii="宋体" w:hAnsi="宋体"/>
          <w:i w:val="0"/>
          <w:iCs w:val="0"/>
          <w:caps/>
          <w:smallCaps w:val="0"/>
          <w:color w:val="000000" w:themeColor="text1"/>
          <w:sz w:val="24"/>
          <w14:textFill>
            <w14:solidFill>
              <w14:schemeClr w14:val="tx1"/>
            </w14:solidFill>
          </w14:textFill>
        </w:rPr>
        <w:fldChar w:fldCharType="begin"/>
      </w:r>
      <w:r>
        <w:rPr>
          <w:rFonts w:hint="eastAsia" w:ascii="宋体" w:hAnsi="宋体"/>
          <w:i w:val="0"/>
          <w:iCs w:val="0"/>
          <w:caps/>
          <w:smallCaps w:val="0"/>
          <w:color w:val="000000" w:themeColor="text1"/>
          <w:sz w:val="24"/>
          <w14:textFill>
            <w14:solidFill>
              <w14:schemeClr w14:val="tx1"/>
            </w14:solidFill>
          </w14:textFill>
        </w:rPr>
        <w:instrText xml:space="preserve"> TOC \o "1-3" \h \z </w:instrText>
      </w:r>
      <w:r>
        <w:rPr>
          <w:rFonts w:hint="eastAsia" w:ascii="宋体" w:hAnsi="宋体"/>
          <w:i w:val="0"/>
          <w:iCs w:val="0"/>
          <w:caps/>
          <w:smallCaps w:val="0"/>
          <w:color w:val="000000" w:themeColor="text1"/>
          <w:sz w:val="24"/>
          <w14:textFill>
            <w14:solidFill>
              <w14:schemeClr w14:val="tx1"/>
            </w14:solidFill>
          </w14:textFill>
        </w:rPr>
        <w:fldChar w:fldCharType="separate"/>
      </w:r>
      <w:r>
        <w:rPr>
          <w:rFonts w:hint="eastAsia" w:ascii="宋体" w:hAnsi="宋体"/>
          <w:i w:val="0"/>
          <w:iCs w:val="0"/>
          <w:caps/>
          <w:smallCaps w:val="0"/>
          <w:color w:val="000000" w:themeColor="text1"/>
          <w14:textFill>
            <w14:solidFill>
              <w14:schemeClr w14:val="tx1"/>
            </w14:solidFill>
          </w14:textFill>
        </w:rPr>
        <w:fldChar w:fldCharType="begin"/>
      </w:r>
      <w:r>
        <w:rPr>
          <w:rFonts w:hint="eastAsia" w:ascii="宋体" w:hAnsi="宋体"/>
          <w:i w:val="0"/>
          <w:iCs w:val="0"/>
          <w:caps/>
          <w:smallCaps w:val="0"/>
        </w:rPr>
        <w:instrText xml:space="preserve"> HYPERLINK \l _Toc18507 </w:instrText>
      </w:r>
      <w:r>
        <w:rPr>
          <w:rFonts w:hint="eastAsia" w:ascii="宋体" w:hAnsi="宋体"/>
          <w:i w:val="0"/>
          <w:iCs w:val="0"/>
          <w:caps/>
          <w:smallCaps w:val="0"/>
        </w:rPr>
        <w:fldChar w:fldCharType="separate"/>
      </w:r>
      <w:r>
        <w:rPr>
          <w:rFonts w:hint="default" w:ascii="宋体" w:hAnsi="宋体" w:eastAsia="宋体"/>
          <w:i w:val="0"/>
          <w:iCs w:val="0"/>
        </w:rPr>
        <w:t xml:space="preserve">第一章 </w:t>
      </w:r>
      <w:r>
        <w:rPr>
          <w:rFonts w:hint="eastAsia" w:ascii="宋体" w:hAnsi="宋体" w:eastAsia="宋体"/>
          <w:i w:val="0"/>
          <w:iCs w:val="0"/>
        </w:rPr>
        <w:t>投标邀请（招标公告）</w:t>
      </w:r>
      <w:r>
        <w:rPr>
          <w:i w:val="0"/>
          <w:iCs w:val="0"/>
        </w:rPr>
        <w:tab/>
      </w:r>
      <w:r>
        <w:rPr>
          <w:i w:val="0"/>
          <w:iCs w:val="0"/>
        </w:rPr>
        <w:fldChar w:fldCharType="begin"/>
      </w:r>
      <w:r>
        <w:rPr>
          <w:i w:val="0"/>
          <w:iCs w:val="0"/>
        </w:rPr>
        <w:instrText xml:space="preserve"> PAGEREF _Toc18507 \h </w:instrText>
      </w:r>
      <w:r>
        <w:rPr>
          <w:i w:val="0"/>
          <w:iCs w:val="0"/>
        </w:rPr>
        <w:fldChar w:fldCharType="separate"/>
      </w:r>
      <w:r>
        <w:rPr>
          <w:i w:val="0"/>
          <w:iCs w:val="0"/>
        </w:rPr>
        <w:t>3</w:t>
      </w:r>
      <w:r>
        <w:rPr>
          <w:i w:val="0"/>
          <w:iCs w:val="0"/>
        </w:rPr>
        <w:fldChar w:fldCharType="end"/>
      </w:r>
      <w:r>
        <w:rPr>
          <w:rFonts w:hint="eastAsia" w:ascii="宋体" w:hAnsi="宋体"/>
          <w:i w:val="0"/>
          <w:iCs w:val="0"/>
          <w:caps/>
          <w:smallCaps w:val="0"/>
          <w:color w:val="000000" w:themeColor="text1"/>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_Toc20886 </w:instrText>
      </w:r>
      <w:r>
        <w:rPr>
          <w:rFonts w:hint="eastAsia" w:ascii="Calibri" w:hAnsi="Calibri"/>
          <w:i w:val="0"/>
          <w:iCs w:val="0"/>
          <w:szCs w:val="22"/>
        </w:rPr>
        <w:fldChar w:fldCharType="separate"/>
      </w:r>
      <w:r>
        <w:rPr>
          <w:rFonts w:hint="eastAsia" w:ascii="宋体" w:hAnsi="宋体" w:eastAsia="宋体"/>
          <w:i w:val="0"/>
          <w:iCs w:val="0"/>
        </w:rPr>
        <w:t>第二章 投标人须知前附表</w:t>
      </w:r>
      <w:r>
        <w:rPr>
          <w:i w:val="0"/>
          <w:iCs w:val="0"/>
        </w:rPr>
        <w:tab/>
      </w:r>
      <w:r>
        <w:rPr>
          <w:i w:val="0"/>
          <w:iCs w:val="0"/>
        </w:rPr>
        <w:fldChar w:fldCharType="begin"/>
      </w:r>
      <w:r>
        <w:rPr>
          <w:i w:val="0"/>
          <w:iCs w:val="0"/>
        </w:rPr>
        <w:instrText xml:space="preserve"> PAGEREF _Toc20886 \h </w:instrText>
      </w:r>
      <w:r>
        <w:rPr>
          <w:i w:val="0"/>
          <w:iCs w:val="0"/>
        </w:rPr>
        <w:fldChar w:fldCharType="separate"/>
      </w:r>
      <w:r>
        <w:rPr>
          <w:i w:val="0"/>
          <w:iCs w:val="0"/>
        </w:rPr>
        <w:t>5</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_Toc26093 </w:instrText>
      </w:r>
      <w:r>
        <w:rPr>
          <w:rFonts w:hint="eastAsia" w:ascii="Calibri" w:hAnsi="Calibri"/>
          <w:i w:val="0"/>
          <w:iCs w:val="0"/>
          <w:szCs w:val="22"/>
        </w:rPr>
        <w:fldChar w:fldCharType="separate"/>
      </w:r>
      <w:r>
        <w:rPr>
          <w:rFonts w:hint="eastAsia" w:ascii="宋体" w:hAnsi="宋体" w:eastAsia="宋体"/>
          <w:i w:val="0"/>
          <w:iCs w:val="0"/>
        </w:rPr>
        <w:t>第三章 投标人须知及评标</w:t>
      </w:r>
      <w:r>
        <w:rPr>
          <w:i w:val="0"/>
          <w:iCs w:val="0"/>
        </w:rPr>
        <w:tab/>
      </w:r>
      <w:r>
        <w:rPr>
          <w:i w:val="0"/>
          <w:iCs w:val="0"/>
        </w:rPr>
        <w:fldChar w:fldCharType="begin"/>
      </w:r>
      <w:r>
        <w:rPr>
          <w:i w:val="0"/>
          <w:iCs w:val="0"/>
        </w:rPr>
        <w:instrText xml:space="preserve"> PAGEREF _Toc26093 \h </w:instrText>
      </w:r>
      <w:r>
        <w:rPr>
          <w:i w:val="0"/>
          <w:iCs w:val="0"/>
        </w:rPr>
        <w:fldChar w:fldCharType="separate"/>
      </w:r>
      <w:r>
        <w:rPr>
          <w:i w:val="0"/>
          <w:iCs w:val="0"/>
        </w:rPr>
        <w:t>7</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_Toc22069 </w:instrText>
      </w:r>
      <w:r>
        <w:rPr>
          <w:rFonts w:hint="eastAsia" w:ascii="Calibri" w:hAnsi="Calibri"/>
          <w:i w:val="0"/>
          <w:iCs w:val="0"/>
          <w:szCs w:val="22"/>
        </w:rPr>
        <w:fldChar w:fldCharType="separate"/>
      </w:r>
      <w:r>
        <w:rPr>
          <w:rFonts w:hint="eastAsia" w:ascii="宋体" w:hAnsi="宋体" w:eastAsia="宋体"/>
          <w:i w:val="0"/>
          <w:iCs w:val="0"/>
        </w:rPr>
        <w:t xml:space="preserve">第四章 </w:t>
      </w:r>
      <w:r>
        <w:rPr>
          <w:rFonts w:hint="eastAsia" w:ascii="宋体" w:hAnsi="宋体" w:eastAsia="宋体"/>
          <w:i w:val="0"/>
          <w:iCs w:val="0"/>
          <w:szCs w:val="36"/>
        </w:rPr>
        <w:t>招标需求</w:t>
      </w:r>
      <w:r>
        <w:rPr>
          <w:i w:val="0"/>
          <w:iCs w:val="0"/>
        </w:rPr>
        <w:tab/>
      </w:r>
      <w:r>
        <w:rPr>
          <w:i w:val="0"/>
          <w:iCs w:val="0"/>
        </w:rPr>
        <w:fldChar w:fldCharType="begin"/>
      </w:r>
      <w:r>
        <w:rPr>
          <w:i w:val="0"/>
          <w:iCs w:val="0"/>
        </w:rPr>
        <w:instrText xml:space="preserve"> PAGEREF _Toc22069 \h </w:instrText>
      </w:r>
      <w:r>
        <w:rPr>
          <w:i w:val="0"/>
          <w:iCs w:val="0"/>
        </w:rPr>
        <w:fldChar w:fldCharType="separate"/>
      </w:r>
      <w:r>
        <w:rPr>
          <w:i w:val="0"/>
          <w:iCs w:val="0"/>
        </w:rPr>
        <w:t>14</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_Toc936 </w:instrText>
      </w:r>
      <w:r>
        <w:rPr>
          <w:rFonts w:hint="eastAsia" w:ascii="Calibri" w:hAnsi="Calibri"/>
          <w:i w:val="0"/>
          <w:iCs w:val="0"/>
          <w:szCs w:val="22"/>
        </w:rPr>
        <w:fldChar w:fldCharType="separate"/>
      </w:r>
      <w:r>
        <w:rPr>
          <w:rFonts w:hint="eastAsia" w:ascii="宋体" w:hAnsi="宋体" w:eastAsia="宋体"/>
          <w:i w:val="0"/>
          <w:iCs w:val="0"/>
        </w:rPr>
        <w:t>第六章  合同条款及格式</w:t>
      </w:r>
      <w:r>
        <w:rPr>
          <w:i w:val="0"/>
          <w:iCs w:val="0"/>
        </w:rPr>
        <w:tab/>
      </w:r>
      <w:r>
        <w:rPr>
          <w:i w:val="0"/>
          <w:iCs w:val="0"/>
        </w:rPr>
        <w:fldChar w:fldCharType="begin"/>
      </w:r>
      <w:r>
        <w:rPr>
          <w:i w:val="0"/>
          <w:iCs w:val="0"/>
        </w:rPr>
        <w:instrText xml:space="preserve"> PAGEREF _Toc936 \h </w:instrText>
      </w:r>
      <w:r>
        <w:rPr>
          <w:i w:val="0"/>
          <w:iCs w:val="0"/>
        </w:rPr>
        <w:fldChar w:fldCharType="separate"/>
      </w:r>
      <w:r>
        <w:rPr>
          <w:i w:val="0"/>
          <w:iCs w:val="0"/>
        </w:rPr>
        <w:t>25</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_Toc11737 </w:instrText>
      </w:r>
      <w:r>
        <w:rPr>
          <w:rFonts w:hint="eastAsia" w:ascii="Calibri" w:hAnsi="Calibri"/>
          <w:i w:val="0"/>
          <w:iCs w:val="0"/>
          <w:szCs w:val="22"/>
        </w:rPr>
        <w:fldChar w:fldCharType="separate"/>
      </w:r>
      <w:r>
        <w:rPr>
          <w:rFonts w:hint="eastAsia" w:ascii="宋体" w:hAnsi="宋体" w:eastAsia="宋体"/>
          <w:i w:val="0"/>
          <w:iCs w:val="0"/>
        </w:rPr>
        <w:t>第七章 投标文件格式</w:t>
      </w:r>
      <w:r>
        <w:rPr>
          <w:i w:val="0"/>
          <w:iCs w:val="0"/>
        </w:rPr>
        <w:tab/>
      </w:r>
      <w:r>
        <w:rPr>
          <w:i w:val="0"/>
          <w:iCs w:val="0"/>
        </w:rPr>
        <w:fldChar w:fldCharType="begin"/>
      </w:r>
      <w:r>
        <w:rPr>
          <w:i w:val="0"/>
          <w:iCs w:val="0"/>
        </w:rPr>
        <w:instrText xml:space="preserve"> PAGEREF _Toc11737 \h </w:instrText>
      </w:r>
      <w:r>
        <w:rPr>
          <w:i w:val="0"/>
          <w:iCs w:val="0"/>
        </w:rPr>
        <w:fldChar w:fldCharType="separate"/>
      </w:r>
      <w:r>
        <w:rPr>
          <w:i w:val="0"/>
          <w:iCs w:val="0"/>
        </w:rPr>
        <w:t>32</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_Toc20310 </w:instrText>
      </w:r>
      <w:r>
        <w:rPr>
          <w:rFonts w:hint="eastAsia" w:ascii="Calibri" w:hAnsi="Calibri"/>
          <w:i w:val="0"/>
          <w:iCs w:val="0"/>
          <w:szCs w:val="22"/>
        </w:rPr>
        <w:fldChar w:fldCharType="separate"/>
      </w:r>
      <w:r>
        <w:rPr>
          <w:rFonts w:hint="eastAsia" w:hAnsi="宋体"/>
          <w:i w:val="0"/>
          <w:iCs w:val="0"/>
        </w:rPr>
        <w:t>一．投标函</w:t>
      </w:r>
      <w:r>
        <w:rPr>
          <w:i w:val="0"/>
          <w:iCs w:val="0"/>
        </w:rPr>
        <w:tab/>
      </w:r>
      <w:r>
        <w:rPr>
          <w:i w:val="0"/>
          <w:iCs w:val="0"/>
        </w:rPr>
        <w:fldChar w:fldCharType="begin"/>
      </w:r>
      <w:r>
        <w:rPr>
          <w:i w:val="0"/>
          <w:iCs w:val="0"/>
        </w:rPr>
        <w:instrText xml:space="preserve"> PAGEREF _Toc20310 \h </w:instrText>
      </w:r>
      <w:r>
        <w:rPr>
          <w:i w:val="0"/>
          <w:iCs w:val="0"/>
        </w:rPr>
        <w:fldChar w:fldCharType="separate"/>
      </w:r>
      <w:r>
        <w:rPr>
          <w:i w:val="0"/>
          <w:iCs w:val="0"/>
        </w:rPr>
        <w:t>35</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_Toc9115 </w:instrText>
      </w:r>
      <w:r>
        <w:rPr>
          <w:rFonts w:hint="eastAsia" w:ascii="Calibri" w:hAnsi="Calibri"/>
          <w:i w:val="0"/>
          <w:iCs w:val="0"/>
          <w:szCs w:val="22"/>
        </w:rPr>
        <w:fldChar w:fldCharType="separate"/>
      </w:r>
      <w:r>
        <w:rPr>
          <w:rFonts w:hint="eastAsia" w:hAnsi="宋体"/>
          <w:i w:val="0"/>
          <w:iCs w:val="0"/>
        </w:rPr>
        <w:t>二．投标人情况综合简介</w:t>
      </w:r>
      <w:r>
        <w:rPr>
          <w:i w:val="0"/>
          <w:iCs w:val="0"/>
        </w:rPr>
        <w:tab/>
      </w:r>
      <w:r>
        <w:rPr>
          <w:i w:val="0"/>
          <w:iCs w:val="0"/>
        </w:rPr>
        <w:fldChar w:fldCharType="begin"/>
      </w:r>
      <w:r>
        <w:rPr>
          <w:i w:val="0"/>
          <w:iCs w:val="0"/>
        </w:rPr>
        <w:instrText xml:space="preserve"> PAGEREF _Toc9115 \h </w:instrText>
      </w:r>
      <w:r>
        <w:rPr>
          <w:i w:val="0"/>
          <w:iCs w:val="0"/>
        </w:rPr>
        <w:fldChar w:fldCharType="separate"/>
      </w:r>
      <w:r>
        <w:rPr>
          <w:i w:val="0"/>
          <w:iCs w:val="0"/>
        </w:rPr>
        <w:t>36</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_Toc29131 </w:instrText>
      </w:r>
      <w:r>
        <w:rPr>
          <w:rFonts w:hint="eastAsia" w:ascii="Calibri" w:hAnsi="Calibri"/>
          <w:i w:val="0"/>
          <w:iCs w:val="0"/>
          <w:szCs w:val="22"/>
        </w:rPr>
        <w:fldChar w:fldCharType="separate"/>
      </w:r>
      <w:r>
        <w:rPr>
          <w:rFonts w:hint="eastAsia" w:hAnsi="宋体"/>
          <w:i w:val="0"/>
          <w:iCs w:val="0"/>
        </w:rPr>
        <w:t>三．开标一览表</w:t>
      </w:r>
      <w:r>
        <w:rPr>
          <w:i w:val="0"/>
          <w:iCs w:val="0"/>
        </w:rPr>
        <w:tab/>
      </w:r>
      <w:r>
        <w:rPr>
          <w:i w:val="0"/>
          <w:iCs w:val="0"/>
        </w:rPr>
        <w:fldChar w:fldCharType="begin"/>
      </w:r>
      <w:r>
        <w:rPr>
          <w:i w:val="0"/>
          <w:iCs w:val="0"/>
        </w:rPr>
        <w:instrText xml:space="preserve"> PAGEREF _Toc29131 \h </w:instrText>
      </w:r>
      <w:r>
        <w:rPr>
          <w:i w:val="0"/>
          <w:iCs w:val="0"/>
        </w:rPr>
        <w:fldChar w:fldCharType="separate"/>
      </w:r>
      <w:r>
        <w:rPr>
          <w:i w:val="0"/>
          <w:iCs w:val="0"/>
        </w:rPr>
        <w:t>37</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_Toc1715 </w:instrText>
      </w:r>
      <w:r>
        <w:rPr>
          <w:rFonts w:hint="eastAsia" w:ascii="Calibri" w:hAnsi="Calibri"/>
          <w:i w:val="0"/>
          <w:iCs w:val="0"/>
          <w:szCs w:val="22"/>
        </w:rPr>
        <w:fldChar w:fldCharType="separate"/>
      </w:r>
      <w:r>
        <w:rPr>
          <w:rFonts w:hint="eastAsia" w:hAnsi="宋体"/>
          <w:i w:val="0"/>
          <w:iCs w:val="0"/>
        </w:rPr>
        <w:t>四、分项报价一览表</w:t>
      </w:r>
      <w:r>
        <w:rPr>
          <w:i w:val="0"/>
          <w:iCs w:val="0"/>
        </w:rPr>
        <w:tab/>
      </w:r>
      <w:r>
        <w:rPr>
          <w:i w:val="0"/>
          <w:iCs w:val="0"/>
        </w:rPr>
        <w:fldChar w:fldCharType="begin"/>
      </w:r>
      <w:r>
        <w:rPr>
          <w:i w:val="0"/>
          <w:iCs w:val="0"/>
        </w:rPr>
        <w:instrText xml:space="preserve"> PAGEREF _Toc1715 \h </w:instrText>
      </w:r>
      <w:r>
        <w:rPr>
          <w:i w:val="0"/>
          <w:iCs w:val="0"/>
        </w:rPr>
        <w:fldChar w:fldCharType="separate"/>
      </w:r>
      <w:r>
        <w:rPr>
          <w:i w:val="0"/>
          <w:iCs w:val="0"/>
        </w:rPr>
        <w:t>38</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_Toc26690 </w:instrText>
      </w:r>
      <w:r>
        <w:rPr>
          <w:rFonts w:hint="eastAsia" w:ascii="Calibri" w:hAnsi="Calibri"/>
          <w:i w:val="0"/>
          <w:iCs w:val="0"/>
          <w:szCs w:val="22"/>
        </w:rPr>
        <w:fldChar w:fldCharType="separate"/>
      </w:r>
      <w:r>
        <w:rPr>
          <w:rFonts w:hint="eastAsia" w:hAnsi="宋体"/>
          <w:i w:val="0"/>
          <w:iCs w:val="0"/>
        </w:rPr>
        <w:t>五、常用配件价格报价表</w:t>
      </w:r>
      <w:r>
        <w:rPr>
          <w:i w:val="0"/>
          <w:iCs w:val="0"/>
        </w:rPr>
        <w:tab/>
      </w:r>
      <w:r>
        <w:rPr>
          <w:i w:val="0"/>
          <w:iCs w:val="0"/>
        </w:rPr>
        <w:fldChar w:fldCharType="begin"/>
      </w:r>
      <w:r>
        <w:rPr>
          <w:i w:val="0"/>
          <w:iCs w:val="0"/>
        </w:rPr>
        <w:instrText xml:space="preserve"> PAGEREF _Toc26690 \h </w:instrText>
      </w:r>
      <w:r>
        <w:rPr>
          <w:i w:val="0"/>
          <w:iCs w:val="0"/>
        </w:rPr>
        <w:fldChar w:fldCharType="separate"/>
      </w:r>
      <w:r>
        <w:rPr>
          <w:i w:val="0"/>
          <w:iCs w:val="0"/>
        </w:rPr>
        <w:t>38</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_Toc18094 </w:instrText>
      </w:r>
      <w:r>
        <w:rPr>
          <w:rFonts w:hint="eastAsia" w:ascii="Calibri" w:hAnsi="Calibri"/>
          <w:i w:val="0"/>
          <w:iCs w:val="0"/>
          <w:szCs w:val="22"/>
        </w:rPr>
        <w:fldChar w:fldCharType="separate"/>
      </w:r>
      <w:r>
        <w:rPr>
          <w:rFonts w:hint="eastAsia" w:hAnsi="宋体"/>
          <w:i w:val="0"/>
          <w:iCs w:val="0"/>
        </w:rPr>
        <w:t>六．投标授权书</w:t>
      </w:r>
      <w:r>
        <w:rPr>
          <w:i w:val="0"/>
          <w:iCs w:val="0"/>
        </w:rPr>
        <w:tab/>
      </w:r>
      <w:r>
        <w:rPr>
          <w:i w:val="0"/>
          <w:iCs w:val="0"/>
        </w:rPr>
        <w:fldChar w:fldCharType="begin"/>
      </w:r>
      <w:r>
        <w:rPr>
          <w:i w:val="0"/>
          <w:iCs w:val="0"/>
        </w:rPr>
        <w:instrText xml:space="preserve"> PAGEREF _Toc18094 \h </w:instrText>
      </w:r>
      <w:r>
        <w:rPr>
          <w:i w:val="0"/>
          <w:iCs w:val="0"/>
        </w:rPr>
        <w:fldChar w:fldCharType="separate"/>
      </w:r>
      <w:r>
        <w:rPr>
          <w:i w:val="0"/>
          <w:iCs w:val="0"/>
        </w:rPr>
        <w:t>40</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_Toc13908 </w:instrText>
      </w:r>
      <w:r>
        <w:rPr>
          <w:rFonts w:hint="eastAsia" w:ascii="Calibri" w:hAnsi="Calibri"/>
          <w:i w:val="0"/>
          <w:iCs w:val="0"/>
          <w:szCs w:val="22"/>
        </w:rPr>
        <w:fldChar w:fldCharType="separate"/>
      </w:r>
      <w:r>
        <w:rPr>
          <w:rFonts w:hint="eastAsia" w:hAnsi="宋体" w:cs="宋体"/>
          <w:i w:val="0"/>
          <w:iCs w:val="0"/>
          <w:szCs w:val="28"/>
        </w:rPr>
        <w:t>七．投标人信用承诺</w:t>
      </w:r>
      <w:r>
        <w:rPr>
          <w:i w:val="0"/>
          <w:iCs w:val="0"/>
        </w:rPr>
        <w:tab/>
      </w:r>
      <w:r>
        <w:rPr>
          <w:i w:val="0"/>
          <w:iCs w:val="0"/>
        </w:rPr>
        <w:fldChar w:fldCharType="begin"/>
      </w:r>
      <w:r>
        <w:rPr>
          <w:i w:val="0"/>
          <w:iCs w:val="0"/>
        </w:rPr>
        <w:instrText xml:space="preserve"> PAGEREF _Toc13908 \h </w:instrText>
      </w:r>
      <w:r>
        <w:rPr>
          <w:i w:val="0"/>
          <w:iCs w:val="0"/>
        </w:rPr>
        <w:fldChar w:fldCharType="separate"/>
      </w:r>
      <w:r>
        <w:rPr>
          <w:i w:val="0"/>
          <w:iCs w:val="0"/>
        </w:rPr>
        <w:t>40</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_Toc18964 </w:instrText>
      </w:r>
      <w:r>
        <w:rPr>
          <w:rFonts w:hint="eastAsia" w:ascii="Calibri" w:hAnsi="Calibri"/>
          <w:i w:val="0"/>
          <w:iCs w:val="0"/>
          <w:szCs w:val="22"/>
        </w:rPr>
        <w:fldChar w:fldCharType="separate"/>
      </w:r>
      <w:r>
        <w:rPr>
          <w:rFonts w:hint="eastAsia" w:hAnsi="宋体" w:cs="宋体"/>
          <w:i w:val="0"/>
          <w:iCs w:val="0"/>
          <w:szCs w:val="28"/>
        </w:rPr>
        <w:t>八. 投标业绩</w:t>
      </w:r>
      <w:r>
        <w:rPr>
          <w:i w:val="0"/>
          <w:iCs w:val="0"/>
        </w:rPr>
        <w:tab/>
      </w:r>
      <w:r>
        <w:rPr>
          <w:i w:val="0"/>
          <w:iCs w:val="0"/>
        </w:rPr>
        <w:fldChar w:fldCharType="begin"/>
      </w:r>
      <w:r>
        <w:rPr>
          <w:i w:val="0"/>
          <w:iCs w:val="0"/>
        </w:rPr>
        <w:instrText xml:space="preserve"> PAGEREF _Toc18964 \h </w:instrText>
      </w:r>
      <w:r>
        <w:rPr>
          <w:i w:val="0"/>
          <w:iCs w:val="0"/>
        </w:rPr>
        <w:fldChar w:fldCharType="separate"/>
      </w:r>
      <w:r>
        <w:rPr>
          <w:i w:val="0"/>
          <w:iCs w:val="0"/>
        </w:rPr>
        <w:t>41</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_Toc7278 </w:instrText>
      </w:r>
      <w:r>
        <w:rPr>
          <w:rFonts w:hint="eastAsia" w:ascii="Calibri" w:hAnsi="Calibri"/>
          <w:i w:val="0"/>
          <w:iCs w:val="0"/>
          <w:szCs w:val="22"/>
        </w:rPr>
        <w:fldChar w:fldCharType="separate"/>
      </w:r>
      <w:r>
        <w:rPr>
          <w:rFonts w:hint="eastAsia" w:hAnsi="宋体"/>
          <w:i w:val="0"/>
          <w:iCs w:val="0"/>
        </w:rPr>
        <w:t>九．有关证明文件</w:t>
      </w:r>
      <w:r>
        <w:rPr>
          <w:i w:val="0"/>
          <w:iCs w:val="0"/>
        </w:rPr>
        <w:tab/>
      </w:r>
      <w:r>
        <w:rPr>
          <w:i w:val="0"/>
          <w:iCs w:val="0"/>
        </w:rPr>
        <w:fldChar w:fldCharType="begin"/>
      </w:r>
      <w:r>
        <w:rPr>
          <w:i w:val="0"/>
          <w:iCs w:val="0"/>
        </w:rPr>
        <w:instrText xml:space="preserve"> PAGEREF _Toc7278 \h </w:instrText>
      </w:r>
      <w:r>
        <w:rPr>
          <w:i w:val="0"/>
          <w:iCs w:val="0"/>
        </w:rPr>
        <w:fldChar w:fldCharType="separate"/>
      </w:r>
      <w:r>
        <w:rPr>
          <w:i w:val="0"/>
          <w:iCs w:val="0"/>
        </w:rPr>
        <w:t>42</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_Toc7039 </w:instrText>
      </w:r>
      <w:r>
        <w:rPr>
          <w:rFonts w:hint="eastAsia" w:ascii="Calibri" w:hAnsi="Calibri"/>
          <w:i w:val="0"/>
          <w:iCs w:val="0"/>
          <w:szCs w:val="22"/>
        </w:rPr>
        <w:fldChar w:fldCharType="separate"/>
      </w:r>
      <w:r>
        <w:rPr>
          <w:rFonts w:hint="eastAsia" w:hAnsi="宋体"/>
          <w:i w:val="0"/>
          <w:iCs w:val="0"/>
        </w:rPr>
        <w:t>十．项目人员配备</w:t>
      </w:r>
      <w:r>
        <w:rPr>
          <w:i w:val="0"/>
          <w:iCs w:val="0"/>
        </w:rPr>
        <w:tab/>
      </w:r>
      <w:r>
        <w:rPr>
          <w:i w:val="0"/>
          <w:iCs w:val="0"/>
        </w:rPr>
        <w:fldChar w:fldCharType="begin"/>
      </w:r>
      <w:r>
        <w:rPr>
          <w:i w:val="0"/>
          <w:iCs w:val="0"/>
        </w:rPr>
        <w:instrText xml:space="preserve"> PAGEREF _Toc7039 \h </w:instrText>
      </w:r>
      <w:r>
        <w:rPr>
          <w:i w:val="0"/>
          <w:iCs w:val="0"/>
        </w:rPr>
        <w:fldChar w:fldCharType="separate"/>
      </w:r>
      <w:r>
        <w:rPr>
          <w:i w:val="0"/>
          <w:iCs w:val="0"/>
        </w:rPr>
        <w:t>42</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_Toc7967 </w:instrText>
      </w:r>
      <w:r>
        <w:rPr>
          <w:rFonts w:hint="eastAsia" w:ascii="Calibri" w:hAnsi="Calibri"/>
          <w:i w:val="0"/>
          <w:iCs w:val="0"/>
          <w:szCs w:val="22"/>
        </w:rPr>
        <w:fldChar w:fldCharType="separate"/>
      </w:r>
      <w:r>
        <w:rPr>
          <w:rFonts w:hint="eastAsia" w:hAnsi="宋体"/>
          <w:i w:val="0"/>
          <w:iCs w:val="0"/>
        </w:rPr>
        <w:t>十一．服务体系与维保方案</w:t>
      </w:r>
      <w:r>
        <w:rPr>
          <w:i w:val="0"/>
          <w:iCs w:val="0"/>
        </w:rPr>
        <w:tab/>
      </w:r>
      <w:r>
        <w:rPr>
          <w:i w:val="0"/>
          <w:iCs w:val="0"/>
        </w:rPr>
        <w:fldChar w:fldCharType="begin"/>
      </w:r>
      <w:r>
        <w:rPr>
          <w:i w:val="0"/>
          <w:iCs w:val="0"/>
        </w:rPr>
        <w:instrText xml:space="preserve"> PAGEREF _Toc7967 \h </w:instrText>
      </w:r>
      <w:r>
        <w:rPr>
          <w:i w:val="0"/>
          <w:iCs w:val="0"/>
        </w:rPr>
        <w:fldChar w:fldCharType="separate"/>
      </w:r>
      <w:r>
        <w:rPr>
          <w:i w:val="0"/>
          <w:iCs w:val="0"/>
        </w:rPr>
        <w:t>48</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ind w:left="0"/>
        <w:rPr>
          <w:rFonts w:ascii="宋体" w:hAnsi="宋体"/>
          <w:i w:val="0"/>
          <w:color w:val="000000" w:themeColor="text1"/>
          <w14:textFill>
            <w14:solidFill>
              <w14:schemeClr w14:val="tx1"/>
            </w14:solidFill>
          </w14:textFill>
        </w:rPr>
      </w:pPr>
      <w:r>
        <w:rPr>
          <w:rFonts w:hint="eastAsia" w:ascii="Calibri" w:hAnsi="Calibri"/>
          <w:i w:val="0"/>
          <w:iCs w:val="0"/>
          <w:color w:val="000000" w:themeColor="text1"/>
          <w:szCs w:val="22"/>
          <w14:textFill>
            <w14:solidFill>
              <w14:schemeClr w14:val="tx1"/>
            </w14:solidFill>
          </w14:textFill>
        </w:rPr>
        <w:fldChar w:fldCharType="end"/>
      </w:r>
      <w:bookmarkEnd w:id="144"/>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pStyle w:val="2"/>
        <w:rPr>
          <w:rFonts w:ascii="宋体" w:hAnsi="宋体" w:eastAsia="宋体"/>
          <w:color w:val="000000" w:themeColor="text1"/>
          <w14:textFill>
            <w14:solidFill>
              <w14:schemeClr w14:val="tx1"/>
            </w14:solidFill>
          </w14:textFill>
        </w:rPr>
      </w:pPr>
      <w:bookmarkStart w:id="3" w:name="_Toc32306252"/>
    </w:p>
    <w:p>
      <w:pPr>
        <w:pStyle w:val="2"/>
        <w:rPr>
          <w:rFonts w:ascii="宋体" w:hAnsi="宋体" w:eastAsia="宋体"/>
          <w:color w:val="000000" w:themeColor="text1"/>
          <w14:textFill>
            <w14:solidFill>
              <w14:schemeClr w14:val="tx1"/>
            </w14:solidFill>
          </w14:textFill>
        </w:rPr>
      </w:pPr>
    </w:p>
    <w:p>
      <w:pPr>
        <w:pStyle w:val="2"/>
        <w:rPr>
          <w:rFonts w:ascii="宋体" w:hAnsi="宋体" w:eastAsia="宋体"/>
          <w:color w:val="000000" w:themeColor="text1"/>
          <w14:textFill>
            <w14:solidFill>
              <w14:schemeClr w14:val="tx1"/>
            </w14:solidFill>
          </w14:textFill>
        </w:rPr>
      </w:pPr>
    </w:p>
    <w:p>
      <w:pPr>
        <w:pStyle w:val="2"/>
        <w:rPr>
          <w:rFonts w:ascii="宋体" w:hAnsi="宋体" w:eastAsia="宋体"/>
          <w:color w:val="000000" w:themeColor="text1"/>
          <w14:textFill>
            <w14:solidFill>
              <w14:schemeClr w14:val="tx1"/>
            </w14:solidFill>
          </w14:textFill>
        </w:rPr>
      </w:pPr>
    </w:p>
    <w:p>
      <w:pPr>
        <w:pStyle w:val="2"/>
        <w:rPr>
          <w:rFonts w:ascii="宋体" w:hAnsi="宋体" w:eastAsia="宋体"/>
          <w:color w:val="000000" w:themeColor="text1"/>
          <w14:textFill>
            <w14:solidFill>
              <w14:schemeClr w14:val="tx1"/>
            </w14:solidFill>
          </w14:textFill>
        </w:rPr>
      </w:pPr>
    </w:p>
    <w:p>
      <w:pPr>
        <w:pStyle w:val="2"/>
        <w:rPr>
          <w:rFonts w:ascii="宋体" w:hAnsi="宋体" w:eastAsia="宋体"/>
          <w:color w:val="000000" w:themeColor="text1"/>
          <w14:textFill>
            <w14:solidFill>
              <w14:schemeClr w14:val="tx1"/>
            </w14:solidFill>
          </w14:textFill>
        </w:rPr>
      </w:pPr>
    </w:p>
    <w:p>
      <w:pPr>
        <w:pStyle w:val="2"/>
        <w:rPr>
          <w:rFonts w:ascii="宋体" w:hAnsi="宋体" w:eastAsia="宋体"/>
          <w:color w:val="000000" w:themeColor="text1"/>
          <w14:textFill>
            <w14:solidFill>
              <w14:schemeClr w14:val="tx1"/>
            </w14:solidFill>
          </w14:textFill>
        </w:rPr>
      </w:pPr>
    </w:p>
    <w:p>
      <w:pPr>
        <w:pStyle w:val="2"/>
        <w:rPr>
          <w:rFonts w:ascii="宋体" w:hAnsi="宋体" w:eastAsia="宋体"/>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bookmarkEnd w:id="3"/>
    <w:p>
      <w:pPr>
        <w:pStyle w:val="6"/>
        <w:numPr>
          <w:ilvl w:val="0"/>
          <w:numId w:val="2"/>
        </w:numPr>
        <w:spacing w:before="0" w:after="0" w:line="430" w:lineRule="exact"/>
        <w:rPr>
          <w:rFonts w:ascii="宋体" w:hAnsi="宋体" w:eastAsia="宋体"/>
          <w:color w:val="000000" w:themeColor="text1"/>
          <w14:textFill>
            <w14:solidFill>
              <w14:schemeClr w14:val="tx1"/>
            </w14:solidFill>
          </w14:textFill>
        </w:rPr>
      </w:pPr>
      <w:bookmarkStart w:id="4" w:name="_Toc38004740"/>
      <w:bookmarkStart w:id="5" w:name="_Toc18507"/>
      <w:bookmarkStart w:id="6" w:name="_Hlt510343011"/>
      <w:bookmarkStart w:id="7" w:name="_Hlt510342998"/>
      <w:r>
        <w:rPr>
          <w:rFonts w:hint="eastAsia" w:ascii="宋体" w:hAnsi="宋体" w:eastAsia="宋体"/>
          <w:color w:val="000000" w:themeColor="text1"/>
          <w14:textFill>
            <w14:solidFill>
              <w14:schemeClr w14:val="tx1"/>
            </w14:solidFill>
          </w14:textFill>
        </w:rPr>
        <w:t>投标邀请（招标公告）</w:t>
      </w:r>
      <w:bookmarkEnd w:id="4"/>
      <w:bookmarkEnd w:id="5"/>
    </w:p>
    <w:p>
      <w:pPr>
        <w:rPr>
          <w:color w:val="000000" w:themeColor="text1"/>
          <w14:textFill>
            <w14:solidFill>
              <w14:schemeClr w14:val="tx1"/>
            </w14:solidFill>
          </w14:textFill>
        </w:rPr>
      </w:pPr>
    </w:p>
    <w:p>
      <w:pPr>
        <w:tabs>
          <w:tab w:val="left" w:pos="2410"/>
        </w:tabs>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合肥文旅博览集团有限公司（以下简称：文旅博览集团）受合肥体育产业投资有限公司委托，现对</w:t>
      </w:r>
      <w:r>
        <w:rPr>
          <w:rFonts w:hint="eastAsia" w:ascii="宋体" w:hAnsi="宋体"/>
          <w:b/>
          <w:bCs/>
          <w:color w:val="000000" w:themeColor="text1"/>
          <w:sz w:val="24"/>
          <w:szCs w:val="24"/>
          <w14:textFill>
            <w14:solidFill>
              <w14:schemeClr w14:val="tx1"/>
            </w14:solidFill>
          </w14:textFill>
        </w:rPr>
        <w:t>合肥体育中心及天鹅湖全民健身中心2022年度消防维保服务项目</w:t>
      </w:r>
      <w:r>
        <w:rPr>
          <w:rFonts w:hint="eastAsia" w:ascii="宋体" w:hAnsi="宋体"/>
          <w:color w:val="000000" w:themeColor="text1"/>
          <w:sz w:val="24"/>
          <w:szCs w:val="24"/>
          <w14:textFill>
            <w14:solidFill>
              <w14:schemeClr w14:val="tx1"/>
            </w14:solidFill>
          </w14:textFill>
        </w:rPr>
        <w:t>进行公开招标，欢迎具备条件的投标人参加投标。</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一、项目名称及内容</w:t>
      </w:r>
    </w:p>
    <w:p>
      <w:pPr>
        <w:autoSpaceDE w:val="0"/>
        <w:autoSpaceDN w:val="0"/>
        <w:adjustRightInd w:val="0"/>
        <w:spacing w:line="360" w:lineRule="auto"/>
        <w:ind w:firstLine="200"/>
        <w:jc w:val="left"/>
        <w:rPr>
          <w:rFonts w:ascii="宋体" w:hAnsi="宋体" w:eastAsia="宋体" w:cs="宋体"/>
          <w:sz w:val="24"/>
          <w:szCs w:val="24"/>
        </w:rPr>
      </w:pPr>
      <w:r>
        <w:rPr>
          <w:rFonts w:hint="eastAsia" w:ascii="宋体" w:hAnsi="宋体"/>
          <w:color w:val="000000" w:themeColor="text1"/>
          <w:sz w:val="24"/>
          <w:szCs w:val="24"/>
          <w14:textFill>
            <w14:solidFill>
              <w14:schemeClr w14:val="tx1"/>
            </w14:solidFill>
          </w14:textFill>
        </w:rPr>
        <w:t>1.项目编号：</w:t>
      </w:r>
      <w:r>
        <w:rPr>
          <w:rFonts w:ascii="宋体" w:hAnsi="宋体" w:eastAsia="宋体" w:cs="宋体"/>
          <w:sz w:val="24"/>
          <w:szCs w:val="24"/>
        </w:rPr>
        <w:t>2021WLBLZB00</w:t>
      </w:r>
      <w:r>
        <w:rPr>
          <w:rFonts w:hint="eastAsia" w:ascii="宋体" w:hAnsi="宋体" w:cs="宋体"/>
          <w:sz w:val="24"/>
          <w:szCs w:val="24"/>
          <w:lang w:val="en-US" w:eastAsia="zh-CN"/>
        </w:rPr>
        <w:t>98</w:t>
      </w:r>
      <w:r>
        <w:rPr>
          <w:rFonts w:ascii="宋体" w:hAnsi="宋体" w:eastAsia="宋体" w:cs="宋体"/>
          <w:sz w:val="24"/>
          <w:szCs w:val="24"/>
        </w:rPr>
        <w:t>号</w:t>
      </w:r>
    </w:p>
    <w:p>
      <w:pPr>
        <w:autoSpaceDE w:val="0"/>
        <w:autoSpaceDN w:val="0"/>
        <w:adjustRightInd w:val="0"/>
        <w:spacing w:line="360" w:lineRule="auto"/>
        <w:ind w:firstLine="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2.项目名称：合肥体育中心及天鹅湖全民健身中心2022年度消防维保服务</w:t>
      </w:r>
    </w:p>
    <w:p>
      <w:pPr>
        <w:autoSpaceDE w:val="0"/>
        <w:autoSpaceDN w:val="0"/>
        <w:adjustRightInd w:val="0"/>
        <w:spacing w:line="360" w:lineRule="auto"/>
        <w:ind w:firstLine="240" w:firstLineChars="100"/>
        <w:jc w:val="left"/>
        <w:rPr>
          <w:rFonts w:hint="eastAsia" w:ascii="宋体" w:hAnsi="宋体" w:eastAsia="宋体"/>
          <w:color w:val="auto"/>
          <w:sz w:val="24"/>
          <w:szCs w:val="24"/>
          <w:lang w:eastAsia="zh-CN"/>
        </w:rPr>
      </w:pPr>
      <w:r>
        <w:rPr>
          <w:rFonts w:hint="eastAsia" w:ascii="宋体" w:hAnsi="宋体"/>
          <w:color w:val="000000" w:themeColor="text1"/>
          <w:sz w:val="24"/>
          <w:szCs w:val="24"/>
          <w14:textFill>
            <w14:solidFill>
              <w14:schemeClr w14:val="tx1"/>
            </w14:solidFill>
          </w14:textFill>
        </w:rPr>
        <w:t>3.项目地</w:t>
      </w:r>
      <w:r>
        <w:rPr>
          <w:rFonts w:hint="eastAsia" w:ascii="宋体" w:hAnsi="宋体"/>
          <w:color w:val="auto"/>
          <w:sz w:val="24"/>
          <w:szCs w:val="24"/>
        </w:rPr>
        <w:t>点：合肥体育中心</w:t>
      </w:r>
      <w:r>
        <w:rPr>
          <w:rFonts w:hint="eastAsia" w:ascii="宋体" w:hAnsi="宋体"/>
          <w:color w:val="auto"/>
          <w:sz w:val="24"/>
          <w:szCs w:val="24"/>
          <w:lang w:eastAsia="zh-CN"/>
        </w:rPr>
        <w:t>、</w:t>
      </w:r>
      <w:r>
        <w:rPr>
          <w:rFonts w:hint="eastAsia" w:ascii="宋体" w:hAnsi="宋体"/>
          <w:color w:val="auto"/>
          <w:sz w:val="24"/>
          <w:szCs w:val="24"/>
        </w:rPr>
        <w:t>天鹅湖全民健身中心</w:t>
      </w:r>
    </w:p>
    <w:p>
      <w:pPr>
        <w:autoSpaceDE w:val="0"/>
        <w:autoSpaceDN w:val="0"/>
        <w:adjustRightInd w:val="0"/>
        <w:spacing w:line="360" w:lineRule="auto"/>
        <w:ind w:firstLine="240" w:firstLineChars="100"/>
        <w:jc w:val="left"/>
        <w:rPr>
          <w:rFonts w:ascii="宋体" w:hAnsi="宋体"/>
          <w:color w:val="auto"/>
          <w:sz w:val="24"/>
          <w:szCs w:val="24"/>
        </w:rPr>
      </w:pPr>
      <w:r>
        <w:rPr>
          <w:rFonts w:hint="eastAsia" w:ascii="宋体" w:hAnsi="宋体"/>
          <w:color w:val="auto"/>
          <w:sz w:val="24"/>
          <w:szCs w:val="24"/>
        </w:rPr>
        <w:t>4.项目单位：合肥体育产业投资有限公司</w:t>
      </w:r>
    </w:p>
    <w:p>
      <w:pPr>
        <w:autoSpaceDE w:val="0"/>
        <w:autoSpaceDN w:val="0"/>
        <w:adjustRightInd w:val="0"/>
        <w:spacing w:line="360" w:lineRule="auto"/>
        <w:ind w:firstLine="240" w:firstLineChars="100"/>
        <w:jc w:val="left"/>
        <w:rPr>
          <w:rFonts w:ascii="宋体" w:hAnsi="宋体"/>
          <w:color w:val="auto"/>
          <w:sz w:val="24"/>
          <w:szCs w:val="24"/>
        </w:rPr>
      </w:pPr>
      <w:r>
        <w:rPr>
          <w:rFonts w:hint="eastAsia" w:ascii="宋体" w:hAnsi="宋体"/>
          <w:color w:val="auto"/>
          <w:sz w:val="24"/>
          <w:szCs w:val="24"/>
        </w:rPr>
        <w:t>5.项目内容：对合肥体育中心（主体育场、游泳馆、综合馆、翰林宾馆及附属设施和主监控室）设置的建筑消防设施进行维修保养，涉及面积153000㎡；天鹅湖全民健身中心设置的建筑消防设施进行维修保养，涉及面积14000㎡。</w:t>
      </w:r>
    </w:p>
    <w:p>
      <w:pPr>
        <w:autoSpaceDE w:val="0"/>
        <w:autoSpaceDN w:val="0"/>
        <w:adjustRightInd w:val="0"/>
        <w:spacing w:line="360" w:lineRule="auto"/>
        <w:ind w:firstLine="240" w:firstLineChars="100"/>
        <w:jc w:val="left"/>
        <w:rPr>
          <w:rFonts w:ascii="宋体" w:hAnsi="宋体"/>
          <w:color w:val="auto"/>
          <w:sz w:val="24"/>
          <w:szCs w:val="24"/>
        </w:rPr>
      </w:pPr>
      <w:r>
        <w:rPr>
          <w:rFonts w:hint="eastAsia" w:ascii="宋体" w:hAnsi="宋体"/>
          <w:color w:val="auto"/>
          <w:sz w:val="24"/>
          <w:szCs w:val="24"/>
        </w:rPr>
        <w:t>6.资金来源：委托人自筹</w:t>
      </w:r>
    </w:p>
    <w:p>
      <w:pPr>
        <w:autoSpaceDE w:val="0"/>
        <w:autoSpaceDN w:val="0"/>
        <w:adjustRightInd w:val="0"/>
        <w:spacing w:line="360" w:lineRule="auto"/>
        <w:ind w:firstLine="240" w:firstLineChars="100"/>
        <w:jc w:val="left"/>
        <w:rPr>
          <w:rFonts w:ascii="宋体" w:hAnsi="宋体"/>
          <w:color w:val="auto"/>
          <w:sz w:val="24"/>
          <w:szCs w:val="24"/>
        </w:rPr>
      </w:pPr>
      <w:r>
        <w:rPr>
          <w:rFonts w:hint="eastAsia" w:ascii="宋体" w:hAnsi="宋体"/>
          <w:color w:val="auto"/>
          <w:sz w:val="24"/>
          <w:szCs w:val="24"/>
        </w:rPr>
        <w:t>7.项目概算:壹拾</w:t>
      </w:r>
      <w:r>
        <w:rPr>
          <w:rFonts w:hint="eastAsia" w:ascii="宋体" w:hAnsi="宋体"/>
          <w:color w:val="auto"/>
          <w:sz w:val="24"/>
          <w:szCs w:val="24"/>
          <w:lang w:val="en-US" w:eastAsia="zh-CN"/>
        </w:rPr>
        <w:t>贰</w:t>
      </w:r>
      <w:r>
        <w:rPr>
          <w:rFonts w:hint="eastAsia" w:ascii="宋体" w:hAnsi="宋体"/>
          <w:color w:val="auto"/>
          <w:sz w:val="24"/>
          <w:szCs w:val="24"/>
        </w:rPr>
        <w:t>万元整（</w:t>
      </w:r>
      <w:r>
        <w:rPr>
          <w:rFonts w:ascii="宋体" w:hAnsi="宋体"/>
          <w:color w:val="auto"/>
          <w:sz w:val="24"/>
          <w:szCs w:val="24"/>
        </w:rPr>
        <w:t>¥</w:t>
      </w:r>
      <w:r>
        <w:rPr>
          <w:rFonts w:hint="eastAsia" w:ascii="宋体" w:hAnsi="宋体"/>
          <w:color w:val="auto"/>
          <w:sz w:val="24"/>
          <w:szCs w:val="24"/>
          <w:lang w:val="en-US" w:eastAsia="zh-CN"/>
        </w:rPr>
        <w:t>120000</w:t>
      </w:r>
      <w:r>
        <w:rPr>
          <w:rFonts w:ascii="宋体" w:hAnsi="宋体"/>
          <w:color w:val="auto"/>
          <w:sz w:val="24"/>
          <w:szCs w:val="24"/>
        </w:rPr>
        <w:t>.00</w:t>
      </w:r>
      <w:r>
        <w:rPr>
          <w:rFonts w:hint="eastAsia" w:ascii="宋体" w:hAnsi="宋体"/>
          <w:color w:val="auto"/>
          <w:sz w:val="24"/>
          <w:szCs w:val="24"/>
        </w:rPr>
        <w:t>）</w:t>
      </w:r>
    </w:p>
    <w:p>
      <w:pPr>
        <w:autoSpaceDE w:val="0"/>
        <w:autoSpaceDN w:val="0"/>
        <w:adjustRightInd w:val="0"/>
        <w:spacing w:line="360" w:lineRule="auto"/>
        <w:ind w:firstLine="240" w:firstLineChars="100"/>
        <w:jc w:val="left"/>
        <w:rPr>
          <w:rFonts w:ascii="宋体" w:hAnsi="宋体"/>
          <w:color w:val="auto"/>
          <w:sz w:val="24"/>
          <w:szCs w:val="24"/>
        </w:rPr>
      </w:pPr>
      <w:r>
        <w:rPr>
          <w:rFonts w:hint="eastAsia" w:ascii="宋体" w:hAnsi="宋体"/>
          <w:color w:val="auto"/>
          <w:sz w:val="24"/>
          <w:szCs w:val="24"/>
        </w:rPr>
        <w:t>8.项目类别：服务类</w:t>
      </w:r>
    </w:p>
    <w:p>
      <w:pPr>
        <w:autoSpaceDE w:val="0"/>
        <w:autoSpaceDN w:val="0"/>
        <w:adjustRightInd w:val="0"/>
        <w:spacing w:line="360" w:lineRule="auto"/>
        <w:ind w:firstLine="200"/>
        <w:jc w:val="left"/>
        <w:rPr>
          <w:rFonts w:ascii="宋体" w:hAnsi="宋体"/>
          <w:b/>
          <w:bCs/>
          <w:color w:val="auto"/>
          <w:sz w:val="24"/>
          <w:szCs w:val="24"/>
        </w:rPr>
      </w:pPr>
      <w:r>
        <w:rPr>
          <w:rFonts w:hint="eastAsia" w:ascii="宋体" w:hAnsi="宋体"/>
          <w:b/>
          <w:bCs/>
          <w:color w:val="auto"/>
          <w:sz w:val="24"/>
          <w:szCs w:val="24"/>
        </w:rPr>
        <w:t>二、投标人资格</w:t>
      </w:r>
    </w:p>
    <w:p>
      <w:pPr>
        <w:autoSpaceDE w:val="0"/>
        <w:autoSpaceDN w:val="0"/>
        <w:adjustRightInd w:val="0"/>
        <w:spacing w:line="360" w:lineRule="auto"/>
        <w:ind w:firstLine="240" w:firstLineChars="100"/>
        <w:jc w:val="left"/>
        <w:rPr>
          <w:rFonts w:ascii="宋体" w:hAnsi="宋体"/>
          <w:color w:val="auto"/>
          <w:sz w:val="24"/>
          <w:szCs w:val="18"/>
        </w:rPr>
      </w:pPr>
      <w:r>
        <w:rPr>
          <w:rFonts w:hint="eastAsia" w:ascii="宋体" w:hAnsi="宋体"/>
          <w:color w:val="auto"/>
          <w:sz w:val="24"/>
          <w:szCs w:val="18"/>
        </w:rPr>
        <w:t>1.</w:t>
      </w:r>
      <w:r>
        <w:rPr>
          <w:rFonts w:hint="eastAsia"/>
          <w:color w:val="auto"/>
        </w:rPr>
        <w:t xml:space="preserve"> </w:t>
      </w:r>
      <w:r>
        <w:rPr>
          <w:rFonts w:hint="eastAsia" w:ascii="宋体" w:hAnsi="宋体"/>
          <w:color w:val="auto"/>
          <w:sz w:val="24"/>
          <w:szCs w:val="18"/>
        </w:rPr>
        <w:t>具有独立承担民事责任的能力；</w:t>
      </w:r>
    </w:p>
    <w:p>
      <w:pPr>
        <w:autoSpaceDE w:val="0"/>
        <w:autoSpaceDN w:val="0"/>
        <w:adjustRightInd w:val="0"/>
        <w:spacing w:line="360" w:lineRule="auto"/>
        <w:ind w:firstLine="240" w:firstLineChars="100"/>
        <w:jc w:val="left"/>
        <w:rPr>
          <w:rFonts w:ascii="宋体" w:hAnsi="宋体"/>
          <w:color w:val="auto"/>
          <w:sz w:val="24"/>
          <w:szCs w:val="18"/>
        </w:rPr>
      </w:pPr>
      <w:r>
        <w:rPr>
          <w:rFonts w:hint="eastAsia" w:ascii="宋体" w:hAnsi="宋体"/>
          <w:color w:val="auto"/>
          <w:sz w:val="24"/>
          <w:szCs w:val="18"/>
          <w:lang w:val="en-US" w:eastAsia="zh-CN"/>
        </w:rPr>
        <w:t>2</w:t>
      </w:r>
      <w:r>
        <w:rPr>
          <w:rFonts w:hint="eastAsia" w:ascii="宋体" w:hAnsi="宋体"/>
          <w:color w:val="auto"/>
          <w:sz w:val="24"/>
          <w:szCs w:val="18"/>
        </w:rPr>
        <w:t>.</w:t>
      </w:r>
      <w:r>
        <w:rPr>
          <w:rFonts w:ascii="宋体" w:hAnsi="宋体"/>
          <w:color w:val="auto"/>
          <w:sz w:val="24"/>
          <w:szCs w:val="18"/>
        </w:rPr>
        <w:t xml:space="preserve"> </w:t>
      </w:r>
      <w:r>
        <w:rPr>
          <w:rFonts w:hint="eastAsia" w:ascii="宋体" w:hAnsi="宋体"/>
          <w:color w:val="auto"/>
          <w:sz w:val="24"/>
          <w:szCs w:val="18"/>
        </w:rPr>
        <w:t>自201</w:t>
      </w:r>
      <w:r>
        <w:rPr>
          <w:rFonts w:hint="eastAsia" w:ascii="宋体" w:hAnsi="宋体"/>
          <w:color w:val="auto"/>
          <w:sz w:val="24"/>
          <w:szCs w:val="18"/>
          <w:lang w:val="en-US" w:eastAsia="zh-CN"/>
        </w:rPr>
        <w:t>9</w:t>
      </w:r>
      <w:r>
        <w:rPr>
          <w:rFonts w:hint="eastAsia" w:ascii="宋体" w:hAnsi="宋体"/>
          <w:color w:val="auto"/>
          <w:sz w:val="24"/>
          <w:szCs w:val="18"/>
        </w:rPr>
        <w:t>年1月1日以来，承担过不少</w:t>
      </w:r>
      <w:r>
        <w:rPr>
          <w:rFonts w:hint="eastAsia" w:ascii="宋体" w:hAnsi="宋体"/>
          <w:color w:val="auto"/>
          <w:sz w:val="24"/>
          <w:szCs w:val="18"/>
          <w:lang w:val="en-US" w:eastAsia="zh-CN"/>
        </w:rPr>
        <w:t>于</w:t>
      </w:r>
      <w:r>
        <w:rPr>
          <w:rFonts w:hint="eastAsia" w:ascii="宋体" w:hAnsi="宋体"/>
          <w:color w:val="auto"/>
          <w:sz w:val="24"/>
          <w:szCs w:val="18"/>
        </w:rPr>
        <w:t>2项且单体建筑面积不小于4万平方米的消防设施维护项目，其中，2项均含有火灾自动报警及其联动控制系统和自动灭火系统，至少1项含有泡沫灭火系统；</w:t>
      </w:r>
    </w:p>
    <w:p>
      <w:pPr>
        <w:autoSpaceDE w:val="0"/>
        <w:autoSpaceDN w:val="0"/>
        <w:adjustRightInd w:val="0"/>
        <w:spacing w:line="360" w:lineRule="auto"/>
        <w:ind w:firstLine="240" w:firstLineChars="100"/>
        <w:jc w:val="left"/>
        <w:rPr>
          <w:rFonts w:ascii="宋体" w:hAnsi="宋体"/>
          <w:color w:val="auto"/>
          <w:sz w:val="24"/>
          <w:szCs w:val="24"/>
        </w:rPr>
      </w:pPr>
      <w:r>
        <w:rPr>
          <w:rFonts w:hint="eastAsia" w:ascii="宋体" w:hAnsi="宋体"/>
          <w:color w:val="auto"/>
          <w:sz w:val="24"/>
          <w:szCs w:val="18"/>
          <w:lang w:val="en-US" w:eastAsia="zh-CN"/>
        </w:rPr>
        <w:t>3</w:t>
      </w:r>
      <w:r>
        <w:rPr>
          <w:rFonts w:hint="eastAsia" w:ascii="宋体" w:hAnsi="宋体"/>
          <w:color w:val="auto"/>
          <w:sz w:val="24"/>
          <w:szCs w:val="18"/>
        </w:rPr>
        <w:t>.</w:t>
      </w:r>
      <w:r>
        <w:rPr>
          <w:rFonts w:hint="eastAsia" w:ascii="宋体" w:hAnsi="宋体"/>
          <w:color w:val="auto"/>
          <w:sz w:val="24"/>
          <w:szCs w:val="24"/>
        </w:rPr>
        <w:t>本项目不接受联合体投标；</w:t>
      </w:r>
    </w:p>
    <w:p>
      <w:pPr>
        <w:tabs>
          <w:tab w:val="left" w:pos="2410"/>
        </w:tabs>
        <w:autoSpaceDE w:val="0"/>
        <w:autoSpaceDN w:val="0"/>
        <w:adjustRightInd w:val="0"/>
        <w:snapToGrid w:val="0"/>
        <w:spacing w:line="360" w:lineRule="auto"/>
        <w:ind w:firstLine="240" w:firstLineChars="100"/>
        <w:rPr>
          <w:rFonts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.符合下列情形之一：</w:t>
      </w:r>
    </w:p>
    <w:p>
      <w:pPr>
        <w:autoSpaceDE w:val="0"/>
        <w:autoSpaceDN w:val="0"/>
        <w:adjustRightInd w:val="0"/>
        <w:spacing w:line="360" w:lineRule="auto"/>
        <w:ind w:firstLine="240" w:firstLineChars="100"/>
        <w:jc w:val="left"/>
        <w:rPr>
          <w:rFonts w:ascii="宋体" w:hAnsi="宋体"/>
          <w:color w:val="auto"/>
          <w:sz w:val="24"/>
          <w:szCs w:val="18"/>
        </w:rPr>
      </w:pPr>
      <w:r>
        <w:rPr>
          <w:rFonts w:hint="eastAsia" w:ascii="宋体" w:hAnsi="宋体"/>
          <w:color w:val="auto"/>
          <w:sz w:val="24"/>
          <w:szCs w:val="18"/>
        </w:rPr>
        <w:t xml:space="preserve">1)开标日前两年内未被合肥市及其所辖县（市）公共资源交易监督管理局记不良行为记录或记不良行为记录累计未满10分的。 </w:t>
      </w:r>
    </w:p>
    <w:p>
      <w:pPr>
        <w:autoSpaceDE w:val="0"/>
        <w:autoSpaceDN w:val="0"/>
        <w:adjustRightInd w:val="0"/>
        <w:spacing w:line="360" w:lineRule="auto"/>
        <w:ind w:firstLine="240" w:firstLineChars="100"/>
        <w:jc w:val="left"/>
        <w:rPr>
          <w:rFonts w:ascii="宋体" w:hAnsi="宋体"/>
          <w:color w:val="auto"/>
          <w:sz w:val="24"/>
          <w:szCs w:val="18"/>
        </w:rPr>
      </w:pPr>
      <w:r>
        <w:rPr>
          <w:rFonts w:hint="eastAsia" w:ascii="宋体" w:hAnsi="宋体"/>
          <w:color w:val="auto"/>
          <w:sz w:val="24"/>
          <w:szCs w:val="18"/>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360" w:lineRule="auto"/>
        <w:ind w:firstLine="240" w:firstLineChars="100"/>
        <w:jc w:val="left"/>
        <w:rPr>
          <w:rFonts w:ascii="宋体" w:hAnsi="宋体"/>
          <w:color w:val="auto"/>
          <w:sz w:val="24"/>
          <w:szCs w:val="18"/>
        </w:rPr>
      </w:pPr>
      <w:r>
        <w:rPr>
          <w:rFonts w:hint="eastAsia" w:ascii="宋体" w:hAnsi="宋体"/>
          <w:color w:val="auto"/>
          <w:sz w:val="24"/>
          <w:szCs w:val="18"/>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360" w:lineRule="auto"/>
        <w:ind w:firstLine="240" w:firstLineChars="100"/>
        <w:jc w:val="left"/>
        <w:rPr>
          <w:rFonts w:ascii="宋体" w:hAnsi="宋体"/>
          <w:color w:val="auto"/>
          <w:sz w:val="24"/>
          <w:szCs w:val="18"/>
        </w:rPr>
      </w:pPr>
      <w:r>
        <w:rPr>
          <w:rFonts w:hint="eastAsia" w:ascii="宋体" w:hAnsi="宋体"/>
          <w:color w:val="auto"/>
          <w:sz w:val="24"/>
          <w:szCs w:val="18"/>
        </w:rPr>
        <w:t>4)最近一次被合肥市及其所辖县（市）公共资源交易监督管理局记不良行为记录累计记分达20分(含20分)及以上且公布日距开标日超过24个月。</w:t>
      </w:r>
    </w:p>
    <w:p>
      <w:pPr>
        <w:autoSpaceDE w:val="0"/>
        <w:autoSpaceDN w:val="0"/>
        <w:adjustRightInd w:val="0"/>
        <w:spacing w:line="360" w:lineRule="auto"/>
        <w:ind w:left="239" w:leftChars="114" w:firstLine="0" w:firstLineChars="0"/>
        <w:jc w:val="left"/>
        <w:rPr>
          <w:rFonts w:ascii="宋体" w:hAnsi="宋体"/>
          <w:color w:val="auto"/>
          <w:sz w:val="24"/>
          <w:szCs w:val="18"/>
        </w:rPr>
      </w:pPr>
      <w:r>
        <w:rPr>
          <w:rFonts w:hint="eastAsia" w:ascii="宋体" w:hAnsi="宋体"/>
          <w:color w:val="auto"/>
          <w:sz w:val="24"/>
          <w:szCs w:val="18"/>
          <w:lang w:val="en-US" w:eastAsia="zh-CN"/>
        </w:rPr>
        <w:t>5</w:t>
      </w:r>
      <w:r>
        <w:rPr>
          <w:rFonts w:hint="eastAsia" w:ascii="宋体" w:hAnsi="宋体"/>
          <w:color w:val="auto"/>
          <w:sz w:val="24"/>
          <w:szCs w:val="18"/>
        </w:rPr>
        <w:t>.投标人存在以下不良信用记录情形之一的，不得推荐为中标候选人，不得确定为中标人：</w:t>
      </w:r>
    </w:p>
    <w:p>
      <w:pPr>
        <w:autoSpaceDE w:val="0"/>
        <w:autoSpaceDN w:val="0"/>
        <w:adjustRightInd w:val="0"/>
        <w:spacing w:line="360" w:lineRule="auto"/>
        <w:ind w:firstLine="240" w:firstLineChars="100"/>
        <w:jc w:val="left"/>
        <w:rPr>
          <w:rFonts w:ascii="宋体" w:hAnsi="宋体"/>
          <w:color w:val="auto"/>
          <w:sz w:val="24"/>
          <w:szCs w:val="18"/>
        </w:rPr>
      </w:pPr>
      <w:r>
        <w:rPr>
          <w:rFonts w:hint="eastAsia" w:ascii="宋体" w:hAnsi="宋体"/>
          <w:color w:val="auto"/>
          <w:sz w:val="24"/>
          <w:szCs w:val="18"/>
        </w:rPr>
        <w:t>1）投标人被人民法院列入失信被执行人的；</w:t>
      </w:r>
    </w:p>
    <w:p>
      <w:pPr>
        <w:autoSpaceDE w:val="0"/>
        <w:autoSpaceDN w:val="0"/>
        <w:adjustRightInd w:val="0"/>
        <w:spacing w:line="360" w:lineRule="auto"/>
        <w:ind w:firstLine="240" w:firstLineChars="100"/>
        <w:jc w:val="left"/>
        <w:rPr>
          <w:rFonts w:ascii="宋体" w:hAnsi="宋体"/>
          <w:color w:val="auto"/>
          <w:sz w:val="24"/>
          <w:szCs w:val="18"/>
        </w:rPr>
      </w:pPr>
      <w:r>
        <w:rPr>
          <w:rFonts w:hint="eastAsia" w:ascii="宋体" w:hAnsi="宋体"/>
          <w:color w:val="auto"/>
          <w:sz w:val="24"/>
          <w:szCs w:val="18"/>
        </w:rPr>
        <w:t xml:space="preserve">2）投标人或其法定代表人或拟派项目经理（项目负责人）被人民检察院列入行贿犯罪档案的； </w:t>
      </w:r>
    </w:p>
    <w:p>
      <w:pPr>
        <w:autoSpaceDE w:val="0"/>
        <w:autoSpaceDN w:val="0"/>
        <w:adjustRightInd w:val="0"/>
        <w:spacing w:line="460" w:lineRule="exact"/>
        <w:ind w:firstLine="240" w:firstLineChars="100"/>
        <w:jc w:val="left"/>
        <w:rPr>
          <w:rFonts w:ascii="宋体" w:hAnsi="宋体"/>
          <w:color w:val="auto"/>
          <w:sz w:val="24"/>
          <w:szCs w:val="18"/>
        </w:rPr>
      </w:pPr>
      <w:r>
        <w:rPr>
          <w:rFonts w:hint="eastAsia" w:ascii="宋体" w:hAnsi="宋体"/>
          <w:color w:val="auto"/>
          <w:sz w:val="24"/>
          <w:szCs w:val="18"/>
        </w:rPr>
        <w:t>3）投标人被工商行政管理部门列入企业经营异常名录的；</w:t>
      </w:r>
    </w:p>
    <w:p>
      <w:pPr>
        <w:autoSpaceDE w:val="0"/>
        <w:autoSpaceDN w:val="0"/>
        <w:adjustRightInd w:val="0"/>
        <w:spacing w:line="460" w:lineRule="exact"/>
        <w:ind w:firstLine="240" w:firstLineChars="100"/>
        <w:jc w:val="left"/>
        <w:rPr>
          <w:rFonts w:ascii="宋体" w:hAnsi="宋体"/>
          <w:color w:val="auto"/>
          <w:sz w:val="24"/>
          <w:szCs w:val="18"/>
        </w:rPr>
      </w:pPr>
      <w:r>
        <w:rPr>
          <w:rFonts w:hint="eastAsia" w:ascii="宋体" w:hAnsi="宋体"/>
          <w:color w:val="auto"/>
          <w:sz w:val="24"/>
          <w:szCs w:val="18"/>
        </w:rPr>
        <w:t>4）投标人被税务部门列入重大税收违法案件当事人名单的。</w:t>
      </w:r>
    </w:p>
    <w:p>
      <w:pPr>
        <w:autoSpaceDE w:val="0"/>
        <w:autoSpaceDN w:val="0"/>
        <w:adjustRightInd w:val="0"/>
        <w:spacing w:line="460" w:lineRule="exact"/>
        <w:ind w:firstLine="241" w:firstLineChars="100"/>
        <w:jc w:val="left"/>
        <w:rPr>
          <w:rFonts w:ascii="宋体" w:hAnsi="宋体"/>
          <w:b/>
          <w:bCs/>
          <w:color w:val="auto"/>
          <w:sz w:val="24"/>
          <w:szCs w:val="24"/>
        </w:rPr>
      </w:pPr>
      <w:r>
        <w:rPr>
          <w:rFonts w:hint="eastAsia" w:ascii="宋体" w:hAnsi="宋体"/>
          <w:b/>
          <w:bCs/>
          <w:color w:val="auto"/>
          <w:sz w:val="24"/>
          <w:szCs w:val="24"/>
        </w:rPr>
        <w:t>三、投标报名</w:t>
      </w:r>
    </w:p>
    <w:p>
      <w:pPr>
        <w:autoSpaceDE w:val="0"/>
        <w:autoSpaceDN w:val="0"/>
        <w:adjustRightInd w:val="0"/>
        <w:spacing w:line="360" w:lineRule="auto"/>
        <w:ind w:firstLine="200"/>
        <w:jc w:val="left"/>
        <w:rPr>
          <w:rFonts w:ascii="宋体" w:hAnsi="宋体" w:cs="宋体"/>
          <w:color w:val="auto"/>
          <w:kern w:val="0"/>
          <w:sz w:val="24"/>
          <w:szCs w:val="24"/>
          <w:u w:val="single"/>
        </w:rPr>
      </w:pPr>
      <w:r>
        <w:rPr>
          <w:rFonts w:hint="eastAsia" w:ascii="宋体" w:hAnsi="宋体"/>
          <w:bCs/>
          <w:color w:val="auto"/>
          <w:sz w:val="24"/>
          <w:szCs w:val="24"/>
        </w:rPr>
        <w:t>1.</w:t>
      </w:r>
      <w:r>
        <w:rPr>
          <w:rFonts w:hint="eastAsia" w:ascii="宋体" w:hAnsi="宋体" w:cs="宋体"/>
          <w:color w:val="auto"/>
          <w:kern w:val="0"/>
          <w:sz w:val="24"/>
          <w:szCs w:val="24"/>
        </w:rPr>
        <w:t>报名日期：</w:t>
      </w:r>
      <w:r>
        <w:rPr>
          <w:rFonts w:hint="eastAsia" w:ascii="宋体" w:hAnsi="宋体" w:cs="宋体"/>
          <w:color w:val="auto"/>
          <w:kern w:val="0"/>
          <w:sz w:val="24"/>
          <w:szCs w:val="24"/>
          <w:u w:val="single"/>
        </w:rPr>
        <w:t>2021年</w:t>
      </w:r>
      <w:r>
        <w:rPr>
          <w:rFonts w:hint="eastAsia" w:ascii="宋体" w:hAnsi="宋体" w:cs="宋体"/>
          <w:color w:val="auto"/>
          <w:kern w:val="0"/>
          <w:sz w:val="24"/>
          <w:szCs w:val="24"/>
          <w:u w:val="single"/>
          <w:lang w:val="en-US" w:eastAsia="zh-CN"/>
        </w:rPr>
        <w:t>12</w:t>
      </w:r>
      <w:r>
        <w:rPr>
          <w:rFonts w:hint="eastAsia" w:ascii="宋体" w:hAnsi="宋体" w:cs="宋体"/>
          <w:color w:val="auto"/>
          <w:kern w:val="0"/>
          <w:sz w:val="24"/>
          <w:szCs w:val="24"/>
          <w:u w:val="single"/>
        </w:rPr>
        <w:t>月</w:t>
      </w:r>
      <w:r>
        <w:rPr>
          <w:rFonts w:hint="eastAsia" w:ascii="宋体" w:hAnsi="宋体" w:cs="宋体"/>
          <w:color w:val="auto"/>
          <w:kern w:val="0"/>
          <w:sz w:val="24"/>
          <w:szCs w:val="24"/>
          <w:u w:val="single"/>
          <w:lang w:val="en-US" w:eastAsia="zh-CN"/>
        </w:rPr>
        <w:t>28</w:t>
      </w:r>
      <w:r>
        <w:rPr>
          <w:rFonts w:hint="eastAsia" w:ascii="宋体" w:hAnsi="宋体" w:cs="宋体"/>
          <w:color w:val="auto"/>
          <w:kern w:val="0"/>
          <w:sz w:val="24"/>
          <w:szCs w:val="24"/>
          <w:u w:val="single"/>
        </w:rPr>
        <w:t>日上午09:00至202</w:t>
      </w:r>
      <w:r>
        <w:rPr>
          <w:rFonts w:hint="eastAsia" w:ascii="宋体" w:hAnsi="宋体" w:cs="宋体"/>
          <w:color w:val="auto"/>
          <w:kern w:val="0"/>
          <w:sz w:val="24"/>
          <w:szCs w:val="24"/>
          <w:u w:val="single"/>
          <w:lang w:val="en-US" w:eastAsia="zh-CN"/>
        </w:rPr>
        <w:t>2</w:t>
      </w:r>
      <w:r>
        <w:rPr>
          <w:rFonts w:hint="eastAsia" w:ascii="宋体" w:hAnsi="宋体" w:cs="宋体"/>
          <w:color w:val="auto"/>
          <w:kern w:val="0"/>
          <w:sz w:val="24"/>
          <w:szCs w:val="24"/>
          <w:u w:val="single"/>
        </w:rPr>
        <w:t>年</w:t>
      </w:r>
      <w:r>
        <w:rPr>
          <w:rFonts w:hint="eastAsia" w:ascii="宋体" w:hAnsi="宋体" w:cs="宋体"/>
          <w:color w:val="auto"/>
          <w:kern w:val="0"/>
          <w:sz w:val="24"/>
          <w:szCs w:val="24"/>
          <w:u w:val="single"/>
          <w:lang w:val="en-US" w:eastAsia="zh-CN"/>
        </w:rPr>
        <w:t>1</w:t>
      </w:r>
      <w:r>
        <w:rPr>
          <w:rFonts w:hint="eastAsia" w:ascii="宋体" w:hAnsi="宋体" w:cs="宋体"/>
          <w:color w:val="auto"/>
          <w:kern w:val="0"/>
          <w:sz w:val="24"/>
          <w:szCs w:val="24"/>
          <w:u w:val="single"/>
        </w:rPr>
        <w:t>月</w:t>
      </w:r>
      <w:r>
        <w:rPr>
          <w:rFonts w:hint="eastAsia" w:ascii="宋体" w:hAnsi="宋体" w:cs="宋体"/>
          <w:color w:val="auto"/>
          <w:kern w:val="0"/>
          <w:sz w:val="24"/>
          <w:szCs w:val="24"/>
          <w:u w:val="single"/>
          <w:lang w:val="en-US" w:eastAsia="zh-CN"/>
        </w:rPr>
        <w:t>4</w:t>
      </w:r>
      <w:r>
        <w:rPr>
          <w:rFonts w:hint="eastAsia" w:ascii="宋体" w:hAnsi="宋体" w:cs="宋体"/>
          <w:color w:val="auto"/>
          <w:kern w:val="0"/>
          <w:sz w:val="24"/>
          <w:szCs w:val="24"/>
          <w:u w:val="single"/>
        </w:rPr>
        <w:t>日下午17:00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2.领取方法：登录合肥文旅博览集团有限公司网站</w:t>
      </w:r>
      <w:r>
        <w:rPr>
          <w:rFonts w:ascii="宋体" w:hAnsi="宋体" w:cs="宋体"/>
          <w:color w:val="auto"/>
          <w:kern w:val="0"/>
          <w:sz w:val="24"/>
          <w:szCs w:val="24"/>
        </w:rPr>
        <w:t>http://www.zwzcgl.com</w:t>
      </w:r>
      <w:r>
        <w:rPr>
          <w:rFonts w:hint="eastAsia" w:ascii="宋体" w:hAnsi="宋体" w:cs="宋体"/>
          <w:color w:val="auto"/>
          <w:kern w:val="0"/>
          <w:sz w:val="24"/>
          <w:szCs w:val="24"/>
        </w:rPr>
        <w:t>下载标书</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3.报名方法：下载附件《××单位投××项目报名信息表》并完整填写信息后在规定的报名日期内发送至邮箱：</w:t>
      </w:r>
      <w:r>
        <w:rPr>
          <w:color w:val="auto"/>
          <w:u w:val="single"/>
        </w:rPr>
        <w:fldChar w:fldCharType="begin"/>
      </w:r>
      <w:r>
        <w:rPr>
          <w:color w:val="auto"/>
          <w:u w:val="single"/>
        </w:rPr>
        <w:instrText xml:space="preserve"> HYPERLINK "mailto:120156961@qq.com" </w:instrText>
      </w:r>
      <w:r>
        <w:rPr>
          <w:color w:val="auto"/>
          <w:u w:val="single"/>
        </w:rPr>
        <w:fldChar w:fldCharType="separate"/>
      </w:r>
      <w:r>
        <w:rPr>
          <w:rFonts w:hint="eastAsia" w:cs="宋体"/>
          <w:color w:val="auto"/>
          <w:kern w:val="0"/>
          <w:sz w:val="24"/>
          <w:szCs w:val="24"/>
          <w:u w:val="single"/>
          <w:lang w:val="en-US" w:eastAsia="zh-CN"/>
        </w:rPr>
        <w:t>361923526</w:t>
      </w:r>
      <w:r>
        <w:rPr>
          <w:rFonts w:hint="eastAsia" w:cs="宋体"/>
          <w:color w:val="auto"/>
          <w:kern w:val="0"/>
          <w:sz w:val="24"/>
          <w:szCs w:val="24"/>
          <w:u w:val="single"/>
        </w:rPr>
        <w:t>@qq.com</w:t>
      </w:r>
      <w:r>
        <w:rPr>
          <w:rFonts w:cs="宋体"/>
          <w:color w:val="auto"/>
          <w:kern w:val="0"/>
          <w:sz w:val="24"/>
          <w:szCs w:val="24"/>
          <w:u w:val="single"/>
        </w:rPr>
        <w:fldChar w:fldCharType="end"/>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rPr>
        <w:t>四、投标保证金</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投标保证金缴纳详见第二章投标人须知前附表</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rPr>
        <w:t>五、开标时间及地点</w:t>
      </w:r>
    </w:p>
    <w:p>
      <w:pPr>
        <w:autoSpaceDE w:val="0"/>
        <w:autoSpaceDN w:val="0"/>
        <w:adjustRightInd w:val="0"/>
        <w:spacing w:line="360" w:lineRule="auto"/>
        <w:ind w:firstLine="200"/>
        <w:jc w:val="left"/>
        <w:rPr>
          <w:rFonts w:ascii="宋体" w:hAnsi="宋体" w:cs="宋体"/>
          <w:color w:val="auto"/>
          <w:kern w:val="0"/>
          <w:sz w:val="24"/>
          <w:szCs w:val="24"/>
          <w:u w:val="single"/>
        </w:rPr>
      </w:pPr>
      <w:r>
        <w:rPr>
          <w:rFonts w:hint="eastAsia" w:ascii="宋体" w:hAnsi="宋体" w:cs="宋体"/>
          <w:color w:val="auto"/>
          <w:kern w:val="0"/>
          <w:sz w:val="24"/>
          <w:szCs w:val="24"/>
        </w:rPr>
        <w:t>1.开标时间：</w:t>
      </w:r>
      <w:r>
        <w:rPr>
          <w:rFonts w:hint="eastAsia" w:ascii="宋体" w:hAnsi="宋体" w:cs="宋体"/>
          <w:color w:val="auto"/>
          <w:kern w:val="0"/>
          <w:sz w:val="24"/>
          <w:szCs w:val="24"/>
          <w:u w:val="single"/>
        </w:rPr>
        <w:t>202</w:t>
      </w:r>
      <w:r>
        <w:rPr>
          <w:rFonts w:hint="eastAsia" w:ascii="宋体" w:hAnsi="宋体" w:cs="宋体"/>
          <w:color w:val="auto"/>
          <w:kern w:val="0"/>
          <w:sz w:val="24"/>
          <w:szCs w:val="24"/>
          <w:u w:val="single"/>
          <w:lang w:val="en-US" w:eastAsia="zh-CN"/>
        </w:rPr>
        <w:t>2</w:t>
      </w:r>
      <w:r>
        <w:rPr>
          <w:rFonts w:hint="eastAsia" w:ascii="宋体" w:hAnsi="宋体" w:cs="宋体"/>
          <w:color w:val="auto"/>
          <w:kern w:val="0"/>
          <w:sz w:val="24"/>
          <w:szCs w:val="24"/>
          <w:u w:val="single"/>
        </w:rPr>
        <w:t>年</w:t>
      </w:r>
      <w:r>
        <w:rPr>
          <w:rFonts w:hint="eastAsia" w:ascii="宋体" w:hAnsi="宋体" w:cs="宋体"/>
          <w:color w:val="auto"/>
          <w:kern w:val="0"/>
          <w:sz w:val="24"/>
          <w:szCs w:val="24"/>
          <w:u w:val="single"/>
          <w:lang w:val="en-US" w:eastAsia="zh-CN"/>
        </w:rPr>
        <w:t>1</w:t>
      </w:r>
      <w:r>
        <w:rPr>
          <w:rFonts w:hint="eastAsia" w:ascii="宋体" w:hAnsi="宋体" w:cs="宋体"/>
          <w:color w:val="auto"/>
          <w:kern w:val="0"/>
          <w:sz w:val="24"/>
          <w:szCs w:val="24"/>
          <w:u w:val="single"/>
        </w:rPr>
        <w:t>月</w:t>
      </w:r>
      <w:r>
        <w:rPr>
          <w:rFonts w:hint="eastAsia" w:ascii="宋体" w:hAnsi="宋体" w:cs="宋体"/>
          <w:color w:val="auto"/>
          <w:kern w:val="0"/>
          <w:sz w:val="24"/>
          <w:szCs w:val="24"/>
          <w:u w:val="single"/>
          <w:lang w:val="en-US" w:eastAsia="zh-CN"/>
        </w:rPr>
        <w:t>5</w:t>
      </w:r>
      <w:r>
        <w:rPr>
          <w:rFonts w:hint="eastAsia" w:ascii="宋体" w:hAnsi="宋体" w:cs="宋体"/>
          <w:color w:val="auto"/>
          <w:kern w:val="0"/>
          <w:sz w:val="24"/>
          <w:szCs w:val="24"/>
          <w:u w:val="single"/>
        </w:rPr>
        <w:t>日</w:t>
      </w:r>
      <w:r>
        <w:rPr>
          <w:rFonts w:hint="eastAsia" w:ascii="宋体" w:hAnsi="宋体" w:cs="宋体"/>
          <w:color w:val="auto"/>
          <w:kern w:val="0"/>
          <w:sz w:val="24"/>
          <w:szCs w:val="24"/>
          <w:u w:val="single"/>
          <w:lang w:val="en-US" w:eastAsia="zh-CN"/>
        </w:rPr>
        <w:t>10</w:t>
      </w:r>
      <w:r>
        <w:rPr>
          <w:rFonts w:hint="eastAsia" w:ascii="宋体" w:hAnsi="宋体" w:cs="宋体"/>
          <w:color w:val="auto"/>
          <w:kern w:val="0"/>
          <w:sz w:val="24"/>
          <w:szCs w:val="24"/>
          <w:u w:val="single"/>
        </w:rPr>
        <w:t>：</w:t>
      </w:r>
      <w:r>
        <w:rPr>
          <w:rFonts w:hint="eastAsia" w:ascii="宋体" w:hAnsi="宋体" w:cs="宋体"/>
          <w:color w:val="auto"/>
          <w:kern w:val="0"/>
          <w:sz w:val="24"/>
          <w:szCs w:val="24"/>
          <w:u w:val="single"/>
          <w:lang w:val="en-US" w:eastAsia="zh-CN"/>
        </w:rPr>
        <w:t>3</w:t>
      </w:r>
      <w:r>
        <w:rPr>
          <w:rFonts w:hint="eastAsia" w:ascii="宋体" w:hAnsi="宋体" w:cs="宋体"/>
          <w:color w:val="auto"/>
          <w:kern w:val="0"/>
          <w:sz w:val="24"/>
          <w:szCs w:val="24"/>
          <w:u w:val="single"/>
        </w:rPr>
        <w:t>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2.开标地点：合肥市蜀山区习友路与茂荫路交口投资大厦2楼2-1会议室</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rPr>
        <w:t>六、投标截止时间</w:t>
      </w:r>
    </w:p>
    <w:p>
      <w:pPr>
        <w:autoSpaceDE w:val="0"/>
        <w:autoSpaceDN w:val="0"/>
        <w:adjustRightInd w:val="0"/>
        <w:spacing w:line="360" w:lineRule="auto"/>
        <w:ind w:firstLine="200"/>
        <w:jc w:val="left"/>
        <w:rPr>
          <w:rFonts w:hint="eastAsia" w:ascii="宋体" w:hAnsi="宋体" w:cs="宋体"/>
          <w:color w:val="auto"/>
          <w:kern w:val="0"/>
          <w:sz w:val="24"/>
          <w:szCs w:val="24"/>
          <w:u w:val="single"/>
          <w:lang w:val="en-US" w:eastAsia="zh-CN"/>
        </w:rPr>
      </w:pPr>
      <w:r>
        <w:rPr>
          <w:rFonts w:hint="eastAsia" w:ascii="宋体" w:hAnsi="宋体" w:cs="宋体"/>
          <w:color w:val="auto"/>
          <w:kern w:val="0"/>
          <w:sz w:val="24"/>
          <w:szCs w:val="24"/>
          <w:u w:val="single"/>
        </w:rPr>
        <w:t>2021年</w:t>
      </w:r>
      <w:r>
        <w:rPr>
          <w:rFonts w:hint="eastAsia" w:ascii="宋体" w:hAnsi="宋体" w:cs="宋体"/>
          <w:color w:val="auto"/>
          <w:kern w:val="0"/>
          <w:sz w:val="24"/>
          <w:szCs w:val="24"/>
          <w:u w:val="single"/>
          <w:lang w:val="en-US" w:eastAsia="zh-CN"/>
        </w:rPr>
        <w:t>1</w:t>
      </w:r>
      <w:r>
        <w:rPr>
          <w:rFonts w:hint="eastAsia" w:ascii="宋体" w:hAnsi="宋体" w:cs="宋体"/>
          <w:color w:val="auto"/>
          <w:kern w:val="0"/>
          <w:sz w:val="24"/>
          <w:szCs w:val="24"/>
          <w:u w:val="single"/>
        </w:rPr>
        <w:t>月</w:t>
      </w:r>
      <w:r>
        <w:rPr>
          <w:rFonts w:hint="eastAsia" w:ascii="宋体" w:hAnsi="宋体" w:cs="宋体"/>
          <w:color w:val="auto"/>
          <w:kern w:val="0"/>
          <w:sz w:val="24"/>
          <w:szCs w:val="24"/>
          <w:u w:val="single"/>
          <w:lang w:val="en-US" w:eastAsia="zh-CN"/>
        </w:rPr>
        <w:t>5</w:t>
      </w:r>
      <w:r>
        <w:rPr>
          <w:rFonts w:hint="eastAsia" w:ascii="宋体" w:hAnsi="宋体" w:cs="宋体"/>
          <w:color w:val="auto"/>
          <w:kern w:val="0"/>
          <w:sz w:val="24"/>
          <w:szCs w:val="24"/>
          <w:u w:val="single"/>
        </w:rPr>
        <w:t>日</w:t>
      </w:r>
      <w:r>
        <w:rPr>
          <w:rFonts w:hint="eastAsia" w:ascii="宋体" w:hAnsi="宋体" w:cs="宋体"/>
          <w:color w:val="auto"/>
          <w:kern w:val="0"/>
          <w:sz w:val="24"/>
          <w:szCs w:val="24"/>
          <w:u w:val="single"/>
          <w:lang w:val="en-US" w:eastAsia="zh-CN"/>
        </w:rPr>
        <w:t>10</w:t>
      </w:r>
      <w:r>
        <w:rPr>
          <w:rFonts w:hint="eastAsia" w:ascii="宋体" w:hAnsi="宋体" w:cs="宋体"/>
          <w:color w:val="auto"/>
          <w:kern w:val="0"/>
          <w:sz w:val="24"/>
          <w:szCs w:val="24"/>
          <w:u w:val="single"/>
        </w:rPr>
        <w:t>：</w:t>
      </w:r>
      <w:r>
        <w:rPr>
          <w:rFonts w:hint="eastAsia" w:ascii="宋体" w:hAnsi="宋体" w:cs="宋体"/>
          <w:color w:val="auto"/>
          <w:kern w:val="0"/>
          <w:sz w:val="24"/>
          <w:szCs w:val="24"/>
          <w:u w:val="single"/>
          <w:lang w:val="en-US" w:eastAsia="zh-CN"/>
        </w:rPr>
        <w:t>30</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rPr>
        <w:t>七、联系方法</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招 标 人：合肥文旅博览集团有限公司</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地    址：合肥市蜀山区习友路与茂荫路交口投资大厦</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联 系 人：</w:t>
      </w:r>
      <w:r>
        <w:rPr>
          <w:rFonts w:hint="eastAsia" w:ascii="宋体" w:hAnsi="宋体" w:cs="宋体"/>
          <w:color w:val="auto"/>
          <w:kern w:val="0"/>
          <w:sz w:val="24"/>
          <w:szCs w:val="24"/>
          <w:lang w:val="en-US" w:eastAsia="zh-CN"/>
        </w:rPr>
        <w:t>汪</w:t>
      </w:r>
      <w:r>
        <w:rPr>
          <w:rFonts w:hint="eastAsia" w:ascii="宋体" w:hAnsi="宋体" w:cs="宋体"/>
          <w:color w:val="auto"/>
          <w:kern w:val="0"/>
          <w:sz w:val="24"/>
          <w:szCs w:val="24"/>
        </w:rPr>
        <w:t>工   电话：0551-63530687</w:t>
      </w:r>
    </w:p>
    <w:p>
      <w:pPr>
        <w:pStyle w:val="6"/>
        <w:spacing w:before="0" w:line="500" w:lineRule="exact"/>
        <w:ind w:firstLine="0"/>
        <w:rPr>
          <w:rFonts w:ascii="宋体" w:hAnsi="宋体" w:eastAsia="宋体"/>
          <w:color w:val="auto"/>
        </w:rPr>
      </w:pPr>
      <w:r>
        <w:rPr>
          <w:rFonts w:ascii="宋体" w:hAnsi="宋体" w:eastAsia="宋体"/>
          <w:color w:val="auto"/>
          <w:sz w:val="24"/>
          <w:szCs w:val="24"/>
        </w:rPr>
        <w:br w:type="page"/>
      </w:r>
      <w:bookmarkStart w:id="8" w:name="_Toc32306253"/>
      <w:bookmarkStart w:id="9" w:name="_Toc20886"/>
      <w:r>
        <w:rPr>
          <w:rFonts w:hint="eastAsia" w:ascii="宋体" w:hAnsi="宋体" w:eastAsia="宋体"/>
          <w:color w:val="auto"/>
        </w:rPr>
        <w:t>第二章 投标人须</w:t>
      </w:r>
      <w:bookmarkEnd w:id="6"/>
      <w:r>
        <w:rPr>
          <w:rFonts w:hint="eastAsia" w:ascii="宋体" w:hAnsi="宋体" w:eastAsia="宋体"/>
          <w:color w:val="auto"/>
        </w:rPr>
        <w:t>知</w:t>
      </w:r>
      <w:bookmarkEnd w:id="7"/>
      <w:r>
        <w:rPr>
          <w:rFonts w:hint="eastAsia" w:ascii="宋体" w:hAnsi="宋体" w:eastAsia="宋体"/>
          <w:color w:val="auto"/>
        </w:rPr>
        <w:t>前附表</w:t>
      </w:r>
      <w:bookmarkEnd w:id="8"/>
      <w:bookmarkEnd w:id="9"/>
    </w:p>
    <w:tbl>
      <w:tblPr>
        <w:tblStyle w:val="66"/>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7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09" w:type="dxa"/>
            <w:vAlign w:val="center"/>
          </w:tcPr>
          <w:p>
            <w:pPr>
              <w:jc w:val="center"/>
              <w:rPr>
                <w:rFonts w:ascii="宋体" w:hAnsi="宋体"/>
                <w:b/>
                <w:color w:val="auto"/>
                <w:sz w:val="24"/>
              </w:rPr>
            </w:pPr>
            <w:r>
              <w:rPr>
                <w:rFonts w:hint="eastAsia" w:ascii="宋体" w:hAnsi="宋体"/>
                <w:b/>
                <w:color w:val="auto"/>
                <w:sz w:val="24"/>
              </w:rPr>
              <w:t>序号</w:t>
            </w:r>
          </w:p>
        </w:tc>
        <w:tc>
          <w:tcPr>
            <w:tcW w:w="1559" w:type="dxa"/>
            <w:vAlign w:val="center"/>
          </w:tcPr>
          <w:p>
            <w:pPr>
              <w:jc w:val="center"/>
              <w:rPr>
                <w:rFonts w:ascii="宋体" w:hAnsi="宋体"/>
                <w:b/>
                <w:color w:val="auto"/>
                <w:sz w:val="24"/>
              </w:rPr>
            </w:pPr>
            <w:r>
              <w:rPr>
                <w:rFonts w:hint="eastAsia" w:ascii="宋体" w:hAnsi="宋体"/>
                <w:b/>
                <w:color w:val="auto"/>
                <w:sz w:val="24"/>
              </w:rPr>
              <w:t>内容</w:t>
            </w:r>
          </w:p>
        </w:tc>
        <w:tc>
          <w:tcPr>
            <w:tcW w:w="7077" w:type="dxa"/>
            <w:vAlign w:val="center"/>
          </w:tcPr>
          <w:p>
            <w:pPr>
              <w:pStyle w:val="114"/>
              <w:widowControl w:val="0"/>
              <w:spacing w:before="0" w:beforeAutospacing="0" w:after="0" w:afterAutospacing="0"/>
              <w:rPr>
                <w:bCs w:val="0"/>
                <w:color w:val="auto"/>
                <w:kern w:val="2"/>
                <w:sz w:val="24"/>
                <w:szCs w:val="20"/>
              </w:rPr>
            </w:pPr>
            <w:r>
              <w:rPr>
                <w:rFonts w:hint="eastAsia"/>
                <w:bCs w:val="0"/>
                <w:color w:val="auto"/>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30"/>
              <w:pBdr>
                <w:bottom w:val="none" w:color="auto" w:sz="0" w:space="0"/>
              </w:pBdr>
              <w:tabs>
                <w:tab w:val="clear" w:pos="4153"/>
                <w:tab w:val="clear" w:pos="8306"/>
              </w:tabs>
              <w:adjustRightInd/>
              <w:spacing w:line="240" w:lineRule="auto"/>
              <w:textAlignment w:val="auto"/>
              <w:rPr>
                <w:rFonts w:ascii="宋体" w:hAnsi="宋体"/>
                <w:bCs/>
                <w:color w:val="auto"/>
                <w:kern w:val="2"/>
              </w:rPr>
            </w:pPr>
            <w:r>
              <w:rPr>
                <w:rFonts w:hint="eastAsia" w:ascii="宋体" w:hAnsi="宋体"/>
                <w:bCs/>
                <w:color w:val="auto"/>
                <w:kern w:val="2"/>
              </w:rPr>
              <w:t>1</w:t>
            </w:r>
          </w:p>
        </w:tc>
        <w:tc>
          <w:tcPr>
            <w:tcW w:w="1559" w:type="dxa"/>
            <w:vAlign w:val="center"/>
          </w:tcPr>
          <w:p>
            <w:pPr>
              <w:jc w:val="center"/>
              <w:rPr>
                <w:rFonts w:ascii="宋体" w:hAnsi="宋体"/>
                <w:bCs/>
                <w:color w:val="auto"/>
                <w:sz w:val="24"/>
              </w:rPr>
            </w:pPr>
            <w:r>
              <w:rPr>
                <w:rFonts w:hint="eastAsia" w:ascii="宋体" w:hAnsi="宋体"/>
                <w:bCs/>
                <w:color w:val="auto"/>
                <w:sz w:val="24"/>
              </w:rPr>
              <w:t>招标人</w:t>
            </w:r>
          </w:p>
        </w:tc>
        <w:tc>
          <w:tcPr>
            <w:tcW w:w="7077" w:type="dxa"/>
            <w:vAlign w:val="center"/>
          </w:tcPr>
          <w:p>
            <w:pPr>
              <w:pStyle w:val="114"/>
              <w:widowControl w:val="0"/>
              <w:spacing w:before="0" w:beforeAutospacing="0" w:after="0" w:afterAutospacing="0"/>
              <w:jc w:val="both"/>
              <w:rPr>
                <w:b w:val="0"/>
                <w:color w:val="auto"/>
                <w:kern w:val="2"/>
                <w:sz w:val="24"/>
                <w:szCs w:val="20"/>
              </w:rPr>
            </w:pPr>
            <w:r>
              <w:rPr>
                <w:rFonts w:hint="eastAsia"/>
                <w:b w:val="0"/>
                <w:color w:val="auto"/>
                <w:kern w:val="2"/>
                <w:sz w:val="24"/>
                <w:szCs w:val="20"/>
              </w:rPr>
              <w:t>合肥文旅博览集团有限公司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30"/>
              <w:pBdr>
                <w:bottom w:val="none" w:color="auto" w:sz="0" w:space="0"/>
              </w:pBdr>
              <w:tabs>
                <w:tab w:val="clear" w:pos="4153"/>
                <w:tab w:val="clear" w:pos="8306"/>
              </w:tabs>
              <w:adjustRightInd/>
              <w:spacing w:line="240" w:lineRule="auto"/>
              <w:textAlignment w:val="auto"/>
              <w:rPr>
                <w:rFonts w:ascii="宋体" w:hAnsi="宋体"/>
                <w:bCs/>
                <w:color w:val="auto"/>
                <w:kern w:val="2"/>
              </w:rPr>
            </w:pPr>
            <w:r>
              <w:rPr>
                <w:rFonts w:hint="eastAsia" w:ascii="宋体" w:hAnsi="宋体"/>
                <w:bCs/>
                <w:color w:val="auto"/>
                <w:kern w:val="2"/>
              </w:rPr>
              <w:t>2</w:t>
            </w:r>
          </w:p>
        </w:tc>
        <w:tc>
          <w:tcPr>
            <w:tcW w:w="1559" w:type="dxa"/>
            <w:vAlign w:val="center"/>
          </w:tcPr>
          <w:p>
            <w:pPr>
              <w:jc w:val="center"/>
              <w:rPr>
                <w:rFonts w:ascii="宋体" w:hAnsi="宋体"/>
                <w:bCs/>
                <w:color w:val="auto"/>
                <w:sz w:val="24"/>
              </w:rPr>
            </w:pPr>
            <w:r>
              <w:rPr>
                <w:rFonts w:hint="eastAsia" w:ascii="宋体" w:hAnsi="宋体"/>
                <w:bCs/>
                <w:color w:val="auto"/>
                <w:sz w:val="24"/>
              </w:rPr>
              <w:t>委托人</w:t>
            </w:r>
          </w:p>
        </w:tc>
        <w:tc>
          <w:tcPr>
            <w:tcW w:w="7077" w:type="dxa"/>
            <w:vAlign w:val="center"/>
          </w:tcPr>
          <w:p>
            <w:pPr>
              <w:pStyle w:val="114"/>
              <w:widowControl w:val="0"/>
              <w:spacing w:before="0" w:beforeAutospacing="0" w:after="0" w:afterAutospacing="0"/>
              <w:jc w:val="both"/>
              <w:rPr>
                <w:b w:val="0"/>
                <w:bCs w:val="0"/>
                <w:color w:val="auto"/>
                <w:sz w:val="24"/>
                <w:szCs w:val="18"/>
              </w:rPr>
            </w:pPr>
            <w:r>
              <w:rPr>
                <w:rFonts w:hint="eastAsia"/>
                <w:b w:val="0"/>
                <w:bCs w:val="0"/>
                <w:color w:val="auto"/>
                <w:sz w:val="24"/>
                <w:szCs w:val="18"/>
              </w:rPr>
              <w:t>合肥体育产业投资有限公司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pPr>
              <w:jc w:val="center"/>
              <w:rPr>
                <w:rFonts w:ascii="宋体" w:hAnsi="宋体"/>
                <w:bCs/>
                <w:color w:val="auto"/>
                <w:sz w:val="24"/>
              </w:rPr>
            </w:pPr>
            <w:r>
              <w:rPr>
                <w:rFonts w:hint="eastAsia" w:ascii="宋体" w:hAnsi="宋体"/>
                <w:bCs/>
                <w:color w:val="auto"/>
                <w:sz w:val="24"/>
              </w:rPr>
              <w:t>3</w:t>
            </w:r>
          </w:p>
        </w:tc>
        <w:tc>
          <w:tcPr>
            <w:tcW w:w="1559" w:type="dxa"/>
            <w:vAlign w:val="center"/>
          </w:tcPr>
          <w:p>
            <w:pPr>
              <w:jc w:val="center"/>
              <w:rPr>
                <w:rFonts w:ascii="宋体" w:hAnsi="宋体"/>
                <w:color w:val="auto"/>
                <w:sz w:val="24"/>
              </w:rPr>
            </w:pPr>
            <w:r>
              <w:rPr>
                <w:rFonts w:hint="eastAsia" w:ascii="宋体" w:hAnsi="宋体"/>
                <w:color w:val="auto"/>
                <w:sz w:val="24"/>
              </w:rPr>
              <w:t>项目名称</w:t>
            </w:r>
          </w:p>
        </w:tc>
        <w:tc>
          <w:tcPr>
            <w:tcW w:w="7077" w:type="dxa"/>
            <w:vAlign w:val="center"/>
          </w:tcPr>
          <w:p>
            <w:pPr>
              <w:tabs>
                <w:tab w:val="left" w:pos="2410"/>
              </w:tabs>
              <w:autoSpaceDE w:val="0"/>
              <w:autoSpaceDN w:val="0"/>
              <w:adjustRightInd w:val="0"/>
              <w:snapToGrid w:val="0"/>
              <w:spacing w:line="360" w:lineRule="auto"/>
              <w:rPr>
                <w:rFonts w:ascii="宋体" w:hAnsi="宋体"/>
                <w:color w:val="auto"/>
                <w:sz w:val="30"/>
                <w:szCs w:val="30"/>
              </w:rPr>
            </w:pPr>
            <w:r>
              <w:rPr>
                <w:rFonts w:hint="eastAsia" w:ascii="宋体" w:hAnsi="宋体" w:eastAsia="宋体" w:cs="Times New Roman"/>
                <w:b w:val="0"/>
                <w:bCs w:val="0"/>
                <w:color w:val="auto"/>
                <w:kern w:val="0"/>
                <w:sz w:val="24"/>
                <w:szCs w:val="18"/>
                <w:lang w:val="en-US" w:eastAsia="zh-CN" w:bidi="ar-SA"/>
              </w:rPr>
              <w:t>合肥体育中心及天鹅湖全民健身中心2022年度消防维保服务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color w:val="auto"/>
                <w:sz w:val="24"/>
              </w:rPr>
            </w:pPr>
            <w:r>
              <w:rPr>
                <w:rFonts w:hint="eastAsia" w:ascii="宋体" w:hAnsi="宋体"/>
                <w:bCs/>
                <w:color w:val="auto"/>
                <w:sz w:val="24"/>
              </w:rPr>
              <w:t>4</w:t>
            </w:r>
          </w:p>
        </w:tc>
        <w:tc>
          <w:tcPr>
            <w:tcW w:w="1559" w:type="dxa"/>
            <w:vAlign w:val="center"/>
          </w:tcPr>
          <w:p>
            <w:pPr>
              <w:jc w:val="center"/>
              <w:rPr>
                <w:rFonts w:ascii="宋体" w:hAnsi="宋体"/>
                <w:color w:val="auto"/>
                <w:sz w:val="24"/>
              </w:rPr>
            </w:pPr>
            <w:r>
              <w:rPr>
                <w:rFonts w:hint="eastAsia" w:ascii="宋体" w:hAnsi="宋体"/>
                <w:color w:val="auto"/>
                <w:sz w:val="24"/>
              </w:rPr>
              <w:t>项目编号</w:t>
            </w:r>
          </w:p>
        </w:tc>
        <w:tc>
          <w:tcPr>
            <w:tcW w:w="7077" w:type="dxa"/>
            <w:vAlign w:val="center"/>
          </w:tcPr>
          <w:p>
            <w:pPr>
              <w:autoSpaceDE w:val="0"/>
              <w:autoSpaceDN w:val="0"/>
              <w:adjustRightInd w:val="0"/>
              <w:spacing w:line="360" w:lineRule="auto"/>
              <w:jc w:val="left"/>
              <w:rPr>
                <w:rFonts w:ascii="宋体" w:hAnsi="宋体"/>
                <w:color w:val="auto"/>
                <w:sz w:val="24"/>
                <w:szCs w:val="24"/>
              </w:rPr>
            </w:pPr>
            <w:r>
              <w:rPr>
                <w:rFonts w:ascii="宋体" w:hAnsi="宋体" w:eastAsia="宋体" w:cs="宋体"/>
                <w:color w:val="auto"/>
                <w:sz w:val="24"/>
                <w:szCs w:val="24"/>
              </w:rPr>
              <w:t>2021WLBLZB00</w:t>
            </w:r>
            <w:r>
              <w:rPr>
                <w:rFonts w:hint="eastAsia" w:ascii="宋体" w:hAnsi="宋体" w:cs="宋体"/>
                <w:color w:val="auto"/>
                <w:sz w:val="24"/>
                <w:szCs w:val="24"/>
                <w:lang w:val="en-US" w:eastAsia="zh-CN"/>
              </w:rPr>
              <w:t>98</w:t>
            </w:r>
            <w:r>
              <w:rPr>
                <w:rFonts w:ascii="宋体" w:hAnsi="宋体" w:eastAsia="宋体" w:cs="宋体"/>
                <w:color w:val="auto"/>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color w:val="auto"/>
                <w:sz w:val="24"/>
              </w:rPr>
            </w:pPr>
            <w:r>
              <w:rPr>
                <w:rFonts w:hint="eastAsia" w:ascii="宋体" w:hAnsi="宋体"/>
                <w:bCs/>
                <w:color w:val="auto"/>
                <w:sz w:val="24"/>
              </w:rPr>
              <w:t>5</w:t>
            </w:r>
          </w:p>
        </w:tc>
        <w:tc>
          <w:tcPr>
            <w:tcW w:w="1559" w:type="dxa"/>
            <w:vAlign w:val="center"/>
          </w:tcPr>
          <w:p>
            <w:pPr>
              <w:jc w:val="center"/>
              <w:rPr>
                <w:rFonts w:ascii="宋体" w:hAnsi="宋体"/>
                <w:color w:val="auto"/>
                <w:sz w:val="24"/>
              </w:rPr>
            </w:pPr>
            <w:r>
              <w:rPr>
                <w:rFonts w:hint="eastAsia" w:ascii="宋体" w:hAnsi="宋体"/>
                <w:color w:val="auto"/>
                <w:sz w:val="24"/>
              </w:rPr>
              <w:t>项目性质</w:t>
            </w:r>
          </w:p>
        </w:tc>
        <w:tc>
          <w:tcPr>
            <w:tcW w:w="7077" w:type="dxa"/>
            <w:vAlign w:val="center"/>
          </w:tcPr>
          <w:p>
            <w:pPr>
              <w:autoSpaceDE w:val="0"/>
              <w:autoSpaceDN w:val="0"/>
              <w:adjustRightInd w:val="0"/>
              <w:spacing w:line="360" w:lineRule="auto"/>
              <w:jc w:val="left"/>
              <w:rPr>
                <w:rFonts w:ascii="宋体" w:hAnsi="宋体"/>
                <w:color w:val="auto"/>
                <w:sz w:val="24"/>
                <w:szCs w:val="24"/>
              </w:rPr>
            </w:pPr>
            <w:r>
              <w:rPr>
                <w:rFonts w:hint="eastAsia"/>
                <w:bCs/>
                <w:color w:val="auto"/>
                <w:sz w:val="24"/>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color w:val="auto"/>
                <w:sz w:val="24"/>
              </w:rPr>
            </w:pPr>
            <w:r>
              <w:rPr>
                <w:rFonts w:hint="eastAsia" w:ascii="宋体" w:hAnsi="宋体"/>
                <w:bCs/>
                <w:color w:val="auto"/>
                <w:sz w:val="24"/>
              </w:rPr>
              <w:t>6</w:t>
            </w:r>
          </w:p>
        </w:tc>
        <w:tc>
          <w:tcPr>
            <w:tcW w:w="1559" w:type="dxa"/>
            <w:vAlign w:val="center"/>
          </w:tcPr>
          <w:p>
            <w:pPr>
              <w:jc w:val="center"/>
              <w:rPr>
                <w:rFonts w:ascii="宋体" w:hAnsi="宋体"/>
                <w:color w:val="auto"/>
                <w:sz w:val="24"/>
              </w:rPr>
            </w:pPr>
            <w:r>
              <w:rPr>
                <w:rFonts w:hint="eastAsia" w:ascii="宋体" w:hAnsi="宋体"/>
                <w:color w:val="auto"/>
                <w:sz w:val="24"/>
              </w:rPr>
              <w:t>资金来源</w:t>
            </w:r>
          </w:p>
        </w:tc>
        <w:tc>
          <w:tcPr>
            <w:tcW w:w="7077" w:type="dxa"/>
            <w:vAlign w:val="center"/>
          </w:tcPr>
          <w:p>
            <w:pPr>
              <w:pStyle w:val="114"/>
              <w:widowControl w:val="0"/>
              <w:spacing w:before="0" w:beforeAutospacing="0" w:after="0" w:afterAutospacing="0"/>
              <w:jc w:val="both"/>
              <w:rPr>
                <w:b w:val="0"/>
                <w:bCs w:val="0"/>
                <w:color w:val="auto"/>
                <w:sz w:val="24"/>
              </w:rPr>
            </w:pPr>
            <w:r>
              <w:rPr>
                <w:rFonts w:hint="eastAsia"/>
                <w:b w:val="0"/>
                <w:bCs w:val="0"/>
                <w:color w:val="auto"/>
                <w:sz w:val="24"/>
              </w:rPr>
              <w:t xml:space="preserve">□财政投资    </w:t>
            </w:r>
            <w:r>
              <w:rPr>
                <w:rFonts w:hint="eastAsia"/>
                <w:b w:val="0"/>
                <w:bCs w:val="0"/>
                <w:color w:val="auto"/>
                <w:sz w:val="24"/>
              </w:rPr>
              <w:sym w:font="Wingdings" w:char="F0FE"/>
            </w:r>
            <w:r>
              <w:rPr>
                <w:rFonts w:hint="eastAsia"/>
                <w:b w:val="0"/>
                <w:bCs w:val="0"/>
                <w:color w:val="auto"/>
                <w:sz w:val="24"/>
              </w:rPr>
              <w:t>委托人</w:t>
            </w:r>
            <w:r>
              <w:rPr>
                <w:rFonts w:hint="eastAsia"/>
                <w:b w:val="0"/>
                <w:color w:val="auto"/>
                <w:sz w:val="24"/>
              </w:rPr>
              <w:t xml:space="preserve">自筹    </w:t>
            </w:r>
            <w:r>
              <w:rPr>
                <w:rFonts w:hint="eastAsia"/>
                <w:b w:val="0"/>
                <w:bCs w:val="0"/>
                <w:color w:val="auto"/>
                <w:sz w:val="24"/>
              </w:rPr>
              <w:t>□</w:t>
            </w:r>
            <w:r>
              <w:rPr>
                <w:rFonts w:hint="eastAsia"/>
                <w:b w:val="0"/>
                <w:color w:val="auto"/>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color w:val="auto"/>
                <w:sz w:val="24"/>
              </w:rPr>
            </w:pPr>
            <w:r>
              <w:rPr>
                <w:rFonts w:hint="eastAsia" w:ascii="宋体" w:hAnsi="宋体"/>
                <w:bCs/>
                <w:color w:val="auto"/>
                <w:sz w:val="24"/>
              </w:rPr>
              <w:t>7</w:t>
            </w:r>
          </w:p>
        </w:tc>
        <w:tc>
          <w:tcPr>
            <w:tcW w:w="1559" w:type="dxa"/>
          </w:tcPr>
          <w:p>
            <w:pPr>
              <w:spacing w:line="500" w:lineRule="exact"/>
              <w:jc w:val="center"/>
              <w:rPr>
                <w:rFonts w:ascii="宋体" w:hAnsi="宋体"/>
                <w:color w:val="auto"/>
                <w:sz w:val="24"/>
                <w:lang w:val="zh-CN"/>
              </w:rPr>
            </w:pPr>
            <w:r>
              <w:rPr>
                <w:rFonts w:hint="eastAsia" w:ascii="宋体" w:hAnsi="宋体"/>
                <w:color w:val="auto"/>
                <w:sz w:val="24"/>
              </w:rPr>
              <w:t>标段划分</w:t>
            </w:r>
          </w:p>
        </w:tc>
        <w:tc>
          <w:tcPr>
            <w:tcW w:w="7077" w:type="dxa"/>
            <w:vAlign w:val="center"/>
          </w:tcPr>
          <w:p>
            <w:pPr>
              <w:spacing w:line="500" w:lineRule="exact"/>
              <w:ind w:left="841" w:hanging="841"/>
              <w:rPr>
                <w:rFonts w:ascii="宋体" w:hAnsi="宋体"/>
                <w:bCs/>
                <w:color w:val="auto"/>
                <w:sz w:val="24"/>
              </w:rPr>
            </w:pPr>
            <w:r>
              <w:rPr>
                <w:rFonts w:hint="eastAsia"/>
                <w:bCs/>
                <w:color w:val="auto"/>
                <w:sz w:val="24"/>
              </w:rPr>
              <w:sym w:font="Wingdings" w:char="F0FE"/>
            </w:r>
            <w:r>
              <w:rPr>
                <w:rFonts w:hint="eastAsia" w:ascii="宋体" w:hAnsi="宋体"/>
                <w:color w:val="auto"/>
                <w:sz w:val="24"/>
              </w:rPr>
              <w:t>不分标段   □分为  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Cs/>
                <w:color w:val="auto"/>
                <w:sz w:val="24"/>
              </w:rPr>
            </w:pPr>
            <w:r>
              <w:rPr>
                <w:rFonts w:hint="eastAsia" w:ascii="宋体" w:hAnsi="宋体"/>
                <w:bCs/>
                <w:color w:val="auto"/>
                <w:sz w:val="24"/>
              </w:rPr>
              <w:t>8</w:t>
            </w:r>
          </w:p>
        </w:tc>
        <w:tc>
          <w:tcPr>
            <w:tcW w:w="1559" w:type="dxa"/>
            <w:vAlign w:val="center"/>
          </w:tcPr>
          <w:p>
            <w:pPr>
              <w:spacing w:line="500" w:lineRule="exact"/>
              <w:jc w:val="center"/>
              <w:rPr>
                <w:rFonts w:ascii="宋体" w:hAnsi="宋体"/>
                <w:color w:val="auto"/>
                <w:sz w:val="24"/>
              </w:rPr>
            </w:pPr>
            <w:r>
              <w:rPr>
                <w:rFonts w:hint="eastAsia" w:ascii="宋体" w:hAnsi="宋体"/>
                <w:color w:val="auto"/>
                <w:sz w:val="24"/>
                <w:lang w:val="zh-CN"/>
              </w:rPr>
              <w:t>付款方式</w:t>
            </w:r>
          </w:p>
        </w:tc>
        <w:tc>
          <w:tcPr>
            <w:tcW w:w="7077" w:type="dxa"/>
          </w:tcPr>
          <w:p>
            <w:pPr>
              <w:autoSpaceDE w:val="0"/>
              <w:autoSpaceDN w:val="0"/>
              <w:adjustRightInd w:val="0"/>
              <w:spacing w:line="360" w:lineRule="auto"/>
              <w:jc w:val="left"/>
              <w:rPr>
                <w:rFonts w:ascii="宋体" w:hAnsi="宋体"/>
                <w:color w:val="auto"/>
                <w:sz w:val="24"/>
                <w:szCs w:val="24"/>
              </w:rPr>
            </w:pPr>
            <w:r>
              <w:rPr>
                <w:rFonts w:hint="eastAsia" w:ascii="宋体" w:hAnsi="宋体"/>
                <w:color w:val="auto"/>
                <w:sz w:val="24"/>
                <w:szCs w:val="24"/>
              </w:rPr>
              <w:t>自中标人与委托人签订合同后，中标人提供维保服务满2个月后，经委托人验收合格后，委托人于15个工作日内向中标人支付年度维保费用的50%及更换的设备材料费（如有）。合同服务截止日后15日内，由委托人进行设备和功能性验收，验收合格后予以支付；若设备未能正常运行则维保时间继续延续不另外支付额外维保费用，直至验收合格后，支付剩余维保及材料费用（如有）。</w:t>
            </w:r>
          </w:p>
          <w:p>
            <w:pPr>
              <w:autoSpaceDE w:val="0"/>
              <w:autoSpaceDN w:val="0"/>
              <w:adjustRightInd w:val="0"/>
              <w:spacing w:line="360" w:lineRule="auto"/>
              <w:jc w:val="left"/>
              <w:rPr>
                <w:rFonts w:ascii="宋体" w:hAnsi="宋体"/>
                <w:color w:val="auto"/>
                <w:lang w:val="zh-CN"/>
              </w:rPr>
            </w:pPr>
            <w:r>
              <w:rPr>
                <w:rFonts w:hint="eastAsia" w:ascii="宋体" w:hAnsi="宋体"/>
                <w:color w:val="auto"/>
                <w:sz w:val="24"/>
                <w:szCs w:val="24"/>
              </w:rPr>
              <w:t>备注：委托人支付前中标人应提供合法合规的增值税专用发票，否则委托人有权延迟支付。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color w:val="auto"/>
                <w:sz w:val="24"/>
              </w:rPr>
            </w:pPr>
            <w:r>
              <w:rPr>
                <w:rFonts w:hint="eastAsia" w:ascii="宋体" w:hAnsi="宋体"/>
                <w:color w:val="auto"/>
                <w:sz w:val="24"/>
              </w:rPr>
              <w:t>9</w:t>
            </w:r>
          </w:p>
        </w:tc>
        <w:tc>
          <w:tcPr>
            <w:tcW w:w="1559" w:type="dxa"/>
            <w:vAlign w:val="center"/>
          </w:tcPr>
          <w:p>
            <w:pPr>
              <w:spacing w:line="500" w:lineRule="exact"/>
              <w:jc w:val="center"/>
              <w:rPr>
                <w:rFonts w:ascii="宋体" w:hAnsi="宋体"/>
                <w:color w:val="auto"/>
                <w:sz w:val="24"/>
              </w:rPr>
            </w:pPr>
            <w:r>
              <w:rPr>
                <w:rFonts w:hint="eastAsia" w:ascii="宋体" w:hAnsi="宋体"/>
                <w:color w:val="auto"/>
                <w:sz w:val="24"/>
              </w:rPr>
              <w:t>联合体投标</w:t>
            </w:r>
          </w:p>
        </w:tc>
        <w:tc>
          <w:tcPr>
            <w:tcW w:w="7077" w:type="dxa"/>
            <w:vAlign w:val="center"/>
          </w:tcPr>
          <w:p>
            <w:pPr>
              <w:spacing w:line="500" w:lineRule="exact"/>
              <w:rPr>
                <w:rFonts w:ascii="宋体" w:hAnsi="宋体"/>
                <w:color w:val="auto"/>
                <w:sz w:val="24"/>
              </w:rPr>
            </w:pPr>
            <w:r>
              <w:rPr>
                <w:rFonts w:hint="eastAsia" w:ascii="宋体" w:hAnsi="宋体"/>
                <w:color w:val="auto"/>
                <w:sz w:val="24"/>
              </w:rPr>
              <w:t>□</w:t>
            </w:r>
            <w:r>
              <w:rPr>
                <w:rFonts w:hint="eastAsia" w:ascii="宋体" w:hAnsi="宋体"/>
                <w:color w:val="auto"/>
                <w:sz w:val="24"/>
                <w:lang w:val="zh-CN"/>
              </w:rPr>
              <w:t xml:space="preserve">接受  </w:t>
            </w:r>
            <w:r>
              <w:rPr>
                <w:b/>
                <w:bCs/>
                <w:color w:val="auto"/>
                <w:sz w:val="24"/>
              </w:rPr>
              <w:sym w:font="Wingdings" w:char="F0FE"/>
            </w:r>
            <w:r>
              <w:rPr>
                <w:rFonts w:hint="eastAsia" w:ascii="宋体" w:hAnsi="宋体"/>
                <w:color w:val="auto"/>
                <w:sz w:val="24"/>
              </w:rPr>
              <w:t>不</w:t>
            </w:r>
            <w:r>
              <w:rPr>
                <w:rFonts w:hint="eastAsia" w:ascii="宋体" w:hAnsi="宋体"/>
                <w:color w:val="auto"/>
                <w:sz w:val="24"/>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color w:val="auto"/>
                <w:sz w:val="24"/>
              </w:rPr>
            </w:pPr>
            <w:r>
              <w:rPr>
                <w:rFonts w:hint="eastAsia" w:ascii="宋体" w:hAnsi="宋体"/>
                <w:color w:val="auto"/>
                <w:sz w:val="24"/>
              </w:rPr>
              <w:t>10</w:t>
            </w:r>
          </w:p>
        </w:tc>
        <w:tc>
          <w:tcPr>
            <w:tcW w:w="1559" w:type="dxa"/>
            <w:vAlign w:val="center"/>
          </w:tcPr>
          <w:p>
            <w:pPr>
              <w:spacing w:line="500" w:lineRule="exact"/>
              <w:jc w:val="center"/>
              <w:rPr>
                <w:rFonts w:ascii="宋体" w:hAnsi="宋体"/>
                <w:color w:val="auto"/>
                <w:sz w:val="24"/>
              </w:rPr>
            </w:pPr>
            <w:r>
              <w:rPr>
                <w:rFonts w:hint="eastAsia" w:ascii="宋体" w:hAnsi="宋体"/>
                <w:color w:val="auto"/>
                <w:sz w:val="24"/>
              </w:rPr>
              <w:t>投标有效期</w:t>
            </w:r>
          </w:p>
        </w:tc>
        <w:tc>
          <w:tcPr>
            <w:tcW w:w="7077" w:type="dxa"/>
            <w:vAlign w:val="center"/>
          </w:tcPr>
          <w:p>
            <w:pPr>
              <w:spacing w:line="500" w:lineRule="exact"/>
              <w:rPr>
                <w:rFonts w:ascii="宋体" w:hAnsi="宋体"/>
                <w:color w:val="auto"/>
                <w:sz w:val="24"/>
              </w:rPr>
            </w:pPr>
            <w:r>
              <w:rPr>
                <w:rFonts w:ascii="宋体" w:hAnsi="宋体"/>
                <w:color w:val="auto"/>
                <w:sz w:val="24"/>
              </w:rPr>
              <w:t>3</w:t>
            </w:r>
            <w:r>
              <w:rPr>
                <w:rFonts w:hint="eastAsia" w:ascii="宋体" w:hAnsi="宋体"/>
                <w:color w:val="auto"/>
                <w:sz w:val="24"/>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color w:val="auto"/>
                <w:sz w:val="24"/>
              </w:rPr>
            </w:pPr>
            <w:r>
              <w:rPr>
                <w:rFonts w:hint="eastAsia" w:ascii="宋体" w:hAnsi="宋体"/>
                <w:color w:val="auto"/>
                <w:sz w:val="24"/>
              </w:rPr>
              <w:t>11</w:t>
            </w:r>
          </w:p>
        </w:tc>
        <w:tc>
          <w:tcPr>
            <w:tcW w:w="1559" w:type="dxa"/>
            <w:vAlign w:val="center"/>
          </w:tcPr>
          <w:p>
            <w:pPr>
              <w:spacing w:line="500" w:lineRule="exact"/>
              <w:jc w:val="center"/>
              <w:rPr>
                <w:rFonts w:ascii="宋体" w:hAnsi="宋体"/>
                <w:color w:val="auto"/>
                <w:sz w:val="24"/>
              </w:rPr>
            </w:pPr>
            <w:r>
              <w:rPr>
                <w:rFonts w:hint="eastAsia" w:ascii="宋体" w:hAnsi="宋体"/>
                <w:color w:val="auto"/>
                <w:sz w:val="24"/>
              </w:rPr>
              <w:t>服务地点</w:t>
            </w:r>
          </w:p>
        </w:tc>
        <w:tc>
          <w:tcPr>
            <w:tcW w:w="7077" w:type="dxa"/>
            <w:vAlign w:val="center"/>
          </w:tcPr>
          <w:p>
            <w:pPr>
              <w:spacing w:line="500" w:lineRule="exact"/>
              <w:rPr>
                <w:rFonts w:hint="eastAsia" w:ascii="宋体" w:hAnsi="宋体" w:eastAsia="宋体"/>
                <w:color w:val="auto"/>
                <w:kern w:val="0"/>
                <w:sz w:val="24"/>
                <w:lang w:eastAsia="zh-CN"/>
              </w:rPr>
            </w:pPr>
            <w:r>
              <w:rPr>
                <w:rFonts w:hint="eastAsia" w:ascii="宋体" w:hAnsi="宋体"/>
                <w:color w:val="auto"/>
                <w:kern w:val="0"/>
                <w:sz w:val="24"/>
              </w:rPr>
              <w:t>合肥体育中心</w:t>
            </w:r>
            <w:r>
              <w:rPr>
                <w:rFonts w:hint="eastAsia" w:ascii="宋体" w:hAnsi="宋体"/>
                <w:color w:val="auto"/>
                <w:kern w:val="0"/>
                <w:sz w:val="24"/>
                <w:lang w:eastAsia="zh-CN"/>
              </w:rPr>
              <w:t>、</w:t>
            </w:r>
            <w:r>
              <w:rPr>
                <w:rFonts w:hint="eastAsia" w:ascii="宋体" w:hAnsi="宋体"/>
                <w:color w:val="auto"/>
                <w:kern w:val="0"/>
                <w:sz w:val="24"/>
                <w:lang w:val="en-US" w:eastAsia="zh-CN"/>
              </w:rPr>
              <w:t>天鹅湖全民健身中心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09" w:type="dxa"/>
            <w:vAlign w:val="center"/>
          </w:tcPr>
          <w:p>
            <w:pPr>
              <w:spacing w:line="500" w:lineRule="exact"/>
              <w:jc w:val="center"/>
              <w:rPr>
                <w:rFonts w:ascii="宋体" w:hAnsi="宋体"/>
                <w:color w:val="auto"/>
                <w:sz w:val="24"/>
              </w:rPr>
            </w:pPr>
            <w:r>
              <w:rPr>
                <w:rFonts w:hint="eastAsia" w:ascii="宋体" w:hAnsi="宋体"/>
                <w:color w:val="auto"/>
                <w:sz w:val="24"/>
              </w:rPr>
              <w:t>12</w:t>
            </w:r>
          </w:p>
        </w:tc>
        <w:tc>
          <w:tcPr>
            <w:tcW w:w="1559" w:type="dxa"/>
            <w:vAlign w:val="center"/>
          </w:tcPr>
          <w:p>
            <w:pPr>
              <w:spacing w:line="500" w:lineRule="exact"/>
              <w:jc w:val="center"/>
              <w:rPr>
                <w:rFonts w:ascii="宋体" w:hAnsi="宋体"/>
                <w:color w:val="auto"/>
                <w:sz w:val="24"/>
              </w:rPr>
            </w:pPr>
            <w:r>
              <w:rPr>
                <w:rFonts w:hint="eastAsia" w:ascii="宋体" w:hAnsi="宋体"/>
                <w:color w:val="auto"/>
                <w:sz w:val="24"/>
              </w:rPr>
              <w:t>服务期限</w:t>
            </w:r>
          </w:p>
        </w:tc>
        <w:tc>
          <w:tcPr>
            <w:tcW w:w="7077" w:type="dxa"/>
            <w:vAlign w:val="center"/>
          </w:tcPr>
          <w:p>
            <w:pPr>
              <w:autoSpaceDE w:val="0"/>
              <w:autoSpaceDN w:val="0"/>
              <w:adjustRightInd w:val="0"/>
              <w:spacing w:line="440" w:lineRule="exact"/>
              <w:jc w:val="left"/>
              <w:rPr>
                <w:rFonts w:ascii="宋体" w:hAnsi="宋体" w:cs="宋体"/>
                <w:b/>
                <w:color w:val="auto"/>
                <w:kern w:val="0"/>
                <w:sz w:val="24"/>
              </w:rPr>
            </w:pPr>
            <w:r>
              <w:rPr>
                <w:rFonts w:hint="eastAsia" w:ascii="宋体" w:hAnsi="宋体"/>
                <w:color w:val="auto"/>
                <w:sz w:val="24"/>
              </w:rPr>
              <w:t>202</w:t>
            </w:r>
            <w:r>
              <w:rPr>
                <w:rFonts w:hint="eastAsia" w:ascii="宋体" w:hAnsi="宋体"/>
                <w:color w:val="auto"/>
                <w:sz w:val="24"/>
                <w:lang w:val="en-US" w:eastAsia="zh-CN"/>
              </w:rPr>
              <w:t>2</w:t>
            </w:r>
            <w:r>
              <w:rPr>
                <w:rFonts w:hint="eastAsia" w:ascii="宋体" w:hAnsi="宋体"/>
                <w:color w:val="auto"/>
                <w:sz w:val="24"/>
              </w:rPr>
              <w:t>年</w:t>
            </w:r>
            <w:r>
              <w:rPr>
                <w:rFonts w:hint="eastAsia" w:ascii="宋体" w:hAnsi="宋体"/>
                <w:color w:val="auto"/>
                <w:sz w:val="24"/>
                <w:lang w:val="en-US" w:eastAsia="zh-CN"/>
              </w:rPr>
              <w:t>1</w:t>
            </w:r>
            <w:r>
              <w:rPr>
                <w:rFonts w:hint="eastAsia" w:ascii="宋体" w:hAnsi="宋体"/>
                <w:color w:val="auto"/>
                <w:sz w:val="24"/>
              </w:rPr>
              <w:t>月1日至202</w:t>
            </w:r>
            <w:r>
              <w:rPr>
                <w:rFonts w:hint="eastAsia" w:ascii="宋体" w:hAnsi="宋体"/>
                <w:color w:val="auto"/>
                <w:sz w:val="24"/>
                <w:lang w:val="en-US" w:eastAsia="zh-CN"/>
              </w:rPr>
              <w:t>2</w:t>
            </w:r>
            <w:r>
              <w:rPr>
                <w:rFonts w:hint="eastAsia" w:ascii="宋体" w:hAnsi="宋体"/>
                <w:color w:val="auto"/>
                <w:sz w:val="24"/>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9" w:type="dxa"/>
            <w:vAlign w:val="center"/>
          </w:tcPr>
          <w:p>
            <w:pPr>
              <w:spacing w:line="500" w:lineRule="exact"/>
              <w:jc w:val="center"/>
              <w:rPr>
                <w:rFonts w:ascii="宋体" w:hAnsi="宋体"/>
                <w:color w:val="auto"/>
                <w:sz w:val="24"/>
              </w:rPr>
            </w:pPr>
            <w:r>
              <w:rPr>
                <w:rFonts w:hint="eastAsia" w:ascii="宋体" w:hAnsi="宋体"/>
                <w:color w:val="auto"/>
                <w:sz w:val="24"/>
              </w:rPr>
              <w:t>13</w:t>
            </w:r>
          </w:p>
        </w:tc>
        <w:tc>
          <w:tcPr>
            <w:tcW w:w="1559" w:type="dxa"/>
            <w:vAlign w:val="center"/>
          </w:tcPr>
          <w:p>
            <w:pPr>
              <w:spacing w:line="500" w:lineRule="exact"/>
              <w:jc w:val="center"/>
              <w:rPr>
                <w:rFonts w:ascii="宋体" w:hAnsi="宋体"/>
                <w:bCs/>
                <w:color w:val="auto"/>
                <w:sz w:val="24"/>
              </w:rPr>
            </w:pPr>
            <w:r>
              <w:rPr>
                <w:rFonts w:hint="eastAsia" w:ascii="宋体" w:hAnsi="宋体"/>
                <w:bCs/>
                <w:color w:val="auto"/>
                <w:sz w:val="24"/>
              </w:rPr>
              <w:t>踏勘现场</w:t>
            </w:r>
          </w:p>
        </w:tc>
        <w:tc>
          <w:tcPr>
            <w:tcW w:w="7077" w:type="dxa"/>
            <w:vAlign w:val="center"/>
          </w:tcPr>
          <w:p>
            <w:pPr>
              <w:spacing w:line="500" w:lineRule="exact"/>
              <w:rPr>
                <w:rFonts w:ascii="宋体" w:hAnsi="宋体"/>
                <w:color w:val="auto"/>
                <w:sz w:val="24"/>
                <w:lang w:val="zh-CN"/>
              </w:rPr>
            </w:pPr>
            <w:r>
              <w:rPr>
                <w:rFonts w:hint="eastAsia"/>
                <w:b/>
                <w:bCs/>
                <w:color w:val="auto"/>
                <w:sz w:val="24"/>
              </w:rPr>
              <w:sym w:font="Wingdings" w:char="F0FE"/>
            </w:r>
            <w:r>
              <w:rPr>
                <w:rFonts w:hint="eastAsia" w:ascii="宋体" w:hAnsi="宋体"/>
                <w:bCs/>
                <w:color w:val="auto"/>
                <w:sz w:val="24"/>
              </w:rPr>
              <w:t xml:space="preserve">自行踏勘  </w:t>
            </w:r>
            <w:r>
              <w:rPr>
                <w:rFonts w:hint="eastAsia" w:ascii="宋体" w:hAnsi="宋体"/>
                <w:color w:val="auto"/>
                <w:sz w:val="24"/>
              </w:rPr>
              <w:t>□招标人</w:t>
            </w:r>
            <w:r>
              <w:rPr>
                <w:rFonts w:hint="eastAsia" w:ascii="宋体" w:hAnsi="宋体"/>
                <w:color w:val="auto"/>
                <w:sz w:val="24"/>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09" w:type="dxa"/>
            <w:vAlign w:val="center"/>
          </w:tcPr>
          <w:p>
            <w:pPr>
              <w:spacing w:line="500" w:lineRule="exact"/>
              <w:jc w:val="center"/>
              <w:rPr>
                <w:rFonts w:ascii="宋体" w:hAnsi="宋体"/>
                <w:color w:val="auto"/>
                <w:sz w:val="24"/>
              </w:rPr>
            </w:pPr>
            <w:r>
              <w:rPr>
                <w:rFonts w:hint="eastAsia" w:ascii="宋体" w:hAnsi="宋体"/>
                <w:color w:val="auto"/>
                <w:sz w:val="24"/>
              </w:rPr>
              <w:t>14</w:t>
            </w:r>
          </w:p>
        </w:tc>
        <w:tc>
          <w:tcPr>
            <w:tcW w:w="1559" w:type="dxa"/>
            <w:vAlign w:val="center"/>
          </w:tcPr>
          <w:p>
            <w:pPr>
              <w:spacing w:line="500" w:lineRule="exact"/>
              <w:jc w:val="center"/>
              <w:rPr>
                <w:rFonts w:ascii="宋体" w:hAnsi="宋体"/>
                <w:bCs/>
                <w:color w:val="auto"/>
                <w:sz w:val="24"/>
              </w:rPr>
            </w:pPr>
            <w:r>
              <w:rPr>
                <w:rFonts w:hint="eastAsia" w:ascii="宋体" w:hAnsi="宋体"/>
                <w:bCs/>
                <w:color w:val="auto"/>
                <w:sz w:val="24"/>
              </w:rPr>
              <w:t>投标文件</w:t>
            </w:r>
          </w:p>
        </w:tc>
        <w:tc>
          <w:tcPr>
            <w:tcW w:w="7077" w:type="dxa"/>
            <w:vAlign w:val="center"/>
          </w:tcPr>
          <w:p>
            <w:pPr>
              <w:spacing w:line="500" w:lineRule="exact"/>
              <w:rPr>
                <w:b/>
                <w:bCs/>
                <w:color w:val="auto"/>
                <w:sz w:val="24"/>
              </w:rPr>
            </w:pPr>
            <w:r>
              <w:rPr>
                <w:rFonts w:hint="eastAsia" w:ascii="宋体" w:hAnsi="宋体"/>
                <w:color w:val="auto"/>
                <w:kern w:val="0"/>
                <w:sz w:val="24"/>
              </w:rPr>
              <w:t>正、副本各一，装订成册封装于一个文件袋内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09" w:type="dxa"/>
            <w:vAlign w:val="center"/>
          </w:tcPr>
          <w:p>
            <w:pPr>
              <w:spacing w:line="500" w:lineRule="exact"/>
              <w:jc w:val="center"/>
              <w:rPr>
                <w:rFonts w:ascii="宋体" w:hAnsi="宋体"/>
                <w:color w:val="auto"/>
                <w:sz w:val="24"/>
              </w:rPr>
            </w:pPr>
            <w:r>
              <w:rPr>
                <w:rFonts w:hint="eastAsia" w:ascii="宋体" w:hAnsi="宋体"/>
                <w:color w:val="auto"/>
                <w:sz w:val="24"/>
              </w:rPr>
              <w:t>15</w:t>
            </w:r>
          </w:p>
        </w:tc>
        <w:tc>
          <w:tcPr>
            <w:tcW w:w="1559" w:type="dxa"/>
            <w:vAlign w:val="center"/>
          </w:tcPr>
          <w:p>
            <w:pPr>
              <w:spacing w:line="440" w:lineRule="exact"/>
              <w:ind w:left="841" w:hanging="841"/>
              <w:jc w:val="center"/>
              <w:rPr>
                <w:rFonts w:ascii="宋体" w:hAnsi="宋体"/>
                <w:color w:val="auto"/>
                <w:sz w:val="24"/>
                <w:szCs w:val="24"/>
              </w:rPr>
            </w:pPr>
            <w:r>
              <w:rPr>
                <w:rFonts w:hint="eastAsia" w:ascii="宋体" w:hAnsi="宋体"/>
                <w:color w:val="auto"/>
                <w:sz w:val="24"/>
                <w:szCs w:val="24"/>
              </w:rPr>
              <w:t>开标时间</w:t>
            </w:r>
          </w:p>
          <w:p>
            <w:pPr>
              <w:spacing w:line="440" w:lineRule="exact"/>
              <w:ind w:left="841" w:hanging="841"/>
              <w:jc w:val="center"/>
              <w:rPr>
                <w:rFonts w:ascii="宋体" w:hAnsi="宋体"/>
                <w:color w:val="auto"/>
                <w:sz w:val="24"/>
                <w:szCs w:val="24"/>
              </w:rPr>
            </w:pPr>
            <w:r>
              <w:rPr>
                <w:rFonts w:hint="eastAsia" w:ascii="宋体" w:hAnsi="宋体"/>
                <w:color w:val="auto"/>
                <w:sz w:val="24"/>
                <w:szCs w:val="24"/>
              </w:rPr>
              <w:t>及地点</w:t>
            </w:r>
          </w:p>
        </w:tc>
        <w:tc>
          <w:tcPr>
            <w:tcW w:w="7077" w:type="dxa"/>
            <w:vAlign w:val="center"/>
          </w:tcPr>
          <w:p>
            <w:pPr>
              <w:spacing w:line="440" w:lineRule="exact"/>
              <w:ind w:left="841" w:hanging="841"/>
              <w:rPr>
                <w:rFonts w:ascii="宋体" w:hAnsi="宋体"/>
                <w:color w:val="auto"/>
                <w:sz w:val="24"/>
                <w:szCs w:val="24"/>
              </w:rPr>
            </w:pPr>
            <w:r>
              <w:rPr>
                <w:rFonts w:hint="eastAsia" w:ascii="宋体" w:hAnsi="宋体"/>
                <w:color w:val="auto"/>
                <w:sz w:val="24"/>
                <w:szCs w:val="24"/>
              </w:rPr>
              <w:t>开标时间：详见招标公告</w:t>
            </w:r>
          </w:p>
          <w:p>
            <w:pPr>
              <w:spacing w:line="440" w:lineRule="exact"/>
              <w:ind w:left="841" w:hanging="841"/>
              <w:rPr>
                <w:rFonts w:ascii="宋体" w:hAnsi="宋体"/>
                <w:color w:val="auto"/>
                <w:sz w:val="24"/>
                <w:szCs w:val="24"/>
              </w:rPr>
            </w:pPr>
            <w:r>
              <w:rPr>
                <w:rFonts w:hint="eastAsia" w:ascii="宋体" w:hAnsi="宋体"/>
                <w:color w:val="auto"/>
                <w:sz w:val="24"/>
                <w:szCs w:val="24"/>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ascii="宋体" w:hAnsi="宋体"/>
                <w:color w:val="auto"/>
                <w:sz w:val="24"/>
              </w:rPr>
            </w:pPr>
            <w:r>
              <w:rPr>
                <w:rFonts w:hint="eastAsia" w:ascii="宋体" w:hAnsi="宋体"/>
                <w:color w:val="auto"/>
                <w:sz w:val="24"/>
              </w:rPr>
              <w:t>16</w:t>
            </w:r>
          </w:p>
        </w:tc>
        <w:tc>
          <w:tcPr>
            <w:tcW w:w="1559" w:type="dxa"/>
            <w:vAlign w:val="center"/>
          </w:tcPr>
          <w:p>
            <w:pPr>
              <w:spacing w:line="500" w:lineRule="exact"/>
              <w:jc w:val="center"/>
              <w:rPr>
                <w:rFonts w:ascii="宋体" w:hAnsi="宋体"/>
                <w:color w:val="auto"/>
                <w:sz w:val="24"/>
              </w:rPr>
            </w:pPr>
            <w:r>
              <w:rPr>
                <w:rFonts w:hint="eastAsia" w:ascii="宋体" w:hAnsi="宋体"/>
                <w:color w:val="auto"/>
                <w:sz w:val="24"/>
              </w:rPr>
              <w:t>评标办法</w:t>
            </w:r>
          </w:p>
        </w:tc>
        <w:tc>
          <w:tcPr>
            <w:tcW w:w="7077" w:type="dxa"/>
            <w:vAlign w:val="center"/>
          </w:tcPr>
          <w:p>
            <w:pPr>
              <w:widowControl/>
              <w:jc w:val="left"/>
              <w:rPr>
                <w:rFonts w:ascii="宋体" w:hAnsi="宋体"/>
                <w:color w:val="auto"/>
                <w:sz w:val="24"/>
                <w:szCs w:val="24"/>
              </w:rPr>
            </w:pPr>
            <w:r>
              <w:rPr>
                <w:rFonts w:hint="eastAsia"/>
                <w:color w:val="auto"/>
                <w:spacing w:val="-5"/>
                <w:sz w:val="24"/>
                <w:szCs w:val="24"/>
              </w:rPr>
              <w:t>有效最低价法。详见招标文件第五章评标办法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ascii="宋体" w:hAnsi="宋体"/>
                <w:color w:val="auto"/>
                <w:sz w:val="24"/>
              </w:rPr>
            </w:pPr>
            <w:r>
              <w:rPr>
                <w:rFonts w:hint="eastAsia" w:ascii="宋体" w:hAnsi="宋体"/>
                <w:color w:val="auto"/>
                <w:sz w:val="24"/>
              </w:rPr>
              <w:t>17</w:t>
            </w:r>
          </w:p>
        </w:tc>
        <w:tc>
          <w:tcPr>
            <w:tcW w:w="1559" w:type="dxa"/>
            <w:vAlign w:val="center"/>
          </w:tcPr>
          <w:p>
            <w:pPr>
              <w:spacing w:line="500" w:lineRule="exact"/>
              <w:jc w:val="center"/>
              <w:rPr>
                <w:rFonts w:ascii="宋体" w:hAnsi="宋体"/>
                <w:color w:val="auto"/>
                <w:sz w:val="24"/>
              </w:rPr>
            </w:pPr>
            <w:r>
              <w:rPr>
                <w:rFonts w:hint="eastAsia" w:ascii="宋体" w:hAnsi="宋体"/>
                <w:color w:val="auto"/>
                <w:sz w:val="24"/>
                <w:szCs w:val="24"/>
              </w:rPr>
              <w:t>投标保证金金额</w:t>
            </w:r>
          </w:p>
        </w:tc>
        <w:tc>
          <w:tcPr>
            <w:tcW w:w="7077" w:type="dxa"/>
            <w:vAlign w:val="center"/>
          </w:tcPr>
          <w:p>
            <w:pPr>
              <w:spacing w:line="360" w:lineRule="auto"/>
              <w:rPr>
                <w:rFonts w:ascii="宋体" w:hAnsi="宋体"/>
                <w:color w:val="auto"/>
                <w:sz w:val="24"/>
                <w:szCs w:val="24"/>
              </w:rPr>
            </w:pPr>
            <w:r>
              <w:rPr>
                <w:rFonts w:hint="eastAsia" w:ascii="宋体" w:hAnsi="宋体"/>
                <w:color w:val="auto"/>
                <w:sz w:val="24"/>
                <w:szCs w:val="24"/>
              </w:rPr>
              <w:t>人民币大写</w:t>
            </w:r>
            <w:r>
              <w:rPr>
                <w:rFonts w:hint="eastAsia" w:ascii="宋体" w:hAnsi="宋体"/>
                <w:color w:val="auto"/>
                <w:sz w:val="24"/>
                <w:szCs w:val="24"/>
                <w:u w:val="single"/>
              </w:rPr>
              <w:t xml:space="preserve"> 贰仟</w:t>
            </w:r>
            <w:r>
              <w:rPr>
                <w:rFonts w:hint="eastAsia" w:ascii="宋体" w:hAnsi="宋体"/>
                <w:color w:val="auto"/>
                <w:sz w:val="24"/>
                <w:szCs w:val="24"/>
                <w:u w:val="single"/>
                <w:lang w:val="en-US" w:eastAsia="zh-CN"/>
              </w:rPr>
              <w:t>肆佰</w:t>
            </w:r>
            <w:r>
              <w:rPr>
                <w:rFonts w:hint="eastAsia" w:ascii="宋体" w:hAnsi="宋体"/>
                <w:color w:val="auto"/>
                <w:sz w:val="24"/>
                <w:szCs w:val="24"/>
              </w:rPr>
              <w:t>元整（小写：2</w:t>
            </w:r>
            <w:r>
              <w:rPr>
                <w:rFonts w:hint="eastAsia" w:ascii="宋体" w:hAnsi="宋体"/>
                <w:color w:val="auto"/>
                <w:sz w:val="24"/>
                <w:szCs w:val="24"/>
                <w:lang w:val="en-US" w:eastAsia="zh-CN"/>
              </w:rPr>
              <w:t>4</w:t>
            </w:r>
            <w:r>
              <w:rPr>
                <w:rFonts w:hint="eastAsia" w:ascii="宋体" w:hAnsi="宋体"/>
                <w:color w:val="auto"/>
                <w:sz w:val="24"/>
                <w:szCs w:val="24"/>
              </w:rPr>
              <w:t>00.00），投标保证金应当在报名截止时间前足额金额转入本次招标公告指定账号（项目多标的，应向所投标的对应账号交纳），且应当从投标人本单位账号转出。</w:t>
            </w:r>
          </w:p>
          <w:p>
            <w:pPr>
              <w:widowControl/>
              <w:jc w:val="left"/>
              <w:rPr>
                <w:color w:val="auto"/>
                <w:spacing w:val="-5"/>
                <w:sz w:val="24"/>
                <w:szCs w:val="24"/>
              </w:rPr>
            </w:pPr>
            <w:r>
              <w:rPr>
                <w:rFonts w:hint="eastAsia" w:ascii="宋体" w:hAnsi="宋体"/>
                <w:color w:val="auto"/>
                <w:sz w:val="24"/>
                <w:szCs w:val="24"/>
              </w:rPr>
              <w:t>详见招标文件第三章投标人须知第2条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ascii="宋体" w:hAnsi="宋体"/>
                <w:color w:val="auto"/>
                <w:sz w:val="24"/>
              </w:rPr>
            </w:pPr>
            <w:r>
              <w:rPr>
                <w:rFonts w:hint="eastAsia" w:ascii="宋体" w:hAnsi="宋体"/>
                <w:color w:val="auto"/>
                <w:sz w:val="24"/>
              </w:rPr>
              <w:t>18</w:t>
            </w:r>
          </w:p>
        </w:tc>
        <w:tc>
          <w:tcPr>
            <w:tcW w:w="1559" w:type="dxa"/>
            <w:vAlign w:val="center"/>
          </w:tcPr>
          <w:p>
            <w:pPr>
              <w:spacing w:line="500" w:lineRule="exact"/>
              <w:jc w:val="center"/>
              <w:rPr>
                <w:rFonts w:ascii="宋体" w:hAnsi="宋体"/>
                <w:color w:val="auto"/>
                <w:sz w:val="24"/>
              </w:rPr>
            </w:pPr>
            <w:r>
              <w:rPr>
                <w:rFonts w:hint="eastAsia" w:ascii="宋体" w:hAnsi="宋体"/>
                <w:color w:val="auto"/>
                <w:sz w:val="24"/>
                <w:szCs w:val="24"/>
              </w:rPr>
              <w:t>投标保证金交纳账号</w:t>
            </w:r>
          </w:p>
        </w:tc>
        <w:tc>
          <w:tcPr>
            <w:tcW w:w="7077" w:type="dxa"/>
            <w:vAlign w:val="center"/>
          </w:tcPr>
          <w:p>
            <w:pPr>
              <w:spacing w:line="360" w:lineRule="auto"/>
              <w:rPr>
                <w:rFonts w:ascii="宋体" w:hAnsi="宋体"/>
                <w:color w:val="auto"/>
                <w:sz w:val="24"/>
                <w:szCs w:val="24"/>
              </w:rPr>
            </w:pPr>
            <w:r>
              <w:rPr>
                <w:rFonts w:hint="eastAsia" w:ascii="宋体" w:hAnsi="宋体"/>
                <w:color w:val="auto"/>
                <w:sz w:val="24"/>
                <w:szCs w:val="24"/>
              </w:rPr>
              <w:t>单位名称：合肥文旅博览集团有限公司</w:t>
            </w:r>
          </w:p>
          <w:p>
            <w:pPr>
              <w:spacing w:line="360" w:lineRule="auto"/>
              <w:rPr>
                <w:rFonts w:ascii="宋体" w:hAnsi="宋体"/>
                <w:color w:val="auto"/>
                <w:sz w:val="24"/>
                <w:szCs w:val="24"/>
              </w:rPr>
            </w:pPr>
            <w:r>
              <w:rPr>
                <w:rFonts w:hint="eastAsia" w:ascii="宋体" w:hAnsi="宋体"/>
                <w:color w:val="auto"/>
                <w:sz w:val="24"/>
                <w:szCs w:val="24"/>
              </w:rPr>
              <w:t>开户银行账号：1302010509200182305</w:t>
            </w:r>
          </w:p>
          <w:p>
            <w:pPr>
              <w:spacing w:line="360" w:lineRule="auto"/>
              <w:rPr>
                <w:rFonts w:ascii="宋体" w:hAnsi="宋体"/>
                <w:color w:val="auto"/>
                <w:sz w:val="24"/>
                <w:szCs w:val="24"/>
              </w:rPr>
            </w:pPr>
            <w:r>
              <w:rPr>
                <w:rFonts w:hint="eastAsia" w:ascii="宋体" w:hAnsi="宋体"/>
                <w:color w:val="auto"/>
                <w:sz w:val="24"/>
                <w:szCs w:val="24"/>
              </w:rPr>
              <w:t>开户银行：中国工商银行合肥望江路支行</w:t>
            </w:r>
          </w:p>
          <w:p>
            <w:pPr>
              <w:widowControl/>
              <w:spacing w:line="360" w:lineRule="auto"/>
              <w:jc w:val="left"/>
              <w:rPr>
                <w:rFonts w:ascii="宋体" w:hAnsi="宋体"/>
                <w:color w:val="auto"/>
                <w:sz w:val="24"/>
                <w:szCs w:val="24"/>
              </w:rPr>
            </w:pPr>
            <w:r>
              <w:rPr>
                <w:rFonts w:hint="eastAsia" w:ascii="宋体" w:hAnsi="宋体"/>
                <w:color w:val="auto"/>
                <w:sz w:val="24"/>
                <w:szCs w:val="24"/>
              </w:rPr>
              <w:t>备注：</w:t>
            </w:r>
          </w:p>
          <w:p>
            <w:pPr>
              <w:pStyle w:val="118"/>
              <w:widowControl/>
              <w:numPr>
                <w:ilvl w:val="0"/>
                <w:numId w:val="3"/>
              </w:numPr>
              <w:spacing w:line="360" w:lineRule="auto"/>
              <w:ind w:firstLineChars="0"/>
              <w:jc w:val="left"/>
              <w:rPr>
                <w:rFonts w:ascii="宋体" w:hAnsi="宋体"/>
                <w:color w:val="auto"/>
                <w:sz w:val="24"/>
                <w:szCs w:val="24"/>
              </w:rPr>
            </w:pPr>
            <w:r>
              <w:rPr>
                <w:rFonts w:hint="eastAsia" w:ascii="宋体" w:hAnsi="宋体"/>
                <w:color w:val="auto"/>
                <w:sz w:val="24"/>
                <w:szCs w:val="24"/>
              </w:rPr>
              <w:t>转帐时请备注“××项目投标保证金，并将转账凭证扫描件发送至120156961@qq.com邮箱；</w:t>
            </w:r>
          </w:p>
          <w:p>
            <w:pPr>
              <w:pStyle w:val="118"/>
              <w:widowControl/>
              <w:numPr>
                <w:ilvl w:val="0"/>
                <w:numId w:val="3"/>
              </w:numPr>
              <w:spacing w:line="360" w:lineRule="auto"/>
              <w:ind w:firstLineChars="0"/>
              <w:jc w:val="left"/>
              <w:rPr>
                <w:color w:val="auto"/>
                <w:spacing w:val="-5"/>
                <w:sz w:val="24"/>
                <w:szCs w:val="24"/>
              </w:rPr>
            </w:pPr>
            <w:r>
              <w:rPr>
                <w:rFonts w:hint="eastAsia"/>
                <w:color w:val="auto"/>
                <w:spacing w:val="-5"/>
                <w:sz w:val="24"/>
                <w:szCs w:val="24"/>
              </w:rPr>
              <w:t>投标保证金缴纳截止日为报名截止日。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rPr>
            </w:pPr>
            <w:r>
              <w:rPr>
                <w:rFonts w:hint="eastAsia" w:ascii="宋体" w:hAnsi="宋体"/>
                <w:color w:val="auto"/>
                <w:sz w:val="24"/>
              </w:rPr>
              <w:t>19</w:t>
            </w:r>
          </w:p>
        </w:tc>
        <w:tc>
          <w:tcPr>
            <w:tcW w:w="1559" w:type="dxa"/>
            <w:vAlign w:val="center"/>
          </w:tcPr>
          <w:p>
            <w:pPr>
              <w:spacing w:line="500" w:lineRule="exact"/>
              <w:jc w:val="center"/>
              <w:rPr>
                <w:rFonts w:ascii="宋体" w:hAnsi="宋体"/>
                <w:bCs/>
                <w:color w:val="auto"/>
                <w:sz w:val="24"/>
                <w:szCs w:val="24"/>
              </w:rPr>
            </w:pPr>
            <w:r>
              <w:rPr>
                <w:rFonts w:hint="eastAsia" w:ascii="宋体" w:hAnsi="宋体"/>
                <w:color w:val="auto"/>
                <w:sz w:val="24"/>
                <w:szCs w:val="24"/>
              </w:rPr>
              <w:t>履约保证金</w:t>
            </w:r>
          </w:p>
        </w:tc>
        <w:tc>
          <w:tcPr>
            <w:tcW w:w="7077" w:type="dxa"/>
            <w:vAlign w:val="center"/>
          </w:tcPr>
          <w:p>
            <w:pPr>
              <w:adjustRightInd w:val="0"/>
              <w:snapToGrid w:val="0"/>
              <w:spacing w:line="360" w:lineRule="auto"/>
              <w:rPr>
                <w:rFonts w:ascii="宋体" w:hAnsi="宋体"/>
                <w:color w:val="auto"/>
                <w:sz w:val="24"/>
                <w:szCs w:val="24"/>
              </w:rPr>
            </w:pPr>
            <w:r>
              <w:rPr>
                <w:rFonts w:hint="eastAsia" w:ascii="宋体" w:hAnsi="宋体"/>
                <w:color w:val="auto"/>
                <w:sz w:val="24"/>
                <w:szCs w:val="24"/>
              </w:rPr>
              <w:t>1.履约保证金数额：中标价的</w:t>
            </w:r>
            <w:r>
              <w:rPr>
                <w:rFonts w:hint="eastAsia" w:ascii="宋体" w:hAnsi="宋体"/>
                <w:color w:val="auto"/>
                <w:sz w:val="24"/>
                <w:szCs w:val="24"/>
                <w:u w:val="single"/>
              </w:rPr>
              <w:t xml:space="preserve"> 5 ％</w:t>
            </w:r>
          </w:p>
          <w:p>
            <w:pPr>
              <w:adjustRightInd w:val="0"/>
              <w:snapToGrid w:val="0"/>
              <w:spacing w:line="360" w:lineRule="auto"/>
              <w:rPr>
                <w:rFonts w:ascii="宋体" w:hAnsi="宋体"/>
                <w:color w:val="auto"/>
                <w:sz w:val="24"/>
                <w:szCs w:val="24"/>
              </w:rPr>
            </w:pPr>
            <w:r>
              <w:rPr>
                <w:rFonts w:hint="eastAsia" w:ascii="宋体" w:hAnsi="宋体"/>
                <w:color w:val="auto"/>
                <w:sz w:val="24"/>
                <w:szCs w:val="24"/>
              </w:rPr>
              <w:t>2.</w:t>
            </w:r>
            <w:r>
              <w:rPr>
                <w:rFonts w:ascii="宋体" w:hAnsi="宋体"/>
                <w:color w:val="auto"/>
                <w:sz w:val="24"/>
                <w:szCs w:val="24"/>
              </w:rPr>
              <w:t xml:space="preserve"> </w:t>
            </w:r>
            <w:r>
              <w:rPr>
                <w:rFonts w:hint="eastAsia" w:ascii="宋体" w:hAnsi="宋体"/>
                <w:color w:val="auto"/>
                <w:sz w:val="24"/>
                <w:szCs w:val="24"/>
              </w:rPr>
              <w:t xml:space="preserve">担保形式：□现金保证 </w:t>
            </w:r>
            <w:r>
              <w:rPr>
                <w:rFonts w:ascii="宋体" w:hAnsi="宋体"/>
                <w:color w:val="auto"/>
                <w:sz w:val="24"/>
                <w:szCs w:val="24"/>
              </w:rPr>
              <w:t xml:space="preserve"> </w:t>
            </w:r>
            <w:r>
              <w:rPr>
                <w:rFonts w:hint="eastAsia" w:ascii="宋体" w:hAnsi="宋体"/>
                <w:color w:val="auto"/>
                <w:sz w:val="24"/>
                <w:szCs w:val="24"/>
              </w:rPr>
              <w:t xml:space="preserve">□现金支票 </w:t>
            </w:r>
            <w:r>
              <w:rPr>
                <w:rFonts w:ascii="宋体" w:hAnsi="宋体"/>
                <w:color w:val="auto"/>
                <w:sz w:val="24"/>
                <w:szCs w:val="24"/>
              </w:rPr>
              <w:t xml:space="preserve"> </w:t>
            </w:r>
            <w:r>
              <w:rPr>
                <w:rFonts w:hint="eastAsia" w:ascii="宋体" w:hAnsi="宋体"/>
                <w:color w:val="auto"/>
                <w:sz w:val="24"/>
                <w:szCs w:val="24"/>
              </w:rPr>
              <w:t>□银行汇票</w:t>
            </w:r>
          </w:p>
          <w:p>
            <w:pPr>
              <w:adjustRightInd w:val="0"/>
              <w:snapToGrid w:val="0"/>
              <w:spacing w:line="360" w:lineRule="auto"/>
              <w:ind w:firstLine="480" w:firstLineChars="200"/>
              <w:rPr>
                <w:rFonts w:ascii="宋体" w:hAnsi="宋体"/>
                <w:color w:val="auto"/>
                <w:sz w:val="24"/>
                <w:szCs w:val="24"/>
              </w:rPr>
            </w:pPr>
            <w:r>
              <w:rPr>
                <w:rFonts w:hint="eastAsia" w:ascii="MS Mincho" w:hAnsi="MS Mincho" w:eastAsia="MS Mincho" w:cs="MS Mincho"/>
                <w:color w:val="auto"/>
                <w:sz w:val="24"/>
                <w:szCs w:val="24"/>
              </w:rPr>
              <w:t>☑</w:t>
            </w:r>
            <w:r>
              <w:rPr>
                <w:rFonts w:hint="eastAsia" w:ascii="宋体" w:hAnsi="宋体"/>
                <w:color w:val="auto"/>
                <w:sz w:val="24"/>
                <w:szCs w:val="24"/>
              </w:rPr>
              <w:t>银行保函</w:t>
            </w:r>
            <w:r>
              <w:rPr>
                <w:rFonts w:ascii="宋体" w:hAnsi="宋体"/>
                <w:color w:val="auto"/>
                <w:sz w:val="24"/>
                <w:szCs w:val="24"/>
              </w:rPr>
              <w:t xml:space="preserve"> </w:t>
            </w:r>
            <w:r>
              <w:rPr>
                <w:rFonts w:hint="eastAsia" w:ascii="宋体" w:hAnsi="宋体"/>
                <w:color w:val="auto"/>
                <w:sz w:val="24"/>
                <w:szCs w:val="24"/>
              </w:rPr>
              <w:t xml:space="preserve"> </w:t>
            </w:r>
            <w:r>
              <w:rPr>
                <w:rFonts w:hint="eastAsia" w:ascii="MS Mincho" w:hAnsi="MS Mincho" w:eastAsia="MS Mincho" w:cs="MS Mincho"/>
                <w:color w:val="auto"/>
                <w:sz w:val="24"/>
                <w:szCs w:val="24"/>
              </w:rPr>
              <w:t>☑</w:t>
            </w:r>
            <w:r>
              <w:rPr>
                <w:rFonts w:hint="eastAsia" w:ascii="宋体" w:hAnsi="宋体"/>
                <w:color w:val="auto"/>
                <w:sz w:val="24"/>
                <w:szCs w:val="24"/>
              </w:rPr>
              <w:t xml:space="preserve">银行转账 </w:t>
            </w:r>
            <w:r>
              <w:rPr>
                <w:rFonts w:ascii="宋体" w:hAnsi="宋体"/>
                <w:color w:val="auto"/>
                <w:sz w:val="24"/>
                <w:szCs w:val="24"/>
              </w:rPr>
              <w:t xml:space="preserve"> </w:t>
            </w:r>
            <w:r>
              <w:rPr>
                <w:rFonts w:hint="eastAsia" w:ascii="宋体" w:hAnsi="宋体"/>
                <w:color w:val="auto"/>
                <w:sz w:val="24"/>
                <w:szCs w:val="24"/>
              </w:rPr>
              <w:t>□工程担保  □保证保险</w:t>
            </w:r>
          </w:p>
          <w:p>
            <w:pPr>
              <w:spacing w:line="440" w:lineRule="exact"/>
              <w:rPr>
                <w:rFonts w:ascii="宋体" w:hAnsi="宋体"/>
                <w:color w:val="auto"/>
                <w:sz w:val="24"/>
                <w:szCs w:val="24"/>
              </w:rPr>
            </w:pPr>
            <w:r>
              <w:rPr>
                <w:rFonts w:hint="eastAsia" w:ascii="宋体" w:hAnsi="宋体"/>
                <w:color w:val="auto"/>
                <w:sz w:val="24"/>
                <w:szCs w:val="24"/>
              </w:rPr>
              <w:t>3.收受人为:□招标人、</w:t>
            </w:r>
            <w:r>
              <w:rPr>
                <w:rFonts w:ascii="宋体" w:hAnsi="宋体"/>
                <w:color w:val="auto"/>
                <w:sz w:val="24"/>
                <w:szCs w:val="24"/>
              </w:rPr>
              <w:sym w:font="Wingdings" w:char="F0FE"/>
            </w:r>
            <w:r>
              <w:rPr>
                <w:rFonts w:hint="eastAsia" w:ascii="宋体" w:hAnsi="宋体"/>
                <w:color w:val="auto"/>
                <w:sz w:val="24"/>
                <w:szCs w:val="24"/>
              </w:rPr>
              <w:t>委托人</w:t>
            </w:r>
          </w:p>
          <w:p>
            <w:pPr>
              <w:adjustRightInd w:val="0"/>
              <w:snapToGrid w:val="0"/>
              <w:spacing w:line="440" w:lineRule="exact"/>
              <w:rPr>
                <w:rFonts w:ascii="宋体" w:hAnsi="宋体"/>
                <w:color w:val="auto"/>
                <w:sz w:val="24"/>
                <w:szCs w:val="24"/>
              </w:rPr>
            </w:pPr>
            <w:r>
              <w:rPr>
                <w:rFonts w:hint="eastAsia" w:ascii="宋体" w:hAnsi="宋体"/>
                <w:color w:val="auto"/>
                <w:sz w:val="24"/>
                <w:szCs w:val="24"/>
              </w:rPr>
              <w:t>4.提交时限：合同签订前按规定提交履约保证金，若中标人在规定时限内未提交保证金的，招标人将书面通知中标人，5日内不能办理的，招标人将取消其中标资格。</w:t>
            </w:r>
          </w:p>
          <w:p>
            <w:pPr>
              <w:adjustRightInd w:val="0"/>
              <w:snapToGrid w:val="0"/>
              <w:spacing w:line="360" w:lineRule="auto"/>
              <w:rPr>
                <w:rFonts w:ascii="宋体" w:hAnsi="宋体"/>
                <w:color w:val="auto"/>
                <w:sz w:val="24"/>
                <w:szCs w:val="24"/>
              </w:rPr>
            </w:pPr>
            <w:r>
              <w:rPr>
                <w:rFonts w:hint="eastAsia" w:ascii="宋体" w:hAnsi="宋体"/>
                <w:color w:val="auto"/>
                <w:sz w:val="24"/>
                <w:szCs w:val="24"/>
              </w:rPr>
              <w:t>5.保证金必须从基本账户转出，投标保证金汇出帐户名称应与投标人名称应完全一致。</w:t>
            </w:r>
          </w:p>
          <w:p>
            <w:pPr>
              <w:adjustRightInd w:val="0"/>
              <w:snapToGrid w:val="0"/>
              <w:spacing w:line="360" w:lineRule="auto"/>
              <w:jc w:val="left"/>
              <w:rPr>
                <w:rFonts w:ascii="宋体" w:hAnsi="宋体"/>
                <w:color w:val="auto"/>
                <w:sz w:val="24"/>
                <w:szCs w:val="24"/>
              </w:rPr>
            </w:pPr>
            <w:r>
              <w:rPr>
                <w:rFonts w:hint="eastAsia" w:ascii="宋体" w:hAnsi="宋体"/>
                <w:color w:val="auto"/>
                <w:sz w:val="24"/>
                <w:szCs w:val="24"/>
              </w:rPr>
              <w:t>6.退还：合同签订后满六个月一次性退还（无息）。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rPr>
            </w:pPr>
            <w:r>
              <w:rPr>
                <w:rFonts w:hint="eastAsia" w:ascii="宋体" w:hAnsi="宋体"/>
                <w:color w:val="auto"/>
                <w:sz w:val="24"/>
              </w:rPr>
              <w:t>20</w:t>
            </w:r>
          </w:p>
        </w:tc>
        <w:tc>
          <w:tcPr>
            <w:tcW w:w="1559" w:type="dxa"/>
            <w:vAlign w:val="center"/>
          </w:tcPr>
          <w:p>
            <w:pPr>
              <w:spacing w:line="500" w:lineRule="exact"/>
              <w:jc w:val="center"/>
              <w:rPr>
                <w:rFonts w:ascii="宋体" w:hAnsi="宋体"/>
                <w:color w:val="auto"/>
                <w:sz w:val="24"/>
              </w:rPr>
            </w:pPr>
            <w:r>
              <w:rPr>
                <w:rFonts w:hint="eastAsia" w:ascii="宋体" w:hAnsi="宋体"/>
                <w:color w:val="auto"/>
                <w:sz w:val="24"/>
              </w:rPr>
              <w:t>本地化服务</w:t>
            </w:r>
          </w:p>
        </w:tc>
        <w:tc>
          <w:tcPr>
            <w:tcW w:w="7077" w:type="dxa"/>
            <w:vAlign w:val="center"/>
          </w:tcPr>
          <w:p>
            <w:pPr>
              <w:spacing w:line="500" w:lineRule="exact"/>
              <w:rPr>
                <w:rFonts w:ascii="宋体" w:hAnsi="宋体"/>
                <w:color w:val="auto"/>
                <w:sz w:val="24"/>
              </w:rPr>
            </w:pPr>
            <w:r>
              <w:rPr>
                <w:rFonts w:hint="eastAsia" w:ascii="宋体" w:hAnsi="宋体"/>
                <w:color w:val="auto"/>
                <w:sz w:val="24"/>
              </w:rPr>
              <w:t>本项目是否要求本地化服务能力：</w:t>
            </w:r>
            <w:r>
              <w:rPr>
                <w:rFonts w:hint="eastAsia" w:ascii="宋体" w:hAnsi="宋体"/>
                <w:b/>
                <w:color w:val="auto"/>
                <w:sz w:val="24"/>
              </w:rPr>
              <w:sym w:font="Wingdings" w:char="F0FE"/>
            </w:r>
            <w:r>
              <w:rPr>
                <w:rFonts w:hint="eastAsia" w:ascii="宋体" w:hAnsi="宋体"/>
                <w:b/>
                <w:color w:val="auto"/>
                <w:sz w:val="24"/>
              </w:rPr>
              <w:t>要求   □不要求</w:t>
            </w:r>
          </w:p>
          <w:p>
            <w:pPr>
              <w:spacing w:line="500" w:lineRule="exact"/>
              <w:rPr>
                <w:rFonts w:ascii="宋体" w:hAnsi="宋体"/>
                <w:color w:val="auto"/>
                <w:sz w:val="24"/>
              </w:rPr>
            </w:pPr>
            <w:r>
              <w:rPr>
                <w:rFonts w:hint="eastAsia" w:ascii="宋体" w:hAnsi="宋体"/>
                <w:color w:val="auto"/>
                <w:sz w:val="24"/>
              </w:rPr>
              <w:t>本地化服务的能力是指具有下列条件之一：</w:t>
            </w:r>
          </w:p>
          <w:p>
            <w:pPr>
              <w:spacing w:line="500" w:lineRule="exact"/>
              <w:rPr>
                <w:rFonts w:ascii="宋体" w:hAnsi="宋体"/>
                <w:color w:val="auto"/>
                <w:sz w:val="24"/>
              </w:rPr>
            </w:pPr>
            <w:r>
              <w:rPr>
                <w:rFonts w:hint="eastAsia" w:ascii="宋体" w:hAnsi="宋体"/>
                <w:color w:val="auto"/>
                <w:sz w:val="24"/>
              </w:rPr>
              <w:t>1.在本地具有固定的办公场所及人员；</w:t>
            </w:r>
          </w:p>
          <w:p>
            <w:pPr>
              <w:spacing w:line="500" w:lineRule="exact"/>
              <w:rPr>
                <w:rFonts w:ascii="宋体" w:hAnsi="宋体"/>
                <w:color w:val="auto"/>
                <w:sz w:val="24"/>
              </w:rPr>
            </w:pPr>
            <w:r>
              <w:rPr>
                <w:rFonts w:hint="eastAsia" w:ascii="宋体" w:hAnsi="宋体"/>
                <w:color w:val="auto"/>
                <w:sz w:val="24"/>
              </w:rPr>
              <w:t>2.投标人在本地注册成立的；</w:t>
            </w:r>
          </w:p>
          <w:p>
            <w:pPr>
              <w:spacing w:line="500" w:lineRule="exact"/>
              <w:rPr>
                <w:rFonts w:ascii="宋体" w:hAnsi="宋体"/>
                <w:b/>
                <w:color w:val="auto"/>
                <w:sz w:val="24"/>
              </w:rPr>
            </w:pPr>
            <w:r>
              <w:rPr>
                <w:rFonts w:hint="eastAsia" w:ascii="宋体" w:hAnsi="宋体"/>
                <w:color w:val="auto"/>
                <w:sz w:val="24"/>
              </w:rPr>
              <w:t>3.承诺中标即设立本地化服务机构。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rPr>
            </w:pPr>
            <w:r>
              <w:rPr>
                <w:rFonts w:hint="eastAsia" w:ascii="宋体" w:hAnsi="宋体"/>
                <w:color w:val="auto"/>
                <w:sz w:val="24"/>
              </w:rPr>
              <w:t>21</w:t>
            </w:r>
          </w:p>
        </w:tc>
        <w:tc>
          <w:tcPr>
            <w:tcW w:w="1559" w:type="dxa"/>
            <w:vAlign w:val="center"/>
          </w:tcPr>
          <w:p>
            <w:pPr>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项目人员</w:t>
            </w:r>
          </w:p>
          <w:p>
            <w:pPr>
              <w:adjustRightInd w:val="0"/>
              <w:snapToGrid w:val="0"/>
              <w:spacing w:line="360" w:lineRule="auto"/>
              <w:jc w:val="center"/>
              <w:rPr>
                <w:rFonts w:ascii="宋体" w:hAnsi="宋体"/>
                <w:b/>
                <w:color w:val="auto"/>
                <w:sz w:val="24"/>
                <w:szCs w:val="24"/>
              </w:rPr>
            </w:pPr>
            <w:r>
              <w:rPr>
                <w:rFonts w:hint="eastAsia" w:ascii="宋体" w:hAnsi="宋体"/>
                <w:color w:val="auto"/>
                <w:sz w:val="24"/>
                <w:szCs w:val="24"/>
              </w:rPr>
              <w:t>要求</w:t>
            </w:r>
          </w:p>
        </w:tc>
        <w:tc>
          <w:tcPr>
            <w:tcW w:w="7077" w:type="dxa"/>
            <w:vAlign w:val="center"/>
          </w:tcPr>
          <w:p>
            <w:pPr>
              <w:spacing w:line="360" w:lineRule="auto"/>
              <w:jc w:val="left"/>
              <w:outlineLvl w:val="0"/>
              <w:rPr>
                <w:rFonts w:ascii="宋体"/>
                <w:color w:val="auto"/>
                <w:sz w:val="24"/>
                <w:szCs w:val="24"/>
              </w:rPr>
            </w:pPr>
            <w:r>
              <w:rPr>
                <w:rFonts w:hint="eastAsia" w:ascii="宋体"/>
                <w:color w:val="auto"/>
                <w:sz w:val="24"/>
                <w:szCs w:val="24"/>
              </w:rPr>
              <w:t>本项目要求配备1名项目负责人， 1名及以上维保维修人员。</w:t>
            </w:r>
          </w:p>
        </w:tc>
      </w:tr>
    </w:tbl>
    <w:p>
      <w:pPr>
        <w:pStyle w:val="5"/>
        <w:spacing w:before="42"/>
        <w:jc w:val="left"/>
        <w:rPr>
          <w:color w:val="auto"/>
          <w:sz w:val="24"/>
          <w:szCs w:val="24"/>
        </w:rPr>
        <w:sectPr>
          <w:headerReference r:id="rId3" w:type="default"/>
          <w:footerReference r:id="rId4" w:type="default"/>
          <w:pgSz w:w="11910" w:h="16840"/>
          <w:pgMar w:top="1100" w:right="1797" w:bottom="1179" w:left="1797" w:header="879" w:footer="907" w:gutter="0"/>
          <w:cols w:space="720" w:num="1"/>
        </w:sectPr>
      </w:pPr>
      <w:bookmarkStart w:id="10" w:name="_Toc508363589"/>
      <w:bookmarkStart w:id="11" w:name="_Toc459990137"/>
    </w:p>
    <w:p>
      <w:pPr>
        <w:pStyle w:val="6"/>
        <w:spacing w:before="0" w:line="500" w:lineRule="exact"/>
        <w:ind w:firstLine="0"/>
        <w:rPr>
          <w:rFonts w:ascii="宋体" w:hAnsi="宋体" w:eastAsia="宋体"/>
          <w:color w:val="auto"/>
        </w:rPr>
      </w:pPr>
      <w:bookmarkStart w:id="12" w:name="_Toc32306255"/>
      <w:bookmarkStart w:id="13" w:name="_Toc26093"/>
      <w:r>
        <w:rPr>
          <w:rFonts w:hint="eastAsia" w:ascii="宋体" w:hAnsi="宋体" w:eastAsia="宋体"/>
          <w:color w:val="auto"/>
        </w:rPr>
        <w:t>第三章 投标人须知</w:t>
      </w:r>
      <w:bookmarkEnd w:id="12"/>
      <w:bookmarkStart w:id="14" w:name="_Toc459990138"/>
      <w:r>
        <w:rPr>
          <w:rFonts w:hint="eastAsia" w:ascii="宋体" w:hAnsi="宋体" w:eastAsia="宋体"/>
          <w:color w:val="auto"/>
        </w:rPr>
        <w:t>及评标</w:t>
      </w:r>
      <w:bookmarkEnd w:id="13"/>
    </w:p>
    <w:bookmarkEnd w:id="10"/>
    <w:bookmarkEnd w:id="11"/>
    <w:bookmarkEnd w:id="14"/>
    <w:p>
      <w:pPr>
        <w:keepNext/>
        <w:keepLines/>
        <w:spacing w:before="260" w:after="260" w:line="360" w:lineRule="auto"/>
        <w:jc w:val="center"/>
        <w:outlineLvl w:val="2"/>
        <w:rPr>
          <w:rFonts w:ascii="宋体" w:hAnsi="宋体"/>
          <w:b/>
          <w:bCs/>
          <w:color w:val="auto"/>
          <w:sz w:val="28"/>
          <w:szCs w:val="32"/>
        </w:rPr>
      </w:pPr>
      <w:bookmarkStart w:id="15" w:name="_Toc22888330"/>
      <w:r>
        <w:rPr>
          <w:rFonts w:hint="eastAsia" w:ascii="宋体" w:hAnsi="宋体"/>
          <w:b/>
          <w:bCs/>
          <w:color w:val="auto"/>
          <w:sz w:val="28"/>
          <w:szCs w:val="32"/>
        </w:rPr>
        <w:t>一．投标文件的编制</w:t>
      </w:r>
      <w:bookmarkEnd w:id="15"/>
    </w:p>
    <w:p>
      <w:pPr>
        <w:spacing w:line="480" w:lineRule="exact"/>
        <w:ind w:firstLine="482" w:firstLineChars="200"/>
        <w:rPr>
          <w:rFonts w:ascii="宋体" w:hAnsi="宋体"/>
          <w:b/>
          <w:color w:val="auto"/>
          <w:kern w:val="0"/>
          <w:sz w:val="24"/>
        </w:rPr>
      </w:pPr>
      <w:r>
        <w:rPr>
          <w:rFonts w:hint="eastAsia" w:ascii="宋体" w:hAnsi="宋体"/>
          <w:b/>
          <w:color w:val="auto"/>
          <w:kern w:val="0"/>
          <w:sz w:val="24"/>
        </w:rPr>
        <w:t>1.投标文件的编写要求</w:t>
      </w:r>
    </w:p>
    <w:p>
      <w:pPr>
        <w:spacing w:line="480" w:lineRule="exact"/>
        <w:ind w:firstLine="480" w:firstLineChars="200"/>
        <w:rPr>
          <w:rFonts w:ascii="宋体" w:hAnsi="宋体" w:cs="宋体"/>
          <w:color w:val="auto"/>
          <w:kern w:val="0"/>
          <w:sz w:val="24"/>
        </w:rPr>
      </w:pPr>
      <w:r>
        <w:rPr>
          <w:rFonts w:hint="eastAsia" w:ascii="宋体" w:hAnsi="宋体" w:cs="宋体"/>
          <w:color w:val="auto"/>
          <w:kern w:val="0"/>
          <w:sz w:val="24"/>
        </w:rPr>
        <w:t>1.1投标人须以招标人正式发布的《招标文件》为制作《投标文件》的依据；</w:t>
      </w:r>
    </w:p>
    <w:p>
      <w:pPr>
        <w:spacing w:line="480" w:lineRule="exact"/>
        <w:ind w:firstLine="480" w:firstLineChars="200"/>
        <w:rPr>
          <w:rFonts w:ascii="宋体" w:hAnsi="宋体"/>
          <w:color w:val="auto"/>
          <w:kern w:val="0"/>
          <w:sz w:val="24"/>
        </w:rPr>
      </w:pPr>
      <w:r>
        <w:rPr>
          <w:rFonts w:hint="eastAsia" w:ascii="宋体" w:hAnsi="宋体" w:cs="宋体"/>
          <w:color w:val="auto"/>
          <w:kern w:val="0"/>
          <w:sz w:val="24"/>
        </w:rPr>
        <w:t>1.2</w:t>
      </w:r>
      <w:r>
        <w:rPr>
          <w:rFonts w:hint="eastAsia" w:ascii="宋体" w:hAnsi="宋体"/>
          <w:color w:val="auto"/>
          <w:kern w:val="0"/>
          <w:sz w:val="24"/>
        </w:rPr>
        <w:t>投标人应仔细阅读招标文件的所有内容，按招标文件的要求提供投标文件，并保证所提供的全部资料真实有效；</w:t>
      </w:r>
    </w:p>
    <w:p>
      <w:pPr>
        <w:spacing w:line="480" w:lineRule="exact"/>
        <w:ind w:firstLine="480" w:firstLineChars="200"/>
        <w:rPr>
          <w:rFonts w:ascii="宋体" w:hAnsi="宋体"/>
          <w:color w:val="auto"/>
          <w:kern w:val="0"/>
          <w:sz w:val="24"/>
        </w:rPr>
      </w:pPr>
      <w:r>
        <w:rPr>
          <w:rFonts w:hint="eastAsia" w:ascii="宋体" w:hAnsi="宋体" w:cs="宋体"/>
          <w:color w:val="auto"/>
          <w:kern w:val="0"/>
          <w:sz w:val="24"/>
        </w:rPr>
        <w:t>1.3</w:t>
      </w:r>
      <w:r>
        <w:rPr>
          <w:rFonts w:hint="eastAsia" w:ascii="宋体" w:hAnsi="宋体"/>
          <w:color w:val="auto"/>
          <w:kern w:val="0"/>
          <w:sz w:val="24"/>
        </w:rPr>
        <w:t>投标文件的书面内容不得涂抹或改写；</w:t>
      </w:r>
    </w:p>
    <w:p>
      <w:pPr>
        <w:spacing w:line="480" w:lineRule="exact"/>
        <w:ind w:firstLine="480" w:firstLineChars="200"/>
        <w:rPr>
          <w:rFonts w:ascii="宋体" w:hAnsi="宋体"/>
          <w:color w:val="auto"/>
          <w:kern w:val="0"/>
          <w:sz w:val="24"/>
        </w:rPr>
      </w:pPr>
      <w:r>
        <w:rPr>
          <w:rFonts w:hint="eastAsia" w:ascii="宋体" w:hAnsi="宋体"/>
          <w:color w:val="auto"/>
          <w:kern w:val="0"/>
          <w:sz w:val="24"/>
        </w:rPr>
        <w:t>1.4满足本招标文件规定的其它要求。</w:t>
      </w:r>
    </w:p>
    <w:p>
      <w:pPr>
        <w:spacing w:line="480" w:lineRule="exact"/>
        <w:ind w:firstLine="482" w:firstLineChars="200"/>
        <w:rPr>
          <w:rFonts w:ascii="宋体" w:hAnsi="宋体"/>
          <w:b/>
          <w:color w:val="auto"/>
          <w:kern w:val="0"/>
          <w:sz w:val="24"/>
        </w:rPr>
      </w:pPr>
      <w:r>
        <w:rPr>
          <w:rFonts w:hint="eastAsia" w:ascii="宋体" w:hAnsi="宋体"/>
          <w:b/>
          <w:color w:val="auto"/>
          <w:kern w:val="0"/>
          <w:sz w:val="24"/>
        </w:rPr>
        <w:t>2.投标文件由以下部分构成</w:t>
      </w:r>
    </w:p>
    <w:p>
      <w:pPr>
        <w:spacing w:line="480" w:lineRule="exact"/>
        <w:ind w:firstLine="480" w:firstLineChars="200"/>
        <w:rPr>
          <w:rFonts w:ascii="宋体" w:hAnsi="宋体"/>
          <w:color w:val="auto"/>
          <w:kern w:val="0"/>
          <w:sz w:val="24"/>
        </w:rPr>
      </w:pPr>
      <w:r>
        <w:rPr>
          <w:rFonts w:hint="eastAsia" w:ascii="宋体" w:hAnsi="宋体" w:cs="宋体"/>
          <w:color w:val="auto"/>
          <w:kern w:val="0"/>
          <w:sz w:val="24"/>
        </w:rPr>
        <w:t>2.1</w:t>
      </w:r>
      <w:r>
        <w:rPr>
          <w:rFonts w:hint="eastAsia" w:ascii="宋体" w:hAnsi="宋体"/>
          <w:color w:val="auto"/>
          <w:kern w:val="0"/>
          <w:sz w:val="24"/>
        </w:rPr>
        <w:t>开标一览表、分项报价表、投标报价汇总表等；</w:t>
      </w:r>
    </w:p>
    <w:p>
      <w:pPr>
        <w:spacing w:line="480" w:lineRule="exact"/>
        <w:ind w:firstLine="480" w:firstLineChars="200"/>
        <w:rPr>
          <w:rFonts w:ascii="宋体" w:hAnsi="宋体"/>
          <w:color w:val="auto"/>
          <w:kern w:val="0"/>
          <w:sz w:val="24"/>
        </w:rPr>
      </w:pPr>
      <w:r>
        <w:rPr>
          <w:rFonts w:hint="eastAsia" w:ascii="宋体" w:hAnsi="宋体" w:cs="宋体"/>
          <w:color w:val="auto"/>
          <w:kern w:val="0"/>
          <w:sz w:val="24"/>
        </w:rPr>
        <w:t>2.2</w:t>
      </w:r>
      <w:r>
        <w:rPr>
          <w:rFonts w:hint="eastAsia" w:ascii="宋体" w:hAnsi="宋体"/>
          <w:color w:val="auto"/>
          <w:kern w:val="0"/>
          <w:sz w:val="24"/>
        </w:rPr>
        <w:t>投标人资质证明文件复印件、法人和授权代表人身份证复印件；</w:t>
      </w:r>
    </w:p>
    <w:p>
      <w:pPr>
        <w:spacing w:line="480" w:lineRule="exact"/>
        <w:ind w:firstLine="480" w:firstLineChars="200"/>
        <w:rPr>
          <w:rFonts w:ascii="宋体" w:hAnsi="宋体"/>
          <w:color w:val="auto"/>
          <w:kern w:val="0"/>
          <w:sz w:val="24"/>
        </w:rPr>
      </w:pPr>
      <w:r>
        <w:rPr>
          <w:rFonts w:hint="eastAsia" w:ascii="宋体" w:hAnsi="宋体" w:cs="宋体"/>
          <w:color w:val="auto"/>
          <w:kern w:val="0"/>
          <w:sz w:val="24"/>
        </w:rPr>
        <w:t>2.3投标人</w:t>
      </w:r>
      <w:r>
        <w:rPr>
          <w:rFonts w:hint="eastAsia" w:ascii="宋体" w:hAnsi="宋体"/>
          <w:color w:val="auto"/>
          <w:kern w:val="0"/>
          <w:sz w:val="24"/>
        </w:rPr>
        <w:t>同类项目合同及投标人其它说明文件等；</w:t>
      </w:r>
    </w:p>
    <w:p>
      <w:pPr>
        <w:spacing w:line="480" w:lineRule="exact"/>
        <w:ind w:firstLine="482" w:firstLineChars="200"/>
        <w:rPr>
          <w:rFonts w:ascii="宋体" w:hAnsi="宋体"/>
          <w:b/>
          <w:color w:val="auto"/>
          <w:kern w:val="0"/>
          <w:sz w:val="24"/>
        </w:rPr>
      </w:pPr>
      <w:r>
        <w:rPr>
          <w:rFonts w:hint="eastAsia" w:ascii="宋体" w:hAnsi="宋体"/>
          <w:b/>
          <w:color w:val="auto"/>
          <w:kern w:val="0"/>
          <w:sz w:val="24"/>
        </w:rPr>
        <w:t>3.投标报价说明及依据</w:t>
      </w:r>
    </w:p>
    <w:p>
      <w:pPr>
        <w:spacing w:line="480" w:lineRule="exact"/>
        <w:ind w:firstLine="480" w:firstLineChars="200"/>
        <w:rPr>
          <w:rFonts w:ascii="宋体" w:hAnsi="宋体"/>
          <w:b/>
          <w:color w:val="auto"/>
          <w:kern w:val="0"/>
          <w:sz w:val="24"/>
        </w:rPr>
      </w:pPr>
      <w:r>
        <w:rPr>
          <w:rFonts w:hint="eastAsia" w:ascii="宋体" w:hAnsi="宋体" w:cs="宋体"/>
          <w:color w:val="auto"/>
          <w:kern w:val="0"/>
          <w:sz w:val="24"/>
        </w:rPr>
        <w:t>3.1招标内容、采购清单等；</w:t>
      </w:r>
    </w:p>
    <w:p>
      <w:pPr>
        <w:widowControl/>
        <w:spacing w:line="480" w:lineRule="exact"/>
        <w:ind w:firstLine="480" w:firstLineChars="200"/>
        <w:jc w:val="left"/>
        <w:rPr>
          <w:rFonts w:ascii="宋体" w:hAnsi="宋体" w:cs="宋体"/>
          <w:color w:val="auto"/>
          <w:kern w:val="0"/>
          <w:sz w:val="24"/>
        </w:rPr>
      </w:pPr>
      <w:r>
        <w:rPr>
          <w:rFonts w:hint="eastAsia" w:ascii="宋体" w:hAnsi="宋体" w:cs="宋体"/>
          <w:color w:val="auto"/>
          <w:kern w:val="0"/>
          <w:sz w:val="24"/>
        </w:rPr>
        <w:t>3.2国家、行业、地方有关技术标准规范；</w:t>
      </w:r>
    </w:p>
    <w:p>
      <w:pPr>
        <w:widowControl/>
        <w:spacing w:line="480" w:lineRule="exact"/>
        <w:ind w:firstLine="465"/>
        <w:jc w:val="left"/>
        <w:rPr>
          <w:rFonts w:ascii="宋体" w:hAnsi="宋体" w:cs="宋体"/>
          <w:color w:val="auto"/>
          <w:kern w:val="0"/>
          <w:sz w:val="24"/>
        </w:rPr>
      </w:pPr>
      <w:r>
        <w:rPr>
          <w:rFonts w:hint="eastAsia" w:ascii="宋体" w:hAnsi="宋体" w:cs="宋体"/>
          <w:color w:val="auto"/>
          <w:kern w:val="0"/>
          <w:sz w:val="24"/>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color w:val="auto"/>
          <w:kern w:val="0"/>
          <w:sz w:val="24"/>
        </w:rPr>
      </w:pPr>
      <w:r>
        <w:rPr>
          <w:rFonts w:hint="eastAsia" w:ascii="宋体" w:hAnsi="宋体" w:cs="宋体"/>
          <w:color w:val="auto"/>
          <w:kern w:val="0"/>
          <w:sz w:val="24"/>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ind w:firstLine="628"/>
        <w:jc w:val="center"/>
        <w:outlineLvl w:val="2"/>
        <w:rPr>
          <w:rFonts w:ascii="宋体" w:hAnsi="宋体"/>
          <w:b/>
          <w:bCs/>
          <w:color w:val="auto"/>
          <w:sz w:val="28"/>
          <w:szCs w:val="32"/>
        </w:rPr>
      </w:pPr>
      <w:bookmarkStart w:id="16" w:name="_Toc19773335"/>
      <w:bookmarkStart w:id="17" w:name="_Toc22888331"/>
      <w:r>
        <w:rPr>
          <w:rFonts w:hint="eastAsia" w:ascii="宋体" w:hAnsi="宋体"/>
          <w:b/>
          <w:bCs/>
          <w:color w:val="auto"/>
          <w:sz w:val="28"/>
          <w:szCs w:val="32"/>
        </w:rPr>
        <w:t>二．投标保证金的缴纳</w:t>
      </w:r>
      <w:bookmarkEnd w:id="16"/>
      <w:bookmarkEnd w:id="17"/>
    </w:p>
    <w:p>
      <w:pPr>
        <w:spacing w:line="360" w:lineRule="auto"/>
        <w:ind w:firstLine="549"/>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投标前，投标人应向文旅博览集团提交投标人须知前附表规定金额的投标保证金，作为投标的一部分，投标保证金应当从投标人账户转出，并在投标截止时间前足额到达招标公告指定账号。</w:t>
      </w:r>
    </w:p>
    <w:p>
      <w:pPr>
        <w:spacing w:line="360" w:lineRule="auto"/>
        <w:ind w:firstLine="549"/>
        <w:rPr>
          <w:rFonts w:ascii="宋体" w:hAnsi="宋体"/>
          <w:color w:val="auto"/>
          <w:sz w:val="24"/>
          <w:szCs w:val="24"/>
        </w:rPr>
      </w:pPr>
      <w:r>
        <w:rPr>
          <w:rFonts w:hint="eastAsia" w:ascii="宋体" w:hAnsi="宋体"/>
          <w:color w:val="auto"/>
          <w:sz w:val="24"/>
          <w:szCs w:val="24"/>
        </w:rPr>
        <w:t>开标后，文旅博览集团将从投标保证金查询系统中查询投标保证金信息，并提交评标委员会评审。</w:t>
      </w:r>
    </w:p>
    <w:p>
      <w:pPr>
        <w:spacing w:line="360" w:lineRule="auto"/>
        <w:ind w:firstLine="549"/>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 xml:space="preserve"> 投标保证金可采取下列任何一种形式：</w:t>
      </w:r>
    </w:p>
    <w:p>
      <w:pPr>
        <w:spacing w:line="360" w:lineRule="auto"/>
        <w:ind w:firstLine="549"/>
        <w:rPr>
          <w:rFonts w:ascii="宋体" w:hAnsi="宋体"/>
          <w:color w:val="auto"/>
          <w:sz w:val="24"/>
          <w:szCs w:val="24"/>
        </w:rPr>
      </w:pPr>
      <w:r>
        <w:rPr>
          <w:rFonts w:hint="eastAsia" w:ascii="宋体" w:hAnsi="宋体"/>
          <w:color w:val="auto"/>
          <w:sz w:val="24"/>
          <w:szCs w:val="24"/>
        </w:rPr>
        <w:t>2.1异地电汇；</w:t>
      </w:r>
    </w:p>
    <w:p>
      <w:pPr>
        <w:spacing w:line="360" w:lineRule="auto"/>
        <w:ind w:firstLine="549"/>
        <w:rPr>
          <w:rFonts w:ascii="宋体" w:hAnsi="宋体"/>
          <w:color w:val="auto"/>
          <w:sz w:val="24"/>
          <w:szCs w:val="24"/>
        </w:rPr>
      </w:pPr>
      <w:r>
        <w:rPr>
          <w:rFonts w:hint="eastAsia" w:ascii="宋体" w:hAnsi="宋体"/>
          <w:color w:val="auto"/>
          <w:sz w:val="24"/>
          <w:szCs w:val="24"/>
        </w:rPr>
        <w:t>2.2本地转帐。</w:t>
      </w:r>
    </w:p>
    <w:p>
      <w:pPr>
        <w:spacing w:line="360" w:lineRule="auto"/>
        <w:ind w:firstLine="549"/>
        <w:rPr>
          <w:rFonts w:ascii="宋体" w:hAnsi="宋体"/>
          <w:color w:val="auto"/>
          <w:sz w:val="24"/>
          <w:szCs w:val="24"/>
        </w:rPr>
      </w:pPr>
      <w:r>
        <w:rPr>
          <w:rFonts w:hint="eastAsia" w:ascii="宋体" w:hAnsi="宋体"/>
          <w:color w:val="auto"/>
          <w:sz w:val="24"/>
          <w:szCs w:val="24"/>
        </w:rPr>
        <w:t>3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pPr>
        <w:spacing w:line="360" w:lineRule="auto"/>
        <w:ind w:firstLine="549"/>
        <w:rPr>
          <w:rFonts w:ascii="宋体" w:hAnsi="宋体"/>
          <w:color w:val="auto"/>
          <w:sz w:val="24"/>
          <w:szCs w:val="24"/>
        </w:rPr>
      </w:pPr>
      <w:r>
        <w:rPr>
          <w:rFonts w:hint="eastAsia" w:ascii="宋体" w:hAnsi="宋体"/>
          <w:color w:val="auto"/>
          <w:sz w:val="24"/>
          <w:szCs w:val="24"/>
        </w:rPr>
        <w:t>4未按要求提交投标保证金的投标，将被视为非响应性投标而导致投标无效。</w:t>
      </w:r>
    </w:p>
    <w:p>
      <w:pPr>
        <w:spacing w:line="360" w:lineRule="auto"/>
        <w:ind w:firstLine="549"/>
        <w:rPr>
          <w:rFonts w:ascii="宋体" w:hAnsi="宋体"/>
          <w:color w:val="auto"/>
          <w:sz w:val="24"/>
          <w:szCs w:val="24"/>
        </w:rPr>
      </w:pPr>
      <w:r>
        <w:rPr>
          <w:rFonts w:hint="eastAsia" w:ascii="宋体" w:hAnsi="宋体"/>
          <w:color w:val="auto"/>
          <w:sz w:val="24"/>
          <w:szCs w:val="24"/>
        </w:rPr>
        <w:t>5 招标人最迟应当在书面合同签订后5日内向中标人和未中标的投标人退还投标保证金（不计息）。投标保证金只退还至投标人账户。</w:t>
      </w:r>
    </w:p>
    <w:p>
      <w:pPr>
        <w:spacing w:line="360" w:lineRule="auto"/>
        <w:ind w:firstLine="549"/>
        <w:rPr>
          <w:rFonts w:ascii="宋体" w:hAnsi="宋体"/>
          <w:color w:val="auto"/>
          <w:sz w:val="24"/>
          <w:szCs w:val="24"/>
        </w:rPr>
      </w:pPr>
      <w:r>
        <w:rPr>
          <w:rFonts w:hint="eastAsia" w:ascii="宋体" w:hAnsi="宋体"/>
          <w:color w:val="auto"/>
          <w:sz w:val="24"/>
          <w:szCs w:val="24"/>
        </w:rPr>
        <w:t>6有下列情形之一的，招标人不予退还投标保证金：</w:t>
      </w:r>
    </w:p>
    <w:p>
      <w:pPr>
        <w:spacing w:line="360" w:lineRule="auto"/>
        <w:ind w:firstLine="549"/>
        <w:rPr>
          <w:rFonts w:ascii="宋体" w:hAnsi="宋体"/>
          <w:color w:val="auto"/>
          <w:sz w:val="24"/>
          <w:szCs w:val="24"/>
        </w:rPr>
      </w:pPr>
      <w:r>
        <w:rPr>
          <w:rFonts w:hint="eastAsia" w:ascii="宋体" w:hAnsi="宋体"/>
          <w:color w:val="auto"/>
          <w:sz w:val="24"/>
          <w:szCs w:val="24"/>
        </w:rPr>
        <w:t>6.1投标人在规定的投标有效期内撤回或修改其投标；</w:t>
      </w:r>
    </w:p>
    <w:p>
      <w:pPr>
        <w:spacing w:line="360" w:lineRule="auto"/>
        <w:ind w:firstLine="549"/>
        <w:rPr>
          <w:rFonts w:ascii="宋体" w:hAnsi="宋体"/>
          <w:color w:val="auto"/>
          <w:sz w:val="24"/>
          <w:szCs w:val="24"/>
        </w:rPr>
      </w:pPr>
      <w:r>
        <w:rPr>
          <w:rFonts w:hint="eastAsia" w:ascii="宋体" w:hAnsi="宋体"/>
          <w:color w:val="auto"/>
          <w:sz w:val="24"/>
          <w:szCs w:val="24"/>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pPr>
        <w:spacing w:line="360" w:lineRule="auto"/>
        <w:ind w:firstLine="550"/>
        <w:rPr>
          <w:rFonts w:ascii="宋体" w:hAnsi="宋体"/>
          <w:color w:val="auto"/>
          <w:sz w:val="24"/>
          <w:szCs w:val="24"/>
        </w:rPr>
      </w:pPr>
      <w:r>
        <w:rPr>
          <w:rFonts w:hint="eastAsia" w:ascii="宋体" w:hAnsi="宋体"/>
          <w:color w:val="auto"/>
          <w:sz w:val="24"/>
          <w:szCs w:val="24"/>
        </w:rPr>
        <w:t>7由于投标人行为导致招标人或文旅博览集团损失的，相应损失由投标人承担，从投标保证金中扣除。投标保证金扣除后仍不足以弥补损失的，投标人应当对超过部分予以赔偿。</w:t>
      </w:r>
    </w:p>
    <w:p>
      <w:pPr>
        <w:keepNext/>
        <w:keepLines/>
        <w:spacing w:before="260" w:after="260" w:line="360" w:lineRule="auto"/>
        <w:ind w:firstLine="628"/>
        <w:jc w:val="center"/>
        <w:outlineLvl w:val="2"/>
        <w:rPr>
          <w:rFonts w:ascii="宋体" w:hAnsi="宋体"/>
          <w:b/>
          <w:bCs/>
          <w:color w:val="auto"/>
          <w:sz w:val="28"/>
          <w:szCs w:val="32"/>
        </w:rPr>
      </w:pPr>
      <w:bookmarkStart w:id="18" w:name="_Toc22888332"/>
      <w:bookmarkStart w:id="19" w:name="_Toc7187423"/>
      <w:bookmarkStart w:id="20" w:name="_Toc19773336"/>
      <w:bookmarkStart w:id="21" w:name="_Toc459990139"/>
      <w:r>
        <w:rPr>
          <w:rFonts w:hint="eastAsia" w:ascii="宋体" w:hAnsi="宋体"/>
          <w:b/>
          <w:bCs/>
          <w:color w:val="auto"/>
          <w:sz w:val="28"/>
          <w:szCs w:val="32"/>
        </w:rPr>
        <w:t>三．投标文件的递交</w:t>
      </w:r>
      <w:bookmarkEnd w:id="18"/>
      <w:bookmarkEnd w:id="19"/>
      <w:bookmarkEnd w:id="20"/>
      <w:bookmarkEnd w:id="21"/>
      <w:bookmarkStart w:id="22" w:name="_Hlt509649414"/>
      <w:bookmarkEnd w:id="22"/>
    </w:p>
    <w:p>
      <w:pPr>
        <w:widowControl/>
        <w:spacing w:line="360" w:lineRule="auto"/>
        <w:rPr>
          <w:rFonts w:ascii="宋体" w:hAnsi="宋体" w:cs="宋体"/>
          <w:b/>
          <w:color w:val="auto"/>
          <w:kern w:val="0"/>
          <w:sz w:val="24"/>
        </w:rPr>
      </w:pPr>
      <w:bookmarkStart w:id="23" w:name="_Toc459990140"/>
      <w:bookmarkStart w:id="24" w:name="_Toc459990141"/>
      <w:bookmarkStart w:id="25" w:name="_Toc516969091"/>
      <w:r>
        <w:rPr>
          <w:rFonts w:hint="eastAsia" w:ascii="宋体" w:hAnsi="宋体" w:cs="宋体"/>
          <w:b/>
          <w:color w:val="auto"/>
          <w:kern w:val="0"/>
          <w:sz w:val="24"/>
        </w:rPr>
        <w:t xml:space="preserve">    1、投标文件的密封和标记</w:t>
      </w:r>
    </w:p>
    <w:p>
      <w:pPr>
        <w:widowControl/>
        <w:spacing w:line="360" w:lineRule="auto"/>
        <w:jc w:val="left"/>
        <w:rPr>
          <w:rFonts w:ascii="宋体" w:hAnsi="宋体" w:cs="宋体"/>
          <w:color w:val="auto"/>
          <w:kern w:val="0"/>
          <w:sz w:val="24"/>
        </w:rPr>
      </w:pPr>
      <w:r>
        <w:rPr>
          <w:rFonts w:hint="eastAsia" w:ascii="宋体" w:hAnsi="宋体" w:cs="宋体"/>
          <w:color w:val="auto"/>
          <w:kern w:val="0"/>
          <w:sz w:val="24"/>
        </w:rPr>
        <w:t xml:space="preserve">    1.1投标文件应装订成册、密封，并在封面注明招标编号、投标项目等，同时在密封处加盖骑缝章；</w:t>
      </w:r>
    </w:p>
    <w:p>
      <w:pPr>
        <w:widowControl/>
        <w:spacing w:line="360" w:lineRule="auto"/>
        <w:jc w:val="left"/>
        <w:rPr>
          <w:rFonts w:ascii="宋体" w:hAnsi="宋体" w:cs="宋体"/>
          <w:bCs/>
          <w:color w:val="auto"/>
          <w:kern w:val="0"/>
          <w:sz w:val="24"/>
        </w:rPr>
      </w:pPr>
      <w:r>
        <w:rPr>
          <w:rFonts w:hint="eastAsia" w:ascii="宋体" w:hAnsi="宋体" w:cs="宋体"/>
          <w:color w:val="auto"/>
          <w:kern w:val="0"/>
          <w:sz w:val="24"/>
        </w:rPr>
        <w:t xml:space="preserve">    1.2投标文件要求：</w:t>
      </w:r>
      <w:r>
        <w:rPr>
          <w:rFonts w:hint="eastAsia" w:ascii="宋体" w:hAnsi="宋体" w:cs="宋体"/>
          <w:bCs/>
          <w:color w:val="auto"/>
          <w:kern w:val="0"/>
          <w:sz w:val="24"/>
        </w:rPr>
        <w:t>正、副本各一份。</w:t>
      </w:r>
    </w:p>
    <w:p>
      <w:pPr>
        <w:widowControl/>
        <w:spacing w:line="360" w:lineRule="auto"/>
        <w:jc w:val="left"/>
        <w:rPr>
          <w:rFonts w:ascii="宋体" w:hAnsi="宋体"/>
          <w:b/>
          <w:bCs/>
          <w:color w:val="auto"/>
          <w:kern w:val="0"/>
          <w:sz w:val="24"/>
        </w:rPr>
      </w:pPr>
      <w:r>
        <w:rPr>
          <w:rFonts w:hint="eastAsia" w:ascii="宋体" w:hAnsi="宋体"/>
          <w:b/>
          <w:bCs/>
          <w:color w:val="auto"/>
          <w:kern w:val="0"/>
          <w:sz w:val="24"/>
        </w:rPr>
        <w:t xml:space="preserve">    2、投标文件的递交、修改和撤回</w:t>
      </w:r>
    </w:p>
    <w:p>
      <w:pPr>
        <w:spacing w:line="360" w:lineRule="auto"/>
        <w:rPr>
          <w:rFonts w:ascii="宋体" w:hAnsi="宋体"/>
          <w:color w:val="auto"/>
          <w:kern w:val="0"/>
          <w:sz w:val="24"/>
        </w:rPr>
      </w:pPr>
      <w:r>
        <w:rPr>
          <w:rFonts w:hint="eastAsia" w:ascii="宋体" w:hAnsi="宋体" w:cs="宋体"/>
          <w:color w:val="auto"/>
          <w:kern w:val="0"/>
          <w:sz w:val="24"/>
        </w:rPr>
        <w:t xml:space="preserve">    2.1</w:t>
      </w:r>
      <w:r>
        <w:rPr>
          <w:rFonts w:hint="eastAsia" w:ascii="宋体" w:hAnsi="宋体"/>
          <w:color w:val="auto"/>
          <w:kern w:val="0"/>
          <w:sz w:val="24"/>
        </w:rPr>
        <w:t>投标人应在投标截止时间前将密封合格的投标文件送达开标现场；</w:t>
      </w:r>
    </w:p>
    <w:p>
      <w:pPr>
        <w:spacing w:line="360" w:lineRule="auto"/>
        <w:rPr>
          <w:rFonts w:ascii="宋体" w:hAnsi="宋体"/>
          <w:color w:val="auto"/>
          <w:kern w:val="0"/>
          <w:sz w:val="24"/>
        </w:rPr>
      </w:pPr>
      <w:r>
        <w:rPr>
          <w:rFonts w:hint="eastAsia" w:ascii="宋体" w:hAnsi="宋体" w:cs="宋体"/>
          <w:color w:val="auto"/>
          <w:kern w:val="0"/>
          <w:sz w:val="24"/>
        </w:rPr>
        <w:t xml:space="preserve">    2.2</w:t>
      </w:r>
      <w:r>
        <w:rPr>
          <w:rFonts w:hint="eastAsia" w:ascii="宋体" w:hAnsi="宋体"/>
          <w:color w:val="auto"/>
          <w:kern w:val="0"/>
          <w:sz w:val="24"/>
        </w:rPr>
        <w:t>投标人递交投标文件后，可修改或撤回投标文件，但必须在投标截止时间前书面通知招标人；投标截止后不得修改或撤回投标文件。</w:t>
      </w:r>
    </w:p>
    <w:p>
      <w:pPr>
        <w:keepNext/>
        <w:keepLines/>
        <w:spacing w:before="260" w:after="260" w:line="360" w:lineRule="auto"/>
        <w:jc w:val="center"/>
        <w:outlineLvl w:val="2"/>
        <w:rPr>
          <w:rFonts w:ascii="宋体" w:hAnsi="宋体"/>
          <w:b/>
          <w:bCs/>
          <w:color w:val="auto"/>
          <w:sz w:val="28"/>
          <w:szCs w:val="32"/>
        </w:rPr>
      </w:pPr>
      <w:bookmarkStart w:id="26" w:name="_Toc7187424"/>
      <w:bookmarkStart w:id="27" w:name="_Toc22888333"/>
      <w:bookmarkStart w:id="28" w:name="_Toc19773337"/>
      <w:r>
        <w:rPr>
          <w:rFonts w:hint="eastAsia" w:ascii="宋体" w:hAnsi="宋体"/>
          <w:b/>
          <w:bCs/>
          <w:color w:val="auto"/>
          <w:sz w:val="28"/>
          <w:szCs w:val="32"/>
        </w:rPr>
        <w:t>四．</w:t>
      </w:r>
      <w:bookmarkEnd w:id="23"/>
      <w:r>
        <w:rPr>
          <w:rFonts w:hint="eastAsia" w:ascii="宋体" w:hAnsi="宋体"/>
          <w:b/>
          <w:bCs/>
          <w:color w:val="auto"/>
          <w:sz w:val="28"/>
          <w:szCs w:val="32"/>
        </w:rPr>
        <w:t>开标、评标及定标</w:t>
      </w:r>
      <w:bookmarkEnd w:id="26"/>
      <w:bookmarkEnd w:id="27"/>
      <w:bookmarkEnd w:id="28"/>
    </w:p>
    <w:p>
      <w:pPr>
        <w:spacing w:line="360" w:lineRule="auto"/>
        <w:ind w:firstLine="482" w:firstLineChars="200"/>
        <w:rPr>
          <w:rFonts w:ascii="宋体" w:hAnsi="宋体" w:cs="宋体"/>
          <w:b/>
          <w:color w:val="auto"/>
          <w:kern w:val="0"/>
          <w:sz w:val="24"/>
        </w:rPr>
      </w:pPr>
      <w:r>
        <w:rPr>
          <w:rFonts w:hint="eastAsia" w:ascii="宋体" w:hAnsi="宋体" w:cs="宋体"/>
          <w:b/>
          <w:color w:val="auto"/>
          <w:kern w:val="0"/>
          <w:sz w:val="24"/>
        </w:rPr>
        <w:t xml:space="preserve"> 1.开标</w:t>
      </w:r>
    </w:p>
    <w:p>
      <w:pPr>
        <w:spacing w:line="360" w:lineRule="auto"/>
        <w:ind w:firstLine="550"/>
        <w:rPr>
          <w:rFonts w:ascii="宋体" w:hAnsi="宋体"/>
          <w:color w:val="auto"/>
          <w:sz w:val="24"/>
          <w:szCs w:val="24"/>
        </w:rPr>
      </w:pPr>
      <w:r>
        <w:rPr>
          <w:rFonts w:hint="eastAsia" w:ascii="宋体" w:hAnsi="宋体" w:cs="宋体"/>
          <w:color w:val="auto"/>
          <w:kern w:val="0"/>
          <w:sz w:val="24"/>
        </w:rPr>
        <w:t>1.1</w:t>
      </w:r>
      <w:r>
        <w:rPr>
          <w:rFonts w:hint="eastAsia" w:ascii="宋体" w:hAnsi="宋体"/>
          <w:color w:val="auto"/>
          <w:sz w:val="24"/>
          <w:szCs w:val="24"/>
        </w:rPr>
        <w:t>文旅博览集团将在招标公告（如有变更，以变更公告为准）规定的时间和地点组织公开开标。</w:t>
      </w:r>
    </w:p>
    <w:p>
      <w:pPr>
        <w:widowControl/>
        <w:spacing w:line="360" w:lineRule="auto"/>
        <w:ind w:firstLine="600" w:firstLineChars="250"/>
        <w:jc w:val="left"/>
        <w:rPr>
          <w:rFonts w:ascii="宋体" w:hAnsi="宋体" w:cs="宋体"/>
          <w:color w:val="auto"/>
          <w:kern w:val="0"/>
          <w:sz w:val="24"/>
        </w:rPr>
      </w:pPr>
      <w:r>
        <w:rPr>
          <w:rFonts w:hint="eastAsia" w:ascii="宋体" w:hAnsi="宋体"/>
          <w:color w:val="auto"/>
          <w:sz w:val="24"/>
          <w:szCs w:val="24"/>
        </w:rPr>
        <w:t>1.</w:t>
      </w:r>
      <w:r>
        <w:rPr>
          <w:rFonts w:hint="eastAsia" w:ascii="宋体" w:hAnsi="宋体" w:cs="宋体"/>
          <w:color w:val="auto"/>
          <w:kern w:val="0"/>
          <w:sz w:val="24"/>
        </w:rPr>
        <w:t>2</w:t>
      </w:r>
      <w:r>
        <w:rPr>
          <w:rFonts w:hint="eastAsia" w:ascii="宋体" w:hAnsi="宋体"/>
          <w:color w:val="auto"/>
          <w:kern w:val="0"/>
          <w:sz w:val="24"/>
        </w:rPr>
        <w:t>投标人一名授权代表参加商务标的开标</w:t>
      </w:r>
      <w:r>
        <w:rPr>
          <w:rFonts w:hint="eastAsia" w:ascii="宋体" w:hAnsi="宋体" w:cs="宋体"/>
          <w:color w:val="auto"/>
          <w:kern w:val="0"/>
          <w:sz w:val="24"/>
        </w:rPr>
        <w:t>。（授权代表须出示身份证原件）</w:t>
      </w:r>
    </w:p>
    <w:p>
      <w:pPr>
        <w:widowControl/>
        <w:spacing w:line="360" w:lineRule="auto"/>
        <w:ind w:firstLine="600" w:firstLineChars="250"/>
        <w:jc w:val="left"/>
        <w:rPr>
          <w:rFonts w:ascii="宋体" w:hAnsi="宋体"/>
          <w:color w:val="auto"/>
          <w:sz w:val="24"/>
        </w:rPr>
      </w:pPr>
      <w:r>
        <w:rPr>
          <w:rFonts w:hint="eastAsia" w:ascii="宋体" w:hAnsi="宋体"/>
          <w:color w:val="auto"/>
          <w:sz w:val="24"/>
          <w:szCs w:val="24"/>
        </w:rPr>
        <w:t>1.3</w:t>
      </w:r>
      <w:r>
        <w:rPr>
          <w:rFonts w:hint="eastAsia" w:ascii="宋体" w:hAnsi="宋体"/>
          <w:bCs/>
          <w:color w:val="auto"/>
          <w:sz w:val="24"/>
          <w:szCs w:val="24"/>
        </w:rPr>
        <w:t>开标时</w:t>
      </w:r>
      <w:r>
        <w:rPr>
          <w:rFonts w:hint="eastAsia" w:ascii="宋体" w:hAnsi="宋体"/>
          <w:color w:val="auto"/>
          <w:sz w:val="24"/>
        </w:rPr>
        <w:t>，</w:t>
      </w:r>
      <w:r>
        <w:rPr>
          <w:rFonts w:hint="eastAsia" w:ascii="宋体" w:hAnsi="宋体"/>
          <w:bCs/>
          <w:color w:val="auto"/>
          <w:sz w:val="24"/>
          <w:szCs w:val="24"/>
        </w:rPr>
        <w:t>文旅博览集团</w:t>
      </w:r>
      <w:r>
        <w:rPr>
          <w:rFonts w:hint="eastAsia" w:ascii="宋体" w:hAnsi="宋体"/>
          <w:color w:val="auto"/>
          <w:sz w:val="24"/>
        </w:rPr>
        <w:t>查验投标文件的密封状况，确认无误后拆封唱标。</w:t>
      </w:r>
      <w:r>
        <w:rPr>
          <w:rFonts w:hint="eastAsia" w:ascii="宋体" w:hAnsi="宋体"/>
          <w:bCs/>
          <w:color w:val="auto"/>
          <w:sz w:val="24"/>
          <w:szCs w:val="24"/>
        </w:rPr>
        <w:t>文旅博览集团将当众宣读</w:t>
      </w:r>
      <w:r>
        <w:rPr>
          <w:rFonts w:hint="eastAsia" w:ascii="宋体" w:hAnsi="宋体"/>
          <w:color w:val="auto"/>
          <w:sz w:val="24"/>
          <w:szCs w:val="24"/>
        </w:rPr>
        <w:t>投标人名称、投标价格以及文旅博览集团认为合适的其它详细内容。</w:t>
      </w:r>
    </w:p>
    <w:p>
      <w:pPr>
        <w:spacing w:line="360" w:lineRule="auto"/>
        <w:ind w:firstLine="549"/>
        <w:rPr>
          <w:rFonts w:ascii="宋体" w:hAnsi="宋体"/>
          <w:b/>
          <w:color w:val="auto"/>
          <w:sz w:val="24"/>
          <w:szCs w:val="24"/>
        </w:rPr>
      </w:pPr>
      <w:r>
        <w:rPr>
          <w:rFonts w:hint="eastAsia" w:ascii="宋体" w:hAnsi="宋体"/>
          <w:b/>
          <w:color w:val="auto"/>
          <w:sz w:val="24"/>
        </w:rPr>
        <w:t>2</w:t>
      </w:r>
      <w:r>
        <w:rPr>
          <w:rFonts w:hint="eastAsia" w:ascii="宋体" w:hAnsi="宋体"/>
          <w:b/>
          <w:color w:val="auto"/>
          <w:sz w:val="24"/>
          <w:szCs w:val="24"/>
        </w:rPr>
        <w:t>.投标文件的澄清、说明或补正</w:t>
      </w:r>
    </w:p>
    <w:p>
      <w:pPr>
        <w:spacing w:line="360" w:lineRule="auto"/>
        <w:ind w:firstLine="549"/>
        <w:rPr>
          <w:rFonts w:ascii="宋体" w:hAnsi="宋体"/>
          <w:bCs/>
          <w:color w:val="auto"/>
          <w:sz w:val="24"/>
          <w:szCs w:val="24"/>
        </w:rPr>
      </w:pPr>
      <w:r>
        <w:rPr>
          <w:rFonts w:hint="eastAsia" w:ascii="宋体" w:hAnsi="宋体"/>
          <w:bCs/>
          <w:color w:val="auto"/>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auto"/>
          <w:sz w:val="24"/>
          <w:szCs w:val="24"/>
        </w:rPr>
      </w:pPr>
      <w:r>
        <w:rPr>
          <w:rFonts w:hint="eastAsia" w:ascii="宋体" w:hAnsi="宋体"/>
          <w:bCs/>
          <w:color w:val="auto"/>
          <w:sz w:val="24"/>
          <w:szCs w:val="24"/>
        </w:rPr>
        <w:t>2</w:t>
      </w:r>
      <w:r>
        <w:rPr>
          <w:rFonts w:hint="eastAsia" w:ascii="宋体" w:hAnsi="宋体"/>
          <w:color w:val="auto"/>
          <w:sz w:val="24"/>
          <w:szCs w:val="24"/>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auto"/>
          <w:sz w:val="24"/>
          <w:szCs w:val="24"/>
        </w:rPr>
      </w:pPr>
      <w:r>
        <w:rPr>
          <w:rFonts w:hint="eastAsia" w:ascii="宋体" w:hAnsi="宋体"/>
          <w:bCs/>
          <w:color w:val="auto"/>
          <w:sz w:val="24"/>
          <w:szCs w:val="24"/>
        </w:rPr>
        <w:t>2</w:t>
      </w:r>
      <w:r>
        <w:rPr>
          <w:rFonts w:hint="eastAsia" w:ascii="宋体" w:hAnsi="宋体"/>
          <w:color w:val="auto"/>
          <w:sz w:val="24"/>
          <w:szCs w:val="24"/>
        </w:rPr>
        <w:t>.3开标一览表内容与投标文件中明细表内容不一致的，以开标一览表为准。</w:t>
      </w:r>
      <w:r>
        <w:rPr>
          <w:rFonts w:hint="eastAsia" w:ascii="宋体" w:hAnsi="宋体"/>
          <w:bCs/>
          <w:color w:val="auto"/>
          <w:sz w:val="24"/>
          <w:szCs w:val="24"/>
        </w:rPr>
        <w:t>开标一览表内容与唱标信息内容不一致的，以开标一览表为准。</w:t>
      </w:r>
    </w:p>
    <w:p>
      <w:pPr>
        <w:spacing w:line="360" w:lineRule="auto"/>
        <w:ind w:firstLine="549"/>
        <w:rPr>
          <w:rFonts w:ascii="宋体" w:hAnsi="宋体"/>
          <w:color w:val="auto"/>
          <w:sz w:val="24"/>
          <w:szCs w:val="24"/>
        </w:rPr>
      </w:pPr>
      <w:r>
        <w:rPr>
          <w:rFonts w:hint="eastAsia" w:ascii="宋体" w:hAnsi="宋体"/>
          <w:bCs/>
          <w:color w:val="auto"/>
          <w:sz w:val="24"/>
          <w:szCs w:val="24"/>
        </w:rPr>
        <w:t>2</w:t>
      </w:r>
      <w:r>
        <w:rPr>
          <w:rFonts w:hint="eastAsia" w:ascii="宋体" w:hAnsi="宋体"/>
          <w:color w:val="auto"/>
          <w:sz w:val="24"/>
          <w:szCs w:val="24"/>
        </w:rPr>
        <w:t>.4 开标一览表中投标总价与投标文件中各分项报价汇总金额不一致的，按以下方式处理：</w:t>
      </w:r>
    </w:p>
    <w:p>
      <w:pPr>
        <w:spacing w:line="360" w:lineRule="auto"/>
        <w:ind w:firstLine="549"/>
        <w:rPr>
          <w:rFonts w:ascii="宋体" w:hAnsi="宋体"/>
          <w:color w:val="auto"/>
          <w:sz w:val="24"/>
          <w:szCs w:val="24"/>
        </w:rPr>
      </w:pPr>
      <w:r>
        <w:rPr>
          <w:rFonts w:hint="eastAsia" w:ascii="宋体" w:hAnsi="宋体"/>
          <w:bCs/>
          <w:color w:val="auto"/>
          <w:sz w:val="24"/>
          <w:szCs w:val="24"/>
        </w:rPr>
        <w:t>2</w:t>
      </w:r>
      <w:r>
        <w:rPr>
          <w:rFonts w:hint="eastAsia" w:ascii="宋体" w:hAnsi="宋体"/>
          <w:color w:val="auto"/>
          <w:sz w:val="24"/>
          <w:szCs w:val="24"/>
        </w:rPr>
        <w:t>.4.1 项目以投标总价结算的，以开标一览表中投标总价为准；</w:t>
      </w:r>
    </w:p>
    <w:p>
      <w:pPr>
        <w:spacing w:line="360" w:lineRule="auto"/>
        <w:ind w:firstLine="549"/>
        <w:rPr>
          <w:rFonts w:ascii="宋体" w:hAnsi="宋体"/>
          <w:color w:val="auto"/>
          <w:sz w:val="24"/>
          <w:szCs w:val="24"/>
        </w:rPr>
      </w:pPr>
      <w:r>
        <w:rPr>
          <w:rFonts w:hint="eastAsia" w:ascii="宋体" w:hAnsi="宋体"/>
          <w:bCs/>
          <w:color w:val="auto"/>
          <w:sz w:val="24"/>
          <w:szCs w:val="24"/>
        </w:rPr>
        <w:t>2</w:t>
      </w:r>
      <w:r>
        <w:rPr>
          <w:rFonts w:hint="eastAsia" w:ascii="宋体" w:hAnsi="宋体"/>
          <w:color w:val="auto"/>
          <w:sz w:val="24"/>
          <w:szCs w:val="24"/>
        </w:rPr>
        <w:t>.4.2项目以分项报价为准据实结算的，投标无效。</w:t>
      </w:r>
    </w:p>
    <w:p>
      <w:pPr>
        <w:spacing w:line="360" w:lineRule="auto"/>
        <w:ind w:firstLine="549"/>
        <w:rPr>
          <w:rFonts w:ascii="宋体" w:hAnsi="宋体"/>
          <w:b/>
          <w:color w:val="auto"/>
          <w:sz w:val="24"/>
          <w:szCs w:val="24"/>
        </w:rPr>
      </w:pPr>
      <w:r>
        <w:rPr>
          <w:rFonts w:hint="eastAsia" w:ascii="宋体" w:hAnsi="宋体"/>
          <w:color w:val="auto"/>
          <w:sz w:val="24"/>
        </w:rPr>
        <w:t>3.</w:t>
      </w:r>
      <w:r>
        <w:rPr>
          <w:rFonts w:hint="eastAsia" w:ascii="宋体" w:hAnsi="宋体"/>
          <w:b/>
          <w:color w:val="auto"/>
          <w:sz w:val="24"/>
          <w:szCs w:val="24"/>
        </w:rPr>
        <w:t>评标</w:t>
      </w:r>
    </w:p>
    <w:p>
      <w:pPr>
        <w:widowControl/>
        <w:spacing w:line="360" w:lineRule="auto"/>
        <w:ind w:firstLine="482" w:firstLineChars="200"/>
        <w:jc w:val="left"/>
        <w:rPr>
          <w:rFonts w:ascii="宋体" w:hAnsi="宋体" w:cs="宋体"/>
          <w:color w:val="auto"/>
          <w:kern w:val="0"/>
          <w:sz w:val="24"/>
        </w:rPr>
      </w:pPr>
      <w:r>
        <w:rPr>
          <w:rFonts w:hint="eastAsia" w:ascii="宋体" w:hAnsi="宋体" w:cs="宋体"/>
          <w:b/>
          <w:color w:val="auto"/>
          <w:kern w:val="0"/>
          <w:sz w:val="24"/>
        </w:rPr>
        <w:t>3.1评标原则：</w:t>
      </w:r>
      <w:r>
        <w:rPr>
          <w:rFonts w:hint="eastAsia" w:ascii="宋体" w:hAnsi="宋体" w:cs="宋体"/>
          <w:color w:val="auto"/>
          <w:kern w:val="0"/>
          <w:sz w:val="24"/>
        </w:rPr>
        <w:t>遵循国家有关法律、法规，客观、公正地对待所有投标人，以招标文件作为评标的基本依据；凡涉及审查、评估和比较投标文件以及定标等意见，均不得向投标人及与评标无关的人员透露；</w:t>
      </w:r>
    </w:p>
    <w:p>
      <w:pPr>
        <w:adjustRightInd w:val="0"/>
        <w:snapToGrid w:val="0"/>
        <w:spacing w:line="360" w:lineRule="auto"/>
        <w:ind w:right="-10" w:firstLine="422" w:firstLineChars="175"/>
        <w:rPr>
          <w:rFonts w:ascii="宋体" w:hAnsi="宋体"/>
          <w:color w:val="auto"/>
          <w:sz w:val="24"/>
        </w:rPr>
      </w:pPr>
      <w:r>
        <w:rPr>
          <w:rFonts w:hint="eastAsia" w:ascii="宋体" w:hAnsi="宋体"/>
          <w:b/>
          <w:color w:val="auto"/>
          <w:sz w:val="24"/>
          <w:szCs w:val="24"/>
        </w:rPr>
        <w:t>3.</w:t>
      </w:r>
      <w:r>
        <w:rPr>
          <w:rFonts w:hint="eastAsia" w:ascii="宋体" w:hAnsi="宋体"/>
          <w:b/>
          <w:color w:val="auto"/>
          <w:sz w:val="24"/>
        </w:rPr>
        <w:t>2评标方法：</w:t>
      </w:r>
      <w:r>
        <w:rPr>
          <w:rFonts w:hint="eastAsia" w:ascii="宋体" w:hAnsi="宋体"/>
          <w:color w:val="auto"/>
          <w:sz w:val="24"/>
        </w:rPr>
        <w:t>本次评标采用有效最低价法，即资格审查、商务标、技术标均经评审通过的有效投标报价最低的投标人为中标候选人。</w:t>
      </w:r>
    </w:p>
    <w:p>
      <w:pPr>
        <w:spacing w:line="360" w:lineRule="auto"/>
        <w:ind w:firstLine="480" w:firstLineChars="200"/>
        <w:rPr>
          <w:rFonts w:ascii="宋体" w:hAnsi="宋体"/>
          <w:color w:val="auto"/>
          <w:sz w:val="24"/>
        </w:rPr>
      </w:pPr>
      <w:r>
        <w:rPr>
          <w:rFonts w:hint="eastAsia" w:ascii="宋体" w:hAnsi="宋体"/>
          <w:color w:val="auto"/>
          <w:sz w:val="24"/>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color w:val="auto"/>
          <w:sz w:val="24"/>
          <w:szCs w:val="24"/>
        </w:rPr>
      </w:pPr>
      <w:r>
        <w:rPr>
          <w:rFonts w:hint="eastAsia" w:ascii="宋体" w:hAnsi="宋体"/>
          <w:color w:val="auto"/>
          <w:sz w:val="24"/>
          <w:szCs w:val="24"/>
        </w:rPr>
        <w:t>3.4 评标委员会将按照招标文件规定的评标办法对投标人独立进行评审。</w:t>
      </w:r>
    </w:p>
    <w:p>
      <w:pPr>
        <w:spacing w:line="360" w:lineRule="auto"/>
        <w:ind w:firstLine="549"/>
        <w:rPr>
          <w:rFonts w:ascii="宋体" w:hAnsi="宋体" w:cs="Tahoma"/>
          <w:color w:val="auto"/>
          <w:sz w:val="24"/>
          <w:szCs w:val="24"/>
        </w:rPr>
      </w:pPr>
      <w:r>
        <w:rPr>
          <w:rFonts w:hint="eastAsia" w:ascii="宋体" w:hAnsi="宋体"/>
          <w:color w:val="auto"/>
          <w:sz w:val="24"/>
          <w:szCs w:val="24"/>
        </w:rPr>
        <w:t>3.5</w:t>
      </w:r>
      <w:r>
        <w:rPr>
          <w:rFonts w:hint="eastAsia" w:ascii="宋体" w:hAnsi="宋体" w:cs="Tahoma"/>
          <w:color w:val="auto"/>
          <w:sz w:val="24"/>
          <w:szCs w:val="24"/>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auto"/>
          <w:sz w:val="24"/>
          <w:szCs w:val="24"/>
        </w:rPr>
      </w:pPr>
      <w:r>
        <w:rPr>
          <w:rFonts w:hint="eastAsia" w:ascii="宋体" w:hAnsi="宋体"/>
          <w:color w:val="auto"/>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auto"/>
          <w:sz w:val="24"/>
          <w:szCs w:val="24"/>
        </w:rPr>
      </w:pPr>
      <w:r>
        <w:rPr>
          <w:rFonts w:hint="eastAsia" w:ascii="宋体" w:hAnsi="宋体"/>
          <w:color w:val="auto"/>
          <w:sz w:val="24"/>
          <w:szCs w:val="24"/>
        </w:rPr>
        <w:t>有下列情形之一的，评标委员会应当否决其投标</w:t>
      </w:r>
      <w:r>
        <w:rPr>
          <w:rFonts w:hint="eastAsia" w:ascii="宋体" w:hAnsi="宋体"/>
          <w:color w:val="auto"/>
          <w:sz w:val="24"/>
        </w:rPr>
        <w:t>：</w:t>
      </w:r>
    </w:p>
    <w:p>
      <w:pPr>
        <w:spacing w:line="360" w:lineRule="auto"/>
        <w:ind w:firstLine="549"/>
        <w:rPr>
          <w:rFonts w:ascii="宋体" w:hAnsi="宋体"/>
          <w:color w:val="auto"/>
          <w:sz w:val="24"/>
          <w:szCs w:val="24"/>
        </w:rPr>
      </w:pPr>
      <w:r>
        <w:rPr>
          <w:rFonts w:hint="eastAsia" w:ascii="宋体" w:hAnsi="宋体"/>
          <w:color w:val="auto"/>
          <w:sz w:val="24"/>
          <w:szCs w:val="24"/>
        </w:rPr>
        <w:t>3.6.1</w:t>
      </w:r>
      <w:r>
        <w:rPr>
          <w:rFonts w:ascii="宋体" w:hAnsi="宋体"/>
          <w:color w:val="auto"/>
          <w:sz w:val="24"/>
          <w:szCs w:val="24"/>
        </w:rPr>
        <w:t>投标文件未经投标人盖章和单位负责人签字</w:t>
      </w:r>
      <w:r>
        <w:rPr>
          <w:rFonts w:hint="eastAsia" w:ascii="宋体" w:hAnsi="宋体"/>
          <w:color w:val="auto"/>
          <w:sz w:val="24"/>
          <w:szCs w:val="24"/>
        </w:rPr>
        <w:t>；</w:t>
      </w:r>
    </w:p>
    <w:p>
      <w:pPr>
        <w:spacing w:line="360" w:lineRule="auto"/>
        <w:ind w:firstLine="549"/>
        <w:rPr>
          <w:rFonts w:ascii="宋体" w:hAnsi="宋体"/>
          <w:color w:val="auto"/>
          <w:sz w:val="24"/>
          <w:szCs w:val="24"/>
        </w:rPr>
      </w:pPr>
      <w:r>
        <w:rPr>
          <w:rFonts w:hint="eastAsia" w:ascii="宋体" w:hAnsi="宋体"/>
          <w:color w:val="auto"/>
          <w:sz w:val="24"/>
          <w:szCs w:val="24"/>
        </w:rPr>
        <w:t>3.6.2</w:t>
      </w:r>
      <w:r>
        <w:rPr>
          <w:rFonts w:ascii="宋体" w:hAnsi="宋体"/>
          <w:color w:val="auto"/>
          <w:sz w:val="24"/>
          <w:szCs w:val="24"/>
        </w:rPr>
        <w:t>投标联合体没有提交</w:t>
      </w:r>
      <w:r>
        <w:rPr>
          <w:rFonts w:hint="eastAsia" w:ascii="宋体" w:hAnsi="宋体"/>
          <w:color w:val="auto"/>
          <w:sz w:val="24"/>
          <w:szCs w:val="24"/>
        </w:rPr>
        <w:t>共同投标</w:t>
      </w:r>
      <w:r>
        <w:rPr>
          <w:rFonts w:ascii="宋体" w:hAnsi="宋体"/>
          <w:color w:val="auto"/>
          <w:sz w:val="24"/>
          <w:szCs w:val="24"/>
        </w:rPr>
        <w:t>协议；</w:t>
      </w:r>
    </w:p>
    <w:p>
      <w:pPr>
        <w:spacing w:line="360" w:lineRule="auto"/>
        <w:ind w:firstLine="549"/>
        <w:rPr>
          <w:rFonts w:ascii="宋体" w:hAnsi="宋体"/>
          <w:color w:val="auto"/>
          <w:sz w:val="24"/>
          <w:szCs w:val="24"/>
        </w:rPr>
      </w:pPr>
      <w:r>
        <w:rPr>
          <w:rFonts w:hint="eastAsia" w:ascii="宋体" w:hAnsi="宋体"/>
          <w:color w:val="auto"/>
          <w:sz w:val="24"/>
          <w:szCs w:val="24"/>
        </w:rPr>
        <w:t>3.6.3投标人不符合国家或者招标文件规定的资格条件；</w:t>
      </w:r>
    </w:p>
    <w:p>
      <w:pPr>
        <w:spacing w:line="360" w:lineRule="auto"/>
        <w:ind w:firstLine="549"/>
        <w:rPr>
          <w:rFonts w:ascii="宋体" w:hAnsi="宋体"/>
          <w:color w:val="auto"/>
          <w:sz w:val="24"/>
          <w:szCs w:val="24"/>
        </w:rPr>
      </w:pPr>
      <w:r>
        <w:rPr>
          <w:rFonts w:hint="eastAsia" w:ascii="宋体" w:hAnsi="宋体"/>
          <w:color w:val="auto"/>
          <w:sz w:val="24"/>
          <w:szCs w:val="24"/>
        </w:rPr>
        <w:t>3.6.4同一投标人提交两个以上不同的投标文件或者投标报价，但招标文件要求提交备选投标的除外；</w:t>
      </w:r>
    </w:p>
    <w:p>
      <w:pPr>
        <w:spacing w:line="360" w:lineRule="auto"/>
        <w:ind w:firstLine="549"/>
        <w:rPr>
          <w:rFonts w:ascii="宋体" w:hAnsi="宋体"/>
          <w:color w:val="auto"/>
          <w:sz w:val="24"/>
          <w:szCs w:val="24"/>
        </w:rPr>
      </w:pPr>
      <w:r>
        <w:rPr>
          <w:rFonts w:hint="eastAsia" w:ascii="宋体" w:hAnsi="宋体"/>
          <w:color w:val="auto"/>
          <w:sz w:val="24"/>
          <w:szCs w:val="24"/>
        </w:rPr>
        <w:t>3.6.5</w:t>
      </w:r>
      <w:r>
        <w:rPr>
          <w:rFonts w:ascii="宋体" w:hAnsi="宋体"/>
          <w:color w:val="auto"/>
          <w:sz w:val="24"/>
          <w:szCs w:val="24"/>
        </w:rPr>
        <w:t>投标报价低于成本或者高于招标文件设定的最高投标限价；</w:t>
      </w:r>
    </w:p>
    <w:p>
      <w:pPr>
        <w:spacing w:line="360" w:lineRule="auto"/>
        <w:ind w:firstLine="549"/>
        <w:rPr>
          <w:rFonts w:ascii="宋体" w:hAnsi="宋体"/>
          <w:color w:val="auto"/>
          <w:sz w:val="24"/>
          <w:szCs w:val="24"/>
        </w:rPr>
      </w:pPr>
      <w:r>
        <w:rPr>
          <w:rFonts w:hint="eastAsia" w:ascii="宋体" w:hAnsi="宋体"/>
          <w:color w:val="auto"/>
          <w:sz w:val="24"/>
          <w:szCs w:val="24"/>
        </w:rPr>
        <w:t>3.6.6</w:t>
      </w:r>
      <w:r>
        <w:rPr>
          <w:rFonts w:ascii="宋体" w:hAnsi="宋体"/>
          <w:color w:val="auto"/>
          <w:sz w:val="24"/>
          <w:szCs w:val="24"/>
        </w:rPr>
        <w:t>投标文件没有对招标文件的实质性要求和条件作出响应；</w:t>
      </w:r>
    </w:p>
    <w:p>
      <w:pPr>
        <w:spacing w:line="360" w:lineRule="auto"/>
        <w:ind w:firstLine="549"/>
        <w:rPr>
          <w:rFonts w:ascii="宋体" w:hAnsi="宋体"/>
          <w:color w:val="auto"/>
          <w:sz w:val="24"/>
          <w:szCs w:val="24"/>
        </w:rPr>
      </w:pPr>
      <w:r>
        <w:rPr>
          <w:rFonts w:hint="eastAsia" w:ascii="宋体" w:hAnsi="宋体"/>
          <w:color w:val="auto"/>
          <w:sz w:val="24"/>
          <w:szCs w:val="24"/>
        </w:rPr>
        <w:t>3.6.7</w:t>
      </w:r>
      <w:r>
        <w:rPr>
          <w:rFonts w:ascii="宋体" w:hAnsi="宋体"/>
          <w:color w:val="auto"/>
          <w:sz w:val="24"/>
          <w:szCs w:val="24"/>
        </w:rPr>
        <w:t>投标人有串通投标、弄虚作假、行贿等违法行为</w:t>
      </w:r>
      <w:r>
        <w:rPr>
          <w:rFonts w:hint="eastAsia" w:ascii="宋体" w:hAnsi="宋体"/>
          <w:color w:val="auto"/>
          <w:sz w:val="24"/>
          <w:szCs w:val="24"/>
        </w:rPr>
        <w:t>；</w:t>
      </w:r>
    </w:p>
    <w:p>
      <w:pPr>
        <w:spacing w:line="360" w:lineRule="auto"/>
        <w:ind w:firstLine="480" w:firstLineChars="200"/>
        <w:rPr>
          <w:rFonts w:ascii="宋体" w:hAnsi="宋体"/>
          <w:color w:val="auto"/>
          <w:sz w:val="24"/>
        </w:rPr>
      </w:pPr>
      <w:r>
        <w:rPr>
          <w:rFonts w:hint="eastAsia" w:ascii="宋体" w:hAnsi="宋体"/>
          <w:color w:val="auto"/>
          <w:sz w:val="24"/>
          <w:szCs w:val="24"/>
        </w:rPr>
        <w:t>3.6.8</w:t>
      </w:r>
      <w:r>
        <w:rPr>
          <w:rFonts w:hint="eastAsia" w:ascii="宋体" w:hAnsi="宋体"/>
          <w:color w:val="auto"/>
          <w:sz w:val="24"/>
        </w:rPr>
        <w:t>评标委员会评议认为构成废标的其他情况；</w:t>
      </w:r>
    </w:p>
    <w:p>
      <w:pPr>
        <w:widowControl/>
        <w:spacing w:line="360" w:lineRule="auto"/>
        <w:ind w:firstLine="480" w:firstLineChars="200"/>
        <w:jc w:val="left"/>
        <w:rPr>
          <w:rFonts w:ascii="宋体" w:hAnsi="宋体"/>
          <w:color w:val="auto"/>
          <w:sz w:val="24"/>
        </w:rPr>
      </w:pPr>
      <w:r>
        <w:rPr>
          <w:rFonts w:hint="eastAsia" w:ascii="宋体" w:hAnsi="宋体"/>
          <w:color w:val="auto"/>
          <w:sz w:val="24"/>
          <w:szCs w:val="24"/>
        </w:rPr>
        <w:t>3.6</w:t>
      </w:r>
      <w:r>
        <w:rPr>
          <w:rFonts w:hint="eastAsia" w:ascii="宋体" w:hAnsi="宋体"/>
          <w:color w:val="auto"/>
          <w:sz w:val="24"/>
        </w:rPr>
        <w:t>.9其他未实质性响应招标文件要求的。</w:t>
      </w:r>
    </w:p>
    <w:p>
      <w:pPr>
        <w:spacing w:line="360" w:lineRule="auto"/>
        <w:ind w:firstLine="600" w:firstLineChars="250"/>
        <w:rPr>
          <w:rFonts w:ascii="宋体" w:hAnsi="宋体"/>
          <w:color w:val="auto"/>
          <w:sz w:val="24"/>
          <w:szCs w:val="24"/>
        </w:rPr>
      </w:pPr>
      <w:r>
        <w:rPr>
          <w:rFonts w:hint="eastAsia" w:ascii="宋体" w:hAnsi="宋体"/>
          <w:color w:val="auto"/>
          <w:sz w:val="24"/>
          <w:szCs w:val="24"/>
        </w:rPr>
        <w:t>3.7评审时，评标委员会将审查投标文件是否符合招标文件的评审指标要求。</w:t>
      </w:r>
    </w:p>
    <w:p>
      <w:pPr>
        <w:spacing w:line="360" w:lineRule="auto"/>
        <w:ind w:firstLine="549"/>
        <w:rPr>
          <w:rFonts w:ascii="宋体" w:hAnsi="宋体"/>
          <w:color w:val="auto"/>
          <w:sz w:val="24"/>
        </w:rPr>
      </w:pPr>
      <w:r>
        <w:rPr>
          <w:rFonts w:hint="eastAsia" w:ascii="宋体" w:hAnsi="宋体"/>
          <w:color w:val="auto"/>
          <w:sz w:val="24"/>
          <w:szCs w:val="24"/>
        </w:rPr>
        <w:t>3.8</w:t>
      </w:r>
      <w:r>
        <w:rPr>
          <w:rFonts w:hint="eastAsia" w:ascii="宋体" w:hAnsi="宋体"/>
          <w:color w:val="auto"/>
          <w:sz w:val="24"/>
        </w:rPr>
        <w:t>如果投标文件未通过投标有效性评审，投标无效。</w:t>
      </w:r>
    </w:p>
    <w:p>
      <w:pPr>
        <w:spacing w:line="360" w:lineRule="auto"/>
        <w:ind w:firstLine="549"/>
        <w:rPr>
          <w:rFonts w:ascii="宋体" w:hAnsi="宋体"/>
          <w:color w:val="auto"/>
          <w:sz w:val="24"/>
          <w:szCs w:val="24"/>
        </w:rPr>
      </w:pPr>
      <w:r>
        <w:rPr>
          <w:rFonts w:hint="eastAsia" w:ascii="宋体" w:hAnsi="宋体"/>
          <w:color w:val="auto"/>
          <w:sz w:val="24"/>
          <w:szCs w:val="24"/>
        </w:rPr>
        <w:t>3.9评标委员会决定投标文件的响应性及符合性只根据投标文件本身的内容，而不寻求其他外部证据。</w:t>
      </w:r>
    </w:p>
    <w:p>
      <w:pPr>
        <w:spacing w:line="360" w:lineRule="auto"/>
        <w:ind w:firstLine="549"/>
        <w:rPr>
          <w:rFonts w:ascii="宋体" w:hAnsi="宋体" w:cs="宋体"/>
          <w:b/>
          <w:color w:val="auto"/>
          <w:kern w:val="0"/>
          <w:sz w:val="24"/>
        </w:rPr>
      </w:pPr>
      <w:r>
        <w:rPr>
          <w:rFonts w:hint="eastAsia" w:ascii="宋体" w:hAnsi="宋体" w:cs="宋体"/>
          <w:b/>
          <w:color w:val="auto"/>
          <w:kern w:val="0"/>
          <w:sz w:val="24"/>
        </w:rPr>
        <w:t>4.定标</w:t>
      </w:r>
    </w:p>
    <w:p>
      <w:pPr>
        <w:spacing w:line="360" w:lineRule="auto"/>
        <w:ind w:firstLine="549"/>
        <w:rPr>
          <w:rFonts w:ascii="宋体" w:hAnsi="宋体"/>
          <w:color w:val="auto"/>
          <w:sz w:val="24"/>
          <w:szCs w:val="24"/>
        </w:rPr>
      </w:pPr>
      <w:r>
        <w:rPr>
          <w:rFonts w:hint="eastAsia" w:ascii="宋体" w:hAnsi="宋体"/>
          <w:color w:val="auto"/>
          <w:sz w:val="24"/>
          <w:szCs w:val="24"/>
        </w:rPr>
        <w:t>4</w:t>
      </w:r>
      <w:r>
        <w:rPr>
          <w:rFonts w:ascii="宋体" w:hAnsi="宋体"/>
          <w:color w:val="auto"/>
          <w:sz w:val="24"/>
          <w:szCs w:val="24"/>
        </w:rPr>
        <w:t>.</w:t>
      </w:r>
      <w:r>
        <w:rPr>
          <w:rFonts w:hint="eastAsia" w:ascii="宋体" w:hAnsi="宋体"/>
          <w:color w:val="auto"/>
          <w:sz w:val="24"/>
          <w:szCs w:val="24"/>
        </w:rPr>
        <w:t>1评标委员会应当按招标文件规定的标准和方法提出独立评审意见，推荐中标候选人。</w:t>
      </w:r>
    </w:p>
    <w:p>
      <w:pPr>
        <w:spacing w:line="360" w:lineRule="auto"/>
        <w:ind w:firstLine="549"/>
        <w:rPr>
          <w:rFonts w:ascii="宋体" w:hAnsi="宋体"/>
          <w:color w:val="auto"/>
          <w:sz w:val="24"/>
          <w:szCs w:val="24"/>
        </w:rPr>
      </w:pPr>
      <w:r>
        <w:rPr>
          <w:rFonts w:hint="eastAsia" w:ascii="宋体" w:hAnsi="宋体"/>
          <w:color w:val="auto"/>
          <w:sz w:val="24"/>
          <w:szCs w:val="24"/>
        </w:rPr>
        <w:t>4</w:t>
      </w:r>
      <w:r>
        <w:rPr>
          <w:rFonts w:ascii="宋体" w:hAnsi="宋体"/>
          <w:color w:val="auto"/>
          <w:sz w:val="24"/>
          <w:szCs w:val="24"/>
        </w:rPr>
        <w:t>.</w:t>
      </w:r>
      <w:r>
        <w:rPr>
          <w:rFonts w:hint="eastAsia" w:ascii="宋体" w:hAnsi="宋体"/>
          <w:color w:val="auto"/>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auto"/>
          <w:sz w:val="24"/>
          <w:szCs w:val="24"/>
        </w:rPr>
      </w:pPr>
      <w:r>
        <w:rPr>
          <w:rFonts w:hint="eastAsia" w:ascii="宋体" w:hAnsi="宋体"/>
          <w:color w:val="auto"/>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auto"/>
          <w:sz w:val="24"/>
          <w:szCs w:val="24"/>
        </w:rPr>
      </w:pPr>
      <w:r>
        <w:rPr>
          <w:rFonts w:hint="eastAsia" w:ascii="宋体" w:hAnsi="宋体"/>
          <w:color w:val="auto"/>
          <w:sz w:val="24"/>
          <w:szCs w:val="24"/>
        </w:rPr>
        <w:t>4.3原则上把合同授予实质上响应招标文件要求的排名最前的中标候选人或通过上条资格审查的中标候选人。</w:t>
      </w:r>
    </w:p>
    <w:p>
      <w:pPr>
        <w:spacing w:line="360" w:lineRule="auto"/>
        <w:ind w:firstLine="482" w:firstLineChars="200"/>
        <w:rPr>
          <w:rFonts w:ascii="宋体" w:hAnsi="宋体"/>
          <w:b/>
          <w:color w:val="auto"/>
          <w:sz w:val="24"/>
        </w:rPr>
      </w:pPr>
      <w:r>
        <w:rPr>
          <w:rFonts w:hint="eastAsia" w:ascii="宋体" w:hAnsi="宋体"/>
          <w:b/>
          <w:color w:val="auto"/>
          <w:sz w:val="24"/>
        </w:rPr>
        <w:t>5.招标人一律不予退还投标人的投标文件。</w:t>
      </w:r>
    </w:p>
    <w:p>
      <w:pPr>
        <w:spacing w:line="360" w:lineRule="auto"/>
        <w:ind w:firstLine="525" w:firstLineChars="218"/>
        <w:rPr>
          <w:rFonts w:ascii="宋体" w:hAnsi="宋体"/>
          <w:color w:val="auto"/>
          <w:sz w:val="24"/>
          <w:szCs w:val="24"/>
        </w:rPr>
      </w:pPr>
      <w:r>
        <w:rPr>
          <w:rFonts w:hint="eastAsia" w:ascii="宋体" w:hAnsi="宋体"/>
          <w:b/>
          <w:color w:val="auto"/>
          <w:sz w:val="24"/>
        </w:rPr>
        <w:t>6.</w:t>
      </w:r>
      <w:r>
        <w:rPr>
          <w:rFonts w:hint="eastAsia" w:ascii="宋体" w:hAnsi="宋体"/>
          <w:color w:val="auto"/>
          <w:sz w:val="24"/>
          <w:szCs w:val="24"/>
        </w:rPr>
        <w:t xml:space="preserve"> 本招标文件所要求的证书、认证、资质，均应当是有权机构颁发，且在有效期内的。</w:t>
      </w:r>
    </w:p>
    <w:p>
      <w:pPr>
        <w:spacing w:line="360" w:lineRule="auto"/>
        <w:ind w:firstLine="562" w:firstLineChars="200"/>
        <w:jc w:val="center"/>
        <w:rPr>
          <w:rFonts w:ascii="宋体" w:hAnsi="宋体"/>
          <w:b/>
          <w:bCs/>
          <w:color w:val="auto"/>
          <w:sz w:val="28"/>
          <w:szCs w:val="32"/>
        </w:rPr>
      </w:pPr>
    </w:p>
    <w:p>
      <w:pPr>
        <w:spacing w:line="360" w:lineRule="auto"/>
        <w:ind w:firstLine="562" w:firstLineChars="200"/>
        <w:jc w:val="center"/>
        <w:rPr>
          <w:rFonts w:ascii="宋体" w:hAnsi="宋体"/>
          <w:b/>
          <w:bCs/>
          <w:color w:val="auto"/>
          <w:sz w:val="28"/>
          <w:szCs w:val="32"/>
        </w:rPr>
      </w:pPr>
      <w:r>
        <w:rPr>
          <w:rFonts w:hint="eastAsia" w:ascii="宋体" w:hAnsi="宋体"/>
          <w:b/>
          <w:bCs/>
          <w:color w:val="auto"/>
          <w:sz w:val="28"/>
          <w:szCs w:val="32"/>
        </w:rPr>
        <w:t>五. 招标信息发布</w:t>
      </w:r>
    </w:p>
    <w:p>
      <w:pPr>
        <w:spacing w:line="360" w:lineRule="auto"/>
        <w:ind w:firstLine="550"/>
        <w:rPr>
          <w:rFonts w:ascii="宋体" w:hAnsi="宋体"/>
          <w:color w:val="auto"/>
          <w:sz w:val="24"/>
        </w:rPr>
      </w:pPr>
      <w:r>
        <w:rPr>
          <w:rFonts w:hint="eastAsia" w:ascii="宋体" w:hAnsi="宋体"/>
          <w:color w:val="auto"/>
          <w:sz w:val="24"/>
        </w:rPr>
        <w:t>1.与本次招标活动相关的信息，将在合肥文旅博览集团有限公司网(</w:t>
      </w:r>
      <w:r>
        <w:rPr>
          <w:rFonts w:ascii="宋体" w:hAnsi="宋体"/>
          <w:color w:val="auto"/>
          <w:sz w:val="24"/>
          <w:szCs w:val="24"/>
          <w:u w:val="single"/>
        </w:rPr>
        <w:t>http://www.zwzcgl.com</w:t>
      </w:r>
      <w:r>
        <w:rPr>
          <w:rFonts w:hint="eastAsia" w:ascii="宋体" w:hAnsi="宋体"/>
          <w:color w:val="auto"/>
          <w:sz w:val="24"/>
        </w:rPr>
        <w:t>)发布。</w:t>
      </w:r>
    </w:p>
    <w:p>
      <w:pPr>
        <w:spacing w:line="360" w:lineRule="auto"/>
        <w:ind w:firstLine="550"/>
        <w:rPr>
          <w:rFonts w:ascii="宋体" w:hAnsi="宋体"/>
          <w:color w:val="auto"/>
          <w:sz w:val="24"/>
        </w:rPr>
      </w:pPr>
      <w:r>
        <w:rPr>
          <w:rFonts w:hint="eastAsia" w:ascii="宋体" w:hAnsi="宋体"/>
          <w:color w:val="auto"/>
          <w:sz w:val="24"/>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pPr>
        <w:keepNext/>
        <w:keepLines/>
        <w:spacing w:before="260" w:after="260" w:line="360" w:lineRule="auto"/>
        <w:ind w:firstLine="628"/>
        <w:jc w:val="center"/>
        <w:outlineLvl w:val="2"/>
        <w:rPr>
          <w:rFonts w:ascii="宋体" w:hAnsi="宋体"/>
          <w:b/>
          <w:bCs/>
          <w:color w:val="auto"/>
          <w:sz w:val="28"/>
          <w:szCs w:val="32"/>
        </w:rPr>
      </w:pPr>
      <w:bookmarkStart w:id="29" w:name="_Toc19773338"/>
      <w:bookmarkStart w:id="30" w:name="_Toc7187425"/>
      <w:bookmarkStart w:id="31" w:name="_Toc22888334"/>
      <w:r>
        <w:rPr>
          <w:rFonts w:hint="eastAsia" w:ascii="宋体" w:hAnsi="宋体"/>
          <w:b/>
          <w:bCs/>
          <w:color w:val="auto"/>
          <w:sz w:val="28"/>
          <w:szCs w:val="32"/>
        </w:rPr>
        <w:t>六．投标文件的澄清</w:t>
      </w:r>
      <w:bookmarkEnd w:id="29"/>
      <w:bookmarkEnd w:id="30"/>
      <w:bookmarkEnd w:id="31"/>
    </w:p>
    <w:p>
      <w:pPr>
        <w:spacing w:line="360" w:lineRule="auto"/>
        <w:ind w:firstLine="549"/>
        <w:rPr>
          <w:rFonts w:ascii="宋体" w:hAnsi="宋体"/>
          <w:bCs/>
          <w:color w:val="auto"/>
          <w:sz w:val="24"/>
        </w:rPr>
      </w:pPr>
      <w:r>
        <w:rPr>
          <w:rFonts w:hint="eastAsia" w:ascii="宋体" w:hAnsi="宋体"/>
          <w:bCs/>
          <w:color w:val="auto"/>
          <w:sz w:val="24"/>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color w:val="auto"/>
          <w:sz w:val="24"/>
        </w:rPr>
      </w:pPr>
      <w:r>
        <w:rPr>
          <w:rFonts w:hint="eastAsia" w:ascii="宋体" w:hAnsi="宋体"/>
          <w:bCs/>
          <w:color w:val="auto"/>
          <w:sz w:val="24"/>
        </w:rPr>
        <w:t>2.重要的澄清应是书面的，但不得对投标内容进行实质性修改。</w:t>
      </w:r>
    </w:p>
    <w:p>
      <w:pPr>
        <w:keepNext/>
        <w:keepLines/>
        <w:spacing w:before="260" w:after="260" w:line="360" w:lineRule="auto"/>
        <w:ind w:firstLine="628"/>
        <w:jc w:val="center"/>
        <w:outlineLvl w:val="2"/>
        <w:rPr>
          <w:rFonts w:ascii="宋体" w:hAnsi="宋体"/>
          <w:b/>
          <w:bCs/>
          <w:color w:val="auto"/>
          <w:sz w:val="28"/>
          <w:szCs w:val="32"/>
        </w:rPr>
      </w:pPr>
      <w:bookmarkStart w:id="32" w:name="_Toc7187426"/>
      <w:bookmarkStart w:id="33" w:name="_Toc19773339"/>
      <w:bookmarkStart w:id="34" w:name="_Toc22888335"/>
      <w:r>
        <w:rPr>
          <w:rFonts w:hint="eastAsia" w:ascii="宋体" w:hAnsi="宋体"/>
          <w:b/>
          <w:bCs/>
          <w:color w:val="auto"/>
          <w:sz w:val="28"/>
          <w:szCs w:val="32"/>
        </w:rPr>
        <w:t>七.中标通知书</w:t>
      </w:r>
      <w:bookmarkEnd w:id="32"/>
      <w:bookmarkEnd w:id="33"/>
      <w:bookmarkEnd w:id="34"/>
    </w:p>
    <w:p>
      <w:pPr>
        <w:tabs>
          <w:tab w:val="left" w:pos="709"/>
        </w:tabs>
        <w:snapToGrid w:val="0"/>
        <w:spacing w:line="360" w:lineRule="auto"/>
        <w:ind w:firstLine="600" w:firstLineChars="250"/>
        <w:rPr>
          <w:rFonts w:ascii="宋体" w:hAnsi="宋体" w:cs="宋体"/>
          <w:color w:val="auto"/>
          <w:sz w:val="24"/>
        </w:rPr>
      </w:pPr>
      <w:r>
        <w:rPr>
          <w:rFonts w:hint="eastAsia" w:ascii="宋体" w:hAnsi="宋体" w:cs="宋体"/>
          <w:bCs/>
          <w:color w:val="auto"/>
          <w:sz w:val="24"/>
        </w:rPr>
        <w:t>1.</w:t>
      </w:r>
      <w:r>
        <w:rPr>
          <w:rFonts w:hint="eastAsia" w:ascii="宋体" w:hAnsi="宋体" w:cs="宋体"/>
          <w:color w:val="auto"/>
          <w:sz w:val="24"/>
        </w:rPr>
        <w:t>文旅博览集团将以中标通知书形式通知中标人，其投标已被接受。</w:t>
      </w:r>
    </w:p>
    <w:p>
      <w:pPr>
        <w:tabs>
          <w:tab w:val="left" w:pos="709"/>
        </w:tabs>
        <w:snapToGrid w:val="0"/>
        <w:spacing w:line="360" w:lineRule="auto"/>
        <w:ind w:left="566"/>
        <w:rPr>
          <w:rFonts w:ascii="宋体" w:hAnsi="宋体" w:cs="宋体"/>
          <w:color w:val="auto"/>
          <w:sz w:val="24"/>
        </w:rPr>
      </w:pPr>
      <w:r>
        <w:rPr>
          <w:rFonts w:hint="eastAsia" w:ascii="宋体" w:hAnsi="宋体" w:cs="宋体"/>
          <w:bCs/>
          <w:color w:val="auto"/>
          <w:sz w:val="24"/>
        </w:rPr>
        <w:t>2.</w:t>
      </w:r>
      <w:r>
        <w:rPr>
          <w:rFonts w:hint="eastAsia" w:ascii="宋体" w:hAnsi="宋体" w:cs="宋体"/>
          <w:color w:val="auto"/>
          <w:sz w:val="24"/>
        </w:rPr>
        <w:t>文旅博览集团对未中标的投标人不做未中标原因的解释。</w:t>
      </w:r>
    </w:p>
    <w:p>
      <w:pPr>
        <w:spacing w:line="360" w:lineRule="auto"/>
        <w:ind w:firstLine="549"/>
        <w:rPr>
          <w:rFonts w:ascii="宋体" w:hAnsi="宋体"/>
          <w:color w:val="auto"/>
          <w:sz w:val="24"/>
        </w:rPr>
      </w:pPr>
      <w:r>
        <w:rPr>
          <w:rFonts w:hint="eastAsia" w:ascii="宋体" w:hAnsi="宋体"/>
          <w:color w:val="auto"/>
          <w:sz w:val="24"/>
        </w:rPr>
        <w:t>3</w:t>
      </w:r>
      <w:r>
        <w:rPr>
          <w:rFonts w:ascii="宋体" w:hAnsi="宋体"/>
          <w:color w:val="auto"/>
          <w:sz w:val="24"/>
        </w:rPr>
        <w:t>.</w:t>
      </w:r>
      <w:r>
        <w:rPr>
          <w:rFonts w:hint="eastAsia" w:ascii="宋体" w:hAnsi="宋体"/>
          <w:color w:val="auto"/>
          <w:sz w:val="24"/>
        </w:rPr>
        <w:t>中标公示期满后，中标人请在3个工作日内委派专人凭介绍信或公司授权书（须同时携带有效身份证明）领取中标通知书（联系人及联系方式：胡工  0551-63530687，地址：</w:t>
      </w:r>
      <w:r>
        <w:rPr>
          <w:rFonts w:hint="eastAsia" w:ascii="宋体" w:hAnsi="宋体"/>
          <w:bCs/>
          <w:color w:val="auto"/>
          <w:sz w:val="24"/>
          <w:szCs w:val="18"/>
        </w:rPr>
        <w:t>合肥市蜀山区习友路与茂荫路交口投资大厦2楼招标采购部</w:t>
      </w:r>
      <w:r>
        <w:rPr>
          <w:rFonts w:hint="eastAsia" w:ascii="宋体" w:hAnsi="宋体"/>
          <w:color w:val="auto"/>
          <w:sz w:val="24"/>
        </w:rPr>
        <w:t>）。</w:t>
      </w:r>
      <w:bookmarkEnd w:id="24"/>
      <w:bookmarkEnd w:id="25"/>
    </w:p>
    <w:p>
      <w:pPr>
        <w:keepNext/>
        <w:keepLines/>
        <w:spacing w:before="260" w:after="260" w:line="360" w:lineRule="auto"/>
        <w:ind w:firstLine="628"/>
        <w:jc w:val="center"/>
        <w:outlineLvl w:val="2"/>
        <w:rPr>
          <w:rFonts w:ascii="宋体" w:hAnsi="宋体"/>
          <w:b/>
          <w:bCs/>
          <w:color w:val="auto"/>
          <w:sz w:val="28"/>
          <w:szCs w:val="32"/>
        </w:rPr>
      </w:pPr>
      <w:bookmarkStart w:id="35" w:name="_Toc19773340"/>
      <w:bookmarkStart w:id="36" w:name="_Toc7187427"/>
      <w:bookmarkStart w:id="37" w:name="_Toc22888336"/>
      <w:r>
        <w:rPr>
          <w:rFonts w:hint="eastAsia" w:ascii="宋体" w:hAnsi="宋体"/>
          <w:b/>
          <w:bCs/>
          <w:color w:val="auto"/>
          <w:sz w:val="28"/>
          <w:szCs w:val="32"/>
        </w:rPr>
        <w:t>八.异议处理</w:t>
      </w:r>
      <w:bookmarkEnd w:id="35"/>
      <w:bookmarkEnd w:id="36"/>
      <w:bookmarkEnd w:id="37"/>
    </w:p>
    <w:p>
      <w:pPr>
        <w:spacing w:line="360" w:lineRule="auto"/>
        <w:ind w:firstLine="523" w:firstLineChars="218"/>
        <w:rPr>
          <w:rFonts w:ascii="宋体" w:hAnsi="宋体"/>
          <w:bCs/>
          <w:color w:val="auto"/>
          <w:sz w:val="24"/>
        </w:rPr>
      </w:pPr>
      <w:r>
        <w:rPr>
          <w:rFonts w:hint="eastAsia" w:ascii="宋体" w:hAnsi="宋体"/>
          <w:bCs/>
          <w:color w:val="auto"/>
          <w:sz w:val="24"/>
        </w:rPr>
        <w:t>1.</w:t>
      </w:r>
      <w:r>
        <w:rPr>
          <w:rFonts w:ascii="宋体" w:hAnsi="宋体"/>
          <w:bCs/>
          <w:color w:val="auto"/>
          <w:sz w:val="24"/>
        </w:rPr>
        <w:t>投标人或者其他利害关系人对依法必须进行招标的项目的评标结果有异议的，应当在中标候选人公示期间</w:t>
      </w:r>
      <w:r>
        <w:rPr>
          <w:rFonts w:hint="eastAsia" w:ascii="宋体" w:hAnsi="宋体"/>
          <w:bCs/>
          <w:color w:val="auto"/>
          <w:sz w:val="24"/>
        </w:rPr>
        <w:t>，由投标人授权代表（或法定代表人）携带身份证明材料，以书面形式向文旅博览集团提出异议，逾期不予受理。</w:t>
      </w:r>
    </w:p>
    <w:p>
      <w:pPr>
        <w:spacing w:line="360" w:lineRule="auto"/>
        <w:ind w:firstLine="523" w:firstLineChars="218"/>
        <w:rPr>
          <w:rFonts w:ascii="宋体" w:hAnsi="宋体"/>
          <w:bCs/>
          <w:color w:val="auto"/>
          <w:sz w:val="24"/>
        </w:rPr>
      </w:pPr>
      <w:r>
        <w:rPr>
          <w:rFonts w:hint="eastAsia" w:ascii="宋体" w:hAnsi="宋体"/>
          <w:bCs/>
          <w:color w:val="auto"/>
          <w:sz w:val="24"/>
        </w:rPr>
        <w:t>2.异议书内容应包括异议的详细理由和依据，并提供有关证明资料。</w:t>
      </w:r>
    </w:p>
    <w:p>
      <w:pPr>
        <w:spacing w:line="360" w:lineRule="auto"/>
        <w:ind w:firstLine="523" w:firstLineChars="218"/>
        <w:rPr>
          <w:rFonts w:ascii="宋体" w:hAnsi="宋体"/>
          <w:bCs/>
          <w:color w:val="auto"/>
          <w:sz w:val="24"/>
        </w:rPr>
      </w:pPr>
      <w:r>
        <w:rPr>
          <w:rFonts w:hint="eastAsia" w:ascii="宋体" w:hAnsi="宋体"/>
          <w:bCs/>
          <w:color w:val="auto"/>
          <w:sz w:val="24"/>
        </w:rPr>
        <w:t>3.有以下情形之一的，视为无效异议：</w:t>
      </w:r>
    </w:p>
    <w:p>
      <w:pPr>
        <w:spacing w:line="360" w:lineRule="auto"/>
        <w:ind w:firstLine="523" w:firstLineChars="218"/>
        <w:rPr>
          <w:rFonts w:ascii="宋体" w:hAnsi="宋体"/>
          <w:bCs/>
          <w:color w:val="auto"/>
          <w:sz w:val="24"/>
        </w:rPr>
      </w:pPr>
      <w:r>
        <w:rPr>
          <w:rFonts w:hint="eastAsia" w:ascii="宋体" w:hAnsi="宋体"/>
          <w:bCs/>
          <w:color w:val="auto"/>
          <w:sz w:val="24"/>
        </w:rPr>
        <w:t>3.1 未按规定时间或规定手续提交异议的；</w:t>
      </w:r>
    </w:p>
    <w:p>
      <w:pPr>
        <w:spacing w:line="360" w:lineRule="auto"/>
        <w:ind w:firstLine="523" w:firstLineChars="218"/>
        <w:rPr>
          <w:rFonts w:ascii="宋体" w:hAnsi="宋体"/>
          <w:bCs/>
          <w:color w:val="auto"/>
          <w:sz w:val="24"/>
        </w:rPr>
      </w:pPr>
      <w:r>
        <w:rPr>
          <w:rFonts w:hint="eastAsia" w:ascii="宋体" w:hAnsi="宋体"/>
          <w:bCs/>
          <w:color w:val="auto"/>
          <w:sz w:val="24"/>
        </w:rPr>
        <w:t>3.2异议内容含糊不清、没有提供详细理由和依据，无法进行核查的；</w:t>
      </w:r>
    </w:p>
    <w:p>
      <w:pPr>
        <w:spacing w:line="360" w:lineRule="auto"/>
        <w:ind w:firstLine="523" w:firstLineChars="218"/>
        <w:rPr>
          <w:rFonts w:ascii="宋体" w:hAnsi="宋体"/>
          <w:bCs/>
          <w:color w:val="auto"/>
          <w:sz w:val="24"/>
        </w:rPr>
      </w:pPr>
      <w:r>
        <w:rPr>
          <w:rFonts w:hint="eastAsia" w:ascii="宋体" w:hAnsi="宋体"/>
          <w:bCs/>
          <w:color w:val="auto"/>
          <w:sz w:val="24"/>
        </w:rPr>
        <w:t>3.3其他不符合异议程序和有关规定的。</w:t>
      </w:r>
    </w:p>
    <w:p>
      <w:pPr>
        <w:spacing w:line="360" w:lineRule="auto"/>
        <w:ind w:firstLine="523" w:firstLineChars="218"/>
        <w:rPr>
          <w:rFonts w:ascii="宋体" w:hAnsi="宋体"/>
          <w:bCs/>
          <w:color w:val="auto"/>
          <w:sz w:val="24"/>
        </w:rPr>
      </w:pPr>
      <w:r>
        <w:rPr>
          <w:rFonts w:hint="eastAsia" w:ascii="宋体" w:hAnsi="宋体"/>
          <w:bCs/>
          <w:color w:val="auto"/>
          <w:sz w:val="24"/>
        </w:rPr>
        <w:t>4.文旅博览集团将在收到书面质疑后5个工作日内审查异议事项，作出答复或相关处理决定，并以书面形式通知异议人，但答复的内容不涉及商业秘密。</w:t>
      </w:r>
    </w:p>
    <w:p>
      <w:pPr>
        <w:keepNext/>
        <w:keepLines/>
        <w:spacing w:before="260" w:after="260" w:line="360" w:lineRule="auto"/>
        <w:ind w:firstLine="628"/>
        <w:jc w:val="center"/>
        <w:outlineLvl w:val="2"/>
        <w:rPr>
          <w:rFonts w:ascii="宋体" w:hAnsi="宋体"/>
          <w:b/>
          <w:bCs/>
          <w:color w:val="auto"/>
          <w:sz w:val="28"/>
          <w:szCs w:val="32"/>
        </w:rPr>
      </w:pPr>
      <w:bookmarkStart w:id="38" w:name="_Toc22888337"/>
      <w:bookmarkStart w:id="39" w:name="_Toc19773341"/>
      <w:bookmarkStart w:id="40" w:name="_Toc7187428"/>
      <w:r>
        <w:rPr>
          <w:rFonts w:hint="eastAsia" w:ascii="宋体" w:hAnsi="宋体"/>
          <w:b/>
          <w:bCs/>
          <w:color w:val="auto"/>
          <w:sz w:val="28"/>
          <w:szCs w:val="32"/>
        </w:rPr>
        <w:t>九．签订合同</w:t>
      </w:r>
      <w:bookmarkEnd w:id="38"/>
      <w:bookmarkEnd w:id="39"/>
      <w:bookmarkEnd w:id="40"/>
    </w:p>
    <w:p>
      <w:pPr>
        <w:spacing w:line="360" w:lineRule="auto"/>
        <w:ind w:firstLine="549"/>
        <w:rPr>
          <w:rFonts w:ascii="宋体" w:hAnsi="宋体"/>
          <w:color w:val="auto"/>
          <w:sz w:val="24"/>
          <w:szCs w:val="24"/>
        </w:rPr>
      </w:pPr>
    </w:p>
    <w:p>
      <w:pPr>
        <w:spacing w:line="360" w:lineRule="auto"/>
        <w:ind w:firstLine="549"/>
        <w:rPr>
          <w:rFonts w:ascii="宋体" w:hAnsi="宋体"/>
          <w:b/>
          <w:color w:val="auto"/>
          <w:sz w:val="24"/>
        </w:rPr>
      </w:pPr>
      <w:r>
        <w:rPr>
          <w:rFonts w:hint="eastAsia" w:ascii="宋体" w:hAnsi="宋体"/>
          <w:b/>
          <w:color w:val="auto"/>
          <w:sz w:val="24"/>
        </w:rPr>
        <w:t>1.履约保证金</w:t>
      </w:r>
    </w:p>
    <w:p>
      <w:pPr>
        <w:spacing w:line="360" w:lineRule="auto"/>
        <w:ind w:firstLine="549"/>
        <w:rPr>
          <w:rFonts w:ascii="宋体" w:hAnsi="宋体"/>
          <w:dstrike/>
          <w:color w:val="auto"/>
          <w:sz w:val="24"/>
        </w:rPr>
      </w:pPr>
      <w:r>
        <w:rPr>
          <w:rFonts w:hint="eastAsia" w:ascii="宋体" w:hAnsi="宋体"/>
          <w:color w:val="auto"/>
          <w:sz w:val="24"/>
        </w:rPr>
        <w:t>1.1签订合同前，投标人应提交履约保证金。履约保证金金额、收受方式及收受人见投标人须知前附表规定。</w:t>
      </w:r>
    </w:p>
    <w:p>
      <w:pPr>
        <w:spacing w:line="360" w:lineRule="auto"/>
        <w:ind w:firstLine="549"/>
        <w:rPr>
          <w:rFonts w:ascii="宋体" w:hAnsi="宋体"/>
          <w:color w:val="auto"/>
          <w:sz w:val="24"/>
        </w:rPr>
      </w:pPr>
      <w:r>
        <w:rPr>
          <w:rFonts w:hint="eastAsia" w:ascii="宋体" w:hAnsi="宋体"/>
          <w:color w:val="auto"/>
          <w:sz w:val="24"/>
        </w:rPr>
        <w:t>1.2投标人须知前附表约定收取履约保证金或免收履约保证金的，从其规定。</w:t>
      </w:r>
    </w:p>
    <w:p>
      <w:pPr>
        <w:spacing w:line="360" w:lineRule="auto"/>
        <w:ind w:firstLine="549"/>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3如果中标人未按规定交纳履约保证金，招标人有权取消该授标，在此情况下招标人可将该标授予其下一个中标候选人，或重新招标。</w:t>
      </w:r>
    </w:p>
    <w:p>
      <w:pPr>
        <w:spacing w:line="360" w:lineRule="auto"/>
        <w:ind w:firstLine="549"/>
        <w:rPr>
          <w:rFonts w:ascii="宋体" w:hAnsi="宋体"/>
          <w:b/>
          <w:color w:val="auto"/>
          <w:sz w:val="24"/>
        </w:rPr>
      </w:pPr>
      <w:r>
        <w:rPr>
          <w:rFonts w:hint="eastAsia" w:ascii="宋体" w:hAnsi="宋体" w:cs="宋体"/>
          <w:b/>
          <w:color w:val="auto"/>
          <w:kern w:val="0"/>
          <w:sz w:val="24"/>
        </w:rPr>
        <w:t>2.</w:t>
      </w:r>
      <w:r>
        <w:rPr>
          <w:rFonts w:hint="eastAsia" w:ascii="宋体" w:hAnsi="宋体"/>
          <w:b/>
          <w:color w:val="auto"/>
          <w:sz w:val="24"/>
        </w:rPr>
        <w:t>签订合同</w:t>
      </w:r>
    </w:p>
    <w:p>
      <w:pPr>
        <w:spacing w:line="360" w:lineRule="auto"/>
        <w:ind w:firstLine="549"/>
        <w:rPr>
          <w:rFonts w:ascii="宋体" w:hAnsi="宋体"/>
          <w:color w:val="auto"/>
          <w:sz w:val="24"/>
        </w:rPr>
      </w:pPr>
      <w:r>
        <w:rPr>
          <w:rFonts w:hint="eastAsia" w:ascii="宋体" w:hAnsi="宋体"/>
          <w:color w:val="auto"/>
          <w:sz w:val="24"/>
        </w:rPr>
        <w:t>2.1中标人应在中标通知书发出之日起7日内（具体时间、地点见中标通知书）与委托人签订合同。招标文件、中标人的投标文件及澄清文件等，均作为合同的附件。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color w:val="auto"/>
          <w:sz w:val="24"/>
        </w:rPr>
      </w:pPr>
      <w:r>
        <w:rPr>
          <w:rFonts w:hint="eastAsia" w:ascii="宋体" w:hAnsi="宋体"/>
          <w:color w:val="auto"/>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auto"/>
          <w:sz w:val="24"/>
        </w:rPr>
      </w:pPr>
      <w:r>
        <w:rPr>
          <w:rFonts w:hint="eastAsia" w:ascii="宋体" w:hAnsi="宋体"/>
          <w:color w:val="auto"/>
          <w:sz w:val="24"/>
        </w:rPr>
        <w:t>2.3招标人保留以书面形式要求合同的卖方对其所投货物的装运方式、交货地点及服务细则等作适当调整的权利。</w:t>
      </w:r>
    </w:p>
    <w:p>
      <w:pPr>
        <w:spacing w:line="360" w:lineRule="auto"/>
        <w:ind w:firstLine="523" w:firstLineChars="218"/>
        <w:rPr>
          <w:rFonts w:ascii="宋体" w:hAnsi="宋体"/>
          <w:color w:val="auto"/>
          <w:sz w:val="24"/>
        </w:rPr>
      </w:pPr>
      <w:r>
        <w:rPr>
          <w:rFonts w:hint="eastAsia" w:ascii="宋体" w:hAnsi="宋体"/>
          <w:color w:val="auto"/>
          <w:sz w:val="24"/>
        </w:rPr>
        <w:t>2.4</w:t>
      </w:r>
      <w:r>
        <w:rPr>
          <w:rFonts w:hint="eastAsia" w:ascii="宋体" w:hAnsi="宋体" w:cs="宋体"/>
          <w:color w:val="auto"/>
          <w:kern w:val="0"/>
          <w:sz w:val="24"/>
        </w:rPr>
        <w:t>招标人在授予合同时有权对标的物的数量予以适当的增加或减少；</w:t>
      </w:r>
    </w:p>
    <w:p>
      <w:pPr>
        <w:spacing w:line="360" w:lineRule="auto"/>
        <w:ind w:firstLine="549"/>
        <w:rPr>
          <w:rFonts w:ascii="宋体" w:hAnsi="宋体"/>
          <w:color w:val="auto"/>
          <w:sz w:val="24"/>
        </w:rPr>
      </w:pPr>
      <w:r>
        <w:rPr>
          <w:rFonts w:hint="eastAsia" w:ascii="宋体" w:hAnsi="宋体"/>
          <w:color w:val="auto"/>
          <w:sz w:val="24"/>
        </w:rPr>
        <w:t>2.5中标人不与委托人签订合同的，招标人可单方面取消其中标资格，并追究其责任。</w:t>
      </w:r>
    </w:p>
    <w:p>
      <w:pPr>
        <w:pStyle w:val="118"/>
        <w:numPr>
          <w:ilvl w:val="1"/>
          <w:numId w:val="4"/>
        </w:numPr>
        <w:spacing w:line="360" w:lineRule="auto"/>
        <w:ind w:firstLineChars="0"/>
        <w:rPr>
          <w:rFonts w:ascii="宋体" w:hAnsi="宋体"/>
          <w:color w:val="auto"/>
          <w:sz w:val="24"/>
        </w:rPr>
      </w:pPr>
      <w:r>
        <w:rPr>
          <w:rFonts w:hint="eastAsia" w:ascii="宋体" w:hAnsi="宋体"/>
          <w:color w:val="auto"/>
          <w:sz w:val="24"/>
        </w:rPr>
        <w:t>合同履行完毕后，经委托人考核合格，双方可续签合同。</w:t>
      </w: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pStyle w:val="6"/>
        <w:spacing w:line="500" w:lineRule="exact"/>
        <w:rPr>
          <w:rFonts w:ascii="宋体" w:hAnsi="宋体" w:eastAsia="宋体"/>
          <w:color w:val="auto"/>
        </w:rPr>
      </w:pPr>
      <w:bookmarkStart w:id="41" w:name="_Toc22069"/>
      <w:bookmarkStart w:id="42" w:name="_Toc508363595"/>
      <w:r>
        <w:rPr>
          <w:rFonts w:hint="eastAsia" w:ascii="宋体" w:hAnsi="宋体" w:eastAsia="宋体"/>
          <w:color w:val="auto"/>
        </w:rPr>
        <w:t>第</w:t>
      </w:r>
      <w:bookmarkStart w:id="43" w:name="_Hlt240110027"/>
      <w:bookmarkEnd w:id="43"/>
      <w:r>
        <w:rPr>
          <w:rFonts w:hint="eastAsia" w:ascii="宋体" w:hAnsi="宋体" w:eastAsia="宋体"/>
          <w:color w:val="auto"/>
        </w:rPr>
        <w:t>四章</w:t>
      </w:r>
      <w:bookmarkStart w:id="44" w:name="_Hlt509716920"/>
      <w:bookmarkEnd w:id="44"/>
      <w:r>
        <w:rPr>
          <w:rFonts w:hint="eastAsia" w:ascii="宋体" w:hAnsi="宋体" w:eastAsia="宋体"/>
          <w:color w:val="auto"/>
        </w:rPr>
        <w:t xml:space="preserve"> </w:t>
      </w:r>
      <w:r>
        <w:rPr>
          <w:rFonts w:hint="eastAsia" w:ascii="宋体" w:hAnsi="宋体" w:eastAsia="宋体"/>
          <w:color w:val="auto"/>
          <w:szCs w:val="36"/>
        </w:rPr>
        <w:t>招标需求</w:t>
      </w:r>
      <w:bookmarkEnd w:id="41"/>
    </w:p>
    <w:p>
      <w:pPr>
        <w:spacing w:line="360" w:lineRule="auto"/>
        <w:rPr>
          <w:rFonts w:ascii="宋体" w:hAnsi="宋体"/>
          <w:color w:val="auto"/>
          <w:sz w:val="24"/>
          <w:szCs w:val="28"/>
        </w:rPr>
      </w:pPr>
      <w:r>
        <w:rPr>
          <w:rFonts w:hint="eastAsia" w:ascii="宋体" w:hAnsi="宋体"/>
          <w:color w:val="auto"/>
          <w:sz w:val="24"/>
          <w:szCs w:val="28"/>
        </w:rPr>
        <w:t>前注：</w:t>
      </w:r>
    </w:p>
    <w:p>
      <w:pPr>
        <w:spacing w:line="360" w:lineRule="auto"/>
        <w:ind w:firstLine="480" w:firstLineChars="200"/>
        <w:rPr>
          <w:rFonts w:ascii="宋体" w:hAnsi="宋体"/>
          <w:b/>
          <w:color w:val="auto"/>
          <w:sz w:val="24"/>
          <w:szCs w:val="24"/>
          <w:u w:val="single"/>
        </w:rPr>
      </w:pPr>
      <w:r>
        <w:rPr>
          <w:rFonts w:hint="eastAsia" w:ascii="宋体" w:hAnsi="宋体"/>
          <w:color w:val="auto"/>
          <w:sz w:val="24"/>
          <w:szCs w:val="28"/>
        </w:rPr>
        <w:t>1.本需求中提出的技术方案仅为参考，如无明确限制，投标人可以进行优化，提供满足用户实际需要的更优（或者性能实质上不低于的）</w:t>
      </w:r>
      <w:r>
        <w:rPr>
          <w:rFonts w:hint="eastAsia" w:ascii="宋体" w:hAnsi="宋体"/>
          <w:color w:val="auto"/>
          <w:sz w:val="24"/>
          <w:szCs w:val="24"/>
        </w:rPr>
        <w:t>技术方案或者设备配置，且此方案或配置须经评标小组审核认可；</w:t>
      </w:r>
      <w:r>
        <w:rPr>
          <w:rFonts w:hint="eastAsia" w:ascii="宋体" w:hAnsi="宋体"/>
          <w:color w:val="auto"/>
          <w:sz w:val="24"/>
          <w:szCs w:val="24"/>
        </w:rPr>
        <w:cr/>
      </w:r>
      <w:r>
        <w:rPr>
          <w:rFonts w:hint="eastAsia" w:ascii="宋体" w:hAnsi="宋体"/>
          <w:color w:val="auto"/>
          <w:sz w:val="24"/>
          <w:szCs w:val="24"/>
        </w:rPr>
        <w:t>2.为鼓励不同品牌的充分竞争，如某设备的某技术参数或要求属于个别品牌专有，则该技术参数及要求不具有限制性，投标人可对该参数或要求进行适当调整，并应当说明调整的理由，且此调整须经评标小组审核认可；</w:t>
      </w:r>
    </w:p>
    <w:p>
      <w:pPr>
        <w:spacing w:line="360" w:lineRule="auto"/>
        <w:rPr>
          <w:rFonts w:ascii="宋体" w:hAnsi="宋体"/>
          <w:color w:val="auto"/>
          <w:sz w:val="24"/>
          <w:szCs w:val="28"/>
        </w:rPr>
      </w:pPr>
      <w:r>
        <w:rPr>
          <w:rFonts w:hint="eastAsia" w:ascii="宋体" w:hAnsi="宋体"/>
          <w:color w:val="auto"/>
          <w:sz w:val="24"/>
          <w:szCs w:val="28"/>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小组评审，未提供的或评审不通过的投标无效。</w:t>
      </w:r>
      <w:r>
        <w:rPr>
          <w:rFonts w:hint="eastAsia" w:ascii="宋体" w:hAnsi="宋体"/>
          <w:color w:val="auto"/>
          <w:sz w:val="24"/>
          <w:szCs w:val="28"/>
        </w:rPr>
        <w:cr/>
      </w:r>
      <w:r>
        <w:rPr>
          <w:rFonts w:hint="eastAsia" w:ascii="宋体" w:hAnsi="宋体"/>
          <w:color w:val="auto"/>
          <w:sz w:val="24"/>
          <w:szCs w:val="28"/>
        </w:rP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spacing w:line="360" w:lineRule="auto"/>
        <w:ind w:firstLine="480" w:firstLineChars="200"/>
        <w:rPr>
          <w:rFonts w:hint="eastAsia" w:hAnsi="宋体"/>
          <w:color w:val="auto"/>
          <w:sz w:val="24"/>
          <w:szCs w:val="24"/>
        </w:rPr>
      </w:pPr>
      <w:r>
        <w:rPr>
          <w:rFonts w:hint="eastAsia" w:ascii="宋体" w:hAnsi="宋体"/>
          <w:color w:val="auto"/>
          <w:sz w:val="24"/>
          <w:szCs w:val="28"/>
        </w:rPr>
        <w:t>5.</w:t>
      </w:r>
      <w:r>
        <w:rPr>
          <w:rFonts w:hint="eastAsia" w:hAnsi="宋体"/>
          <w:color w:val="auto"/>
          <w:sz w:val="24"/>
          <w:szCs w:val="24"/>
        </w:rPr>
        <w:t>投标人自行考虑“营改增”税收费用及风险，中标后须按国家相关规定</w:t>
      </w:r>
      <w:r>
        <w:rPr>
          <w:rFonts w:hint="eastAsia" w:hAnsi="宋体"/>
          <w:color w:val="auto"/>
          <w:sz w:val="24"/>
          <w:szCs w:val="28"/>
        </w:rPr>
        <w:t>缴纳</w:t>
      </w:r>
      <w:r>
        <w:rPr>
          <w:rFonts w:hint="eastAsia" w:hAnsi="宋体"/>
          <w:color w:val="auto"/>
          <w:sz w:val="24"/>
          <w:szCs w:val="24"/>
        </w:rPr>
        <w:t>税金并按招标人要求提供发票，费用含在本次投标总价中，中标后不作调整。</w:t>
      </w:r>
    </w:p>
    <w:p>
      <w:pPr>
        <w:pStyle w:val="2"/>
        <w:ind w:left="0" w:leftChars="0" w:firstLine="480" w:firstLineChars="200"/>
        <w:rPr>
          <w:rFonts w:hint="eastAsia" w:ascii="Times New Roman" w:hAnsi="宋体" w:eastAsia="宋体" w:cs="Times New Roman"/>
          <w:color w:val="auto"/>
          <w:kern w:val="2"/>
          <w:sz w:val="24"/>
          <w:szCs w:val="24"/>
          <w:lang w:val="en-US" w:eastAsia="zh-CN" w:bidi="ar-SA"/>
        </w:rPr>
      </w:pPr>
      <w:r>
        <w:rPr>
          <w:rFonts w:hint="eastAsia" w:ascii="Times New Roman" w:hAnsi="宋体" w:eastAsia="宋体" w:cs="Times New Roman"/>
          <w:color w:val="auto"/>
          <w:kern w:val="2"/>
          <w:sz w:val="24"/>
          <w:szCs w:val="24"/>
          <w:lang w:val="en-US" w:eastAsia="zh-CN" w:bidi="ar-SA"/>
        </w:rPr>
        <w:t>6.投标人免费提供消防系统单个价值200元以内的零配件，不受数量限制。</w:t>
      </w:r>
    </w:p>
    <w:p>
      <w:pPr>
        <w:spacing w:line="360" w:lineRule="auto"/>
        <w:rPr>
          <w:rFonts w:ascii="宋体"/>
          <w:b/>
          <w:color w:val="auto"/>
          <w:sz w:val="24"/>
          <w:szCs w:val="24"/>
        </w:rPr>
      </w:pPr>
      <w:r>
        <w:rPr>
          <w:rFonts w:hint="eastAsia" w:ascii="宋体" w:hAnsi="宋体"/>
          <w:b/>
          <w:color w:val="auto"/>
          <w:sz w:val="24"/>
          <w:szCs w:val="28"/>
        </w:rPr>
        <w:t>一、</w:t>
      </w:r>
      <w:r>
        <w:rPr>
          <w:rFonts w:hint="eastAsia" w:ascii="宋体"/>
          <w:b/>
          <w:color w:val="auto"/>
          <w:sz w:val="24"/>
          <w:szCs w:val="24"/>
        </w:rPr>
        <w:t>合肥体育中心消防设施简介</w:t>
      </w:r>
    </w:p>
    <w:p>
      <w:pPr>
        <w:spacing w:line="360" w:lineRule="auto"/>
        <w:ind w:firstLine="555"/>
        <w:jc w:val="left"/>
        <w:outlineLvl w:val="0"/>
        <w:rPr>
          <w:rFonts w:ascii="宋体"/>
          <w:color w:val="auto"/>
          <w:sz w:val="24"/>
          <w:szCs w:val="24"/>
        </w:rPr>
      </w:pPr>
      <w:r>
        <w:rPr>
          <w:rFonts w:hint="eastAsia" w:ascii="宋体"/>
          <w:color w:val="auto"/>
          <w:sz w:val="24"/>
          <w:szCs w:val="24"/>
        </w:rPr>
        <w:t>合肥体育中心位于合肥市蜀山区，东邻潜山路、西邻怀宁路、北邻习友路，总建筑面积15万平方米,由主场馆、综合馆、游泳馆三个单体及其附属宾馆组成。主场馆、综合馆、游泳馆、宾馆分别有各自独立的火灾自动报警系统，在三个场馆的中心位置为设有火灾自动报警系统总控制室，各场馆及宾馆内均设有室内消火栓系统、自动喷淋系统、防排烟系统，消防水泵房设在主场馆一层位置，消防水箱及稳压泵设在主场馆宾馆顶部位置。综合馆设有智能大空间火灾报警系统和智能消防水炮系统，消防水炮泵房设在综合馆地下室。天鹅湖全民健身中心设置的建筑消防设施进行维修保养，涉及面积14000㎡。</w:t>
      </w:r>
    </w:p>
    <w:p>
      <w:pPr>
        <w:adjustRightInd w:val="0"/>
        <w:snapToGrid w:val="0"/>
        <w:spacing w:line="360" w:lineRule="auto"/>
        <w:jc w:val="left"/>
        <w:rPr>
          <w:rFonts w:ascii="宋体" w:hAnsi="宋体"/>
          <w:b/>
          <w:color w:val="auto"/>
          <w:sz w:val="24"/>
          <w:szCs w:val="24"/>
        </w:rPr>
      </w:pPr>
      <w:r>
        <w:rPr>
          <w:rFonts w:hint="eastAsia" w:ascii="宋体" w:hAnsi="宋体"/>
          <w:b/>
          <w:color w:val="auto"/>
          <w:sz w:val="24"/>
          <w:szCs w:val="24"/>
        </w:rPr>
        <w:t>二、项目人员要求</w:t>
      </w:r>
    </w:p>
    <w:p>
      <w:pPr>
        <w:spacing w:line="360" w:lineRule="auto"/>
        <w:ind w:firstLine="555"/>
        <w:jc w:val="left"/>
        <w:outlineLvl w:val="0"/>
        <w:rPr>
          <w:rFonts w:ascii="宋体"/>
          <w:color w:val="auto"/>
          <w:sz w:val="24"/>
          <w:szCs w:val="24"/>
        </w:rPr>
      </w:pPr>
      <w:r>
        <w:rPr>
          <w:rFonts w:hint="eastAsia" w:ascii="宋体"/>
          <w:color w:val="auto"/>
          <w:sz w:val="24"/>
          <w:szCs w:val="24"/>
        </w:rPr>
        <w:t>本项目要求配备1名项目负责人， 1名及以上维保维修人员。</w:t>
      </w:r>
    </w:p>
    <w:p>
      <w:pPr>
        <w:adjustRightInd w:val="0"/>
        <w:snapToGrid w:val="0"/>
        <w:spacing w:line="360" w:lineRule="auto"/>
        <w:jc w:val="left"/>
        <w:rPr>
          <w:rFonts w:ascii="宋体" w:hAnsi="宋体" w:cs="仿宋"/>
          <w:b/>
          <w:color w:val="auto"/>
          <w:sz w:val="24"/>
          <w:szCs w:val="24"/>
        </w:rPr>
      </w:pPr>
      <w:r>
        <w:rPr>
          <w:rFonts w:hint="eastAsia" w:ascii="宋体" w:hAnsi="宋体"/>
          <w:b/>
          <w:color w:val="auto"/>
          <w:sz w:val="24"/>
          <w:szCs w:val="24"/>
        </w:rPr>
        <w:t>三、服务要求及说明</w:t>
      </w:r>
    </w:p>
    <w:p>
      <w:pPr>
        <w:adjustRightInd w:val="0"/>
        <w:snapToGrid w:val="0"/>
        <w:spacing w:line="360" w:lineRule="auto"/>
        <w:jc w:val="left"/>
        <w:rPr>
          <w:rFonts w:ascii="宋体" w:hAnsi="宋体" w:cs="仿宋"/>
          <w:color w:val="auto"/>
          <w:sz w:val="24"/>
          <w:szCs w:val="24"/>
        </w:rPr>
      </w:pPr>
      <w:r>
        <w:rPr>
          <w:rFonts w:hint="eastAsia" w:ascii="宋体" w:hAnsi="宋体" w:cs="仿宋"/>
          <w:color w:val="auto"/>
          <w:sz w:val="24"/>
          <w:szCs w:val="24"/>
        </w:rPr>
        <w:t>1、维保内容（详情见附件）</w:t>
      </w:r>
    </w:p>
    <w:p>
      <w:pPr>
        <w:adjustRightInd w:val="0"/>
        <w:snapToGrid w:val="0"/>
        <w:spacing w:line="360" w:lineRule="auto"/>
        <w:jc w:val="left"/>
        <w:rPr>
          <w:rFonts w:ascii="宋体" w:hAnsi="宋体" w:cs="仿宋"/>
          <w:color w:val="auto"/>
          <w:sz w:val="24"/>
          <w:szCs w:val="24"/>
        </w:rPr>
      </w:pPr>
      <w:r>
        <w:rPr>
          <w:rFonts w:hint="eastAsia" w:ascii="宋体" w:hAnsi="宋体" w:cs="仿宋"/>
          <w:color w:val="auto"/>
          <w:sz w:val="24"/>
          <w:szCs w:val="24"/>
        </w:rPr>
        <w:t>1.1火灾自动报警系统【包括火灾报警控制器（联动型）、消防电话总机、广播主机、点型光电感烟火灾探测器、点型感温火灾探测器、手动火灾报警按钮、消火栓按钮、输入模块、控制模块】；</w:t>
      </w:r>
    </w:p>
    <w:p>
      <w:pPr>
        <w:adjustRightInd w:val="0"/>
        <w:snapToGrid w:val="0"/>
        <w:spacing w:line="360" w:lineRule="auto"/>
        <w:jc w:val="left"/>
        <w:rPr>
          <w:rFonts w:ascii="宋体" w:hAnsi="宋体" w:cs="仿宋"/>
          <w:color w:val="auto"/>
          <w:sz w:val="24"/>
          <w:szCs w:val="24"/>
        </w:rPr>
      </w:pPr>
      <w:r>
        <w:rPr>
          <w:rFonts w:hint="eastAsia" w:ascii="宋体" w:hAnsi="宋体" w:cs="仿宋"/>
          <w:color w:val="auto"/>
          <w:sz w:val="24"/>
          <w:szCs w:val="24"/>
        </w:rPr>
        <w:t>1.2消火栓系统【包括消化栓、消火栓泵、稳压泵、水泵接合器、消防水箱】；</w:t>
      </w:r>
    </w:p>
    <w:p>
      <w:pPr>
        <w:adjustRightInd w:val="0"/>
        <w:snapToGrid w:val="0"/>
        <w:spacing w:line="360" w:lineRule="auto"/>
        <w:jc w:val="left"/>
        <w:rPr>
          <w:rFonts w:ascii="宋体" w:hAnsi="宋体" w:cs="仿宋"/>
          <w:color w:val="auto"/>
          <w:sz w:val="24"/>
          <w:szCs w:val="24"/>
        </w:rPr>
      </w:pPr>
      <w:r>
        <w:rPr>
          <w:rFonts w:hint="eastAsia" w:ascii="宋体" w:hAnsi="宋体" w:cs="仿宋"/>
          <w:color w:val="auto"/>
          <w:sz w:val="24"/>
          <w:szCs w:val="24"/>
        </w:rPr>
        <w:t>1.3喷淋系统【包括喷头、喷淋泵、稳压泵、水流指示器、水泵接合器、末端放水、报警阀】；</w:t>
      </w:r>
    </w:p>
    <w:p>
      <w:pPr>
        <w:adjustRightInd w:val="0"/>
        <w:snapToGrid w:val="0"/>
        <w:spacing w:line="360" w:lineRule="auto"/>
        <w:jc w:val="left"/>
        <w:rPr>
          <w:rFonts w:ascii="宋体" w:hAnsi="宋体" w:cs="仿宋"/>
          <w:color w:val="auto"/>
          <w:sz w:val="24"/>
          <w:szCs w:val="24"/>
        </w:rPr>
      </w:pPr>
      <w:r>
        <w:rPr>
          <w:rFonts w:hint="eastAsia" w:ascii="宋体" w:hAnsi="宋体" w:cs="仿宋"/>
          <w:color w:val="auto"/>
          <w:sz w:val="24"/>
          <w:szCs w:val="24"/>
        </w:rPr>
        <w:t>1.4防排烟系统【排烟风机、正压送风机、自垂式百叶送风口、280℃排烟口（含阀）】；</w:t>
      </w:r>
    </w:p>
    <w:p>
      <w:pPr>
        <w:adjustRightInd w:val="0"/>
        <w:snapToGrid w:val="0"/>
        <w:spacing w:line="360" w:lineRule="auto"/>
        <w:jc w:val="left"/>
        <w:rPr>
          <w:rFonts w:ascii="宋体" w:hAnsi="宋体" w:cs="仿宋"/>
          <w:color w:val="auto"/>
          <w:sz w:val="24"/>
          <w:szCs w:val="24"/>
        </w:rPr>
      </w:pPr>
      <w:r>
        <w:rPr>
          <w:rFonts w:hint="eastAsia" w:ascii="宋体" w:hAnsi="宋体" w:cs="仿宋"/>
          <w:color w:val="auto"/>
          <w:sz w:val="24"/>
          <w:szCs w:val="24"/>
        </w:rPr>
        <w:t>1.5大空间火灾报警及消防水炮系统【立安控制器、立安信息处理主机、显示器、防火并行处理器、火灾录像机、消防炮控制器、消防泵控制器、视频矩阵切换器、视频切换器、双波段火焰探测器、光截面感烟探测器（接收器）、光截面感烟探测器（发射器）、消防炮解码器、消防炮现场控制盘、自动消防图像定位器、立安自动消防炮、消防水炮供水泵】；</w:t>
      </w:r>
    </w:p>
    <w:p>
      <w:pPr>
        <w:adjustRightInd w:val="0"/>
        <w:snapToGrid w:val="0"/>
        <w:spacing w:line="360" w:lineRule="auto"/>
        <w:jc w:val="left"/>
        <w:rPr>
          <w:rFonts w:ascii="宋体" w:hAnsi="宋体" w:cs="仿宋"/>
          <w:color w:val="auto"/>
          <w:sz w:val="24"/>
          <w:szCs w:val="24"/>
        </w:rPr>
      </w:pPr>
      <w:r>
        <w:rPr>
          <w:rFonts w:hint="eastAsia" w:ascii="宋体" w:hAnsi="宋体" w:cs="仿宋"/>
          <w:color w:val="auto"/>
          <w:sz w:val="24"/>
          <w:szCs w:val="24"/>
        </w:rPr>
        <w:t>2、维保要求</w:t>
      </w:r>
    </w:p>
    <w:p>
      <w:pPr>
        <w:adjustRightInd w:val="0"/>
        <w:snapToGrid w:val="0"/>
        <w:spacing w:line="360" w:lineRule="auto"/>
        <w:jc w:val="left"/>
        <w:rPr>
          <w:rFonts w:ascii="宋体" w:hAnsi="宋体" w:cs="仿宋"/>
          <w:color w:val="auto"/>
          <w:sz w:val="24"/>
          <w:szCs w:val="24"/>
        </w:rPr>
      </w:pPr>
      <w:r>
        <w:rPr>
          <w:rFonts w:hint="eastAsia" w:ascii="宋体" w:hAnsi="宋体" w:cs="仿宋"/>
          <w:color w:val="auto"/>
          <w:sz w:val="24"/>
          <w:szCs w:val="24"/>
        </w:rPr>
        <w:t>2.1维护保养范围：</w:t>
      </w:r>
    </w:p>
    <w:p>
      <w:pPr>
        <w:adjustRightInd w:val="0"/>
        <w:snapToGrid w:val="0"/>
        <w:spacing w:line="360" w:lineRule="auto"/>
        <w:jc w:val="left"/>
        <w:rPr>
          <w:rFonts w:ascii="宋体" w:hAnsi="宋体" w:cs="仿宋"/>
          <w:color w:val="auto"/>
          <w:sz w:val="24"/>
          <w:szCs w:val="24"/>
        </w:rPr>
      </w:pPr>
      <w:r>
        <w:rPr>
          <w:rFonts w:hint="eastAsia" w:ascii="宋体" w:hAnsi="宋体" w:cs="仿宋"/>
          <w:color w:val="auto"/>
          <w:sz w:val="24"/>
          <w:szCs w:val="24"/>
        </w:rPr>
        <w:t>（1）火灾自动报警系统（包括联动控制系统）：严格执行《火灾自动报警系统施工及验收规范》和安徽省消防监督部门的相关规定，确保消防设施正常运行；</w:t>
      </w:r>
    </w:p>
    <w:p>
      <w:pPr>
        <w:adjustRightInd w:val="0"/>
        <w:snapToGrid w:val="0"/>
        <w:spacing w:line="360" w:lineRule="auto"/>
        <w:jc w:val="left"/>
        <w:rPr>
          <w:rFonts w:ascii="宋体" w:hAnsi="宋体" w:cs="仿宋"/>
          <w:color w:val="auto"/>
          <w:sz w:val="24"/>
          <w:szCs w:val="24"/>
        </w:rPr>
      </w:pPr>
      <w:r>
        <w:rPr>
          <w:rFonts w:hint="eastAsia" w:ascii="宋体" w:hAnsi="宋体" w:cs="仿宋"/>
          <w:color w:val="auto"/>
          <w:sz w:val="24"/>
          <w:szCs w:val="24"/>
        </w:rPr>
        <w:t>（2）消火栓系统和自动喷淋系统（包括水泵系统）：严格执行《自动喷淋系统施工及验收规范》和安徽省消防监督部门的相关规定，确保消防设施正常运行；</w:t>
      </w:r>
    </w:p>
    <w:p>
      <w:pPr>
        <w:adjustRightInd w:val="0"/>
        <w:snapToGrid w:val="0"/>
        <w:spacing w:line="360" w:lineRule="auto"/>
        <w:jc w:val="left"/>
        <w:rPr>
          <w:rFonts w:ascii="宋体" w:hAnsi="宋体" w:cs="仿宋"/>
          <w:color w:val="auto"/>
          <w:sz w:val="24"/>
          <w:szCs w:val="24"/>
        </w:rPr>
      </w:pPr>
      <w:r>
        <w:rPr>
          <w:rFonts w:hint="eastAsia" w:ascii="宋体" w:hAnsi="宋体" w:cs="仿宋"/>
          <w:color w:val="auto"/>
          <w:sz w:val="24"/>
          <w:szCs w:val="24"/>
        </w:rPr>
        <w:t>（3）防排烟系统：严格执行《防烟排烟系统维护管理标准》和安徽省消防监督部门的相关规定，确保消防设施正常运行；</w:t>
      </w:r>
    </w:p>
    <w:p>
      <w:pPr>
        <w:adjustRightInd w:val="0"/>
        <w:snapToGrid w:val="0"/>
        <w:spacing w:line="360" w:lineRule="auto"/>
        <w:jc w:val="left"/>
        <w:rPr>
          <w:rFonts w:ascii="宋体" w:hAnsi="宋体" w:cs="仿宋"/>
          <w:color w:val="auto"/>
          <w:sz w:val="24"/>
          <w:szCs w:val="24"/>
        </w:rPr>
      </w:pPr>
      <w:r>
        <w:rPr>
          <w:rFonts w:hint="eastAsia" w:ascii="宋体" w:hAnsi="宋体" w:cs="仿宋"/>
          <w:color w:val="auto"/>
          <w:sz w:val="24"/>
          <w:szCs w:val="24"/>
        </w:rPr>
        <w:t>（4）大空间火灾报警及消防水炮系统：严格按照消防的相关规范要求，确保系统正常运行；</w:t>
      </w:r>
    </w:p>
    <w:p>
      <w:pPr>
        <w:adjustRightInd w:val="0"/>
        <w:snapToGrid w:val="0"/>
        <w:spacing w:line="360" w:lineRule="auto"/>
        <w:jc w:val="left"/>
        <w:rPr>
          <w:rFonts w:ascii="宋体" w:hAnsi="宋体" w:cs="仿宋"/>
          <w:color w:val="auto"/>
          <w:sz w:val="24"/>
          <w:szCs w:val="24"/>
        </w:rPr>
      </w:pPr>
      <w:r>
        <w:rPr>
          <w:rFonts w:hint="eastAsia" w:ascii="宋体" w:hAnsi="宋体" w:cs="仿宋"/>
          <w:color w:val="auto"/>
          <w:sz w:val="24"/>
          <w:szCs w:val="24"/>
        </w:rPr>
        <w:t>2.2维护保养要求：上述设备及其配套设施常态化保养与维护，确保各系统正常运行。达到报警、灭火等设计和消防检测要求。</w:t>
      </w:r>
    </w:p>
    <w:p>
      <w:pPr>
        <w:adjustRightInd w:val="0"/>
        <w:snapToGrid w:val="0"/>
        <w:spacing w:line="360" w:lineRule="auto"/>
        <w:jc w:val="left"/>
        <w:rPr>
          <w:rFonts w:ascii="宋体" w:hAnsi="宋体" w:cs="仿宋"/>
          <w:color w:val="auto"/>
          <w:sz w:val="24"/>
          <w:szCs w:val="24"/>
        </w:rPr>
      </w:pPr>
      <w:r>
        <w:rPr>
          <w:rFonts w:hint="eastAsia" w:ascii="宋体" w:hAnsi="宋体" w:cs="仿宋"/>
          <w:color w:val="auto"/>
          <w:sz w:val="24"/>
          <w:szCs w:val="24"/>
        </w:rPr>
        <w:t>突发性抢修：在接到用户设备故障抢修通知后，乙方应在2小时内到达现场（包括节假日），及时排除故障，恢复系统运行。</w:t>
      </w:r>
    </w:p>
    <w:p>
      <w:pPr>
        <w:adjustRightInd w:val="0"/>
        <w:snapToGrid w:val="0"/>
        <w:spacing w:line="360" w:lineRule="auto"/>
        <w:jc w:val="left"/>
        <w:rPr>
          <w:rFonts w:ascii="宋体" w:hAnsi="宋体" w:cs="仿宋"/>
          <w:color w:val="auto"/>
          <w:sz w:val="24"/>
          <w:szCs w:val="24"/>
        </w:rPr>
      </w:pPr>
      <w:r>
        <w:rPr>
          <w:rFonts w:hint="eastAsia" w:ascii="宋体" w:hAnsi="宋体" w:cs="仿宋"/>
          <w:color w:val="auto"/>
          <w:sz w:val="24"/>
          <w:szCs w:val="24"/>
        </w:rPr>
        <w:t>节假日维护：在国庆、元旦、春节、五一等重大节假日或甲方有重大接待任务时，乙方应提前对消防设施整体联动功能予以测试、检修，确保系统功能正常。</w:t>
      </w:r>
    </w:p>
    <w:p>
      <w:pPr>
        <w:adjustRightInd w:val="0"/>
        <w:snapToGrid w:val="0"/>
        <w:spacing w:line="360" w:lineRule="auto"/>
        <w:jc w:val="left"/>
        <w:rPr>
          <w:rFonts w:ascii="宋体" w:hAnsi="宋体" w:cs="仿宋"/>
          <w:color w:val="auto"/>
          <w:sz w:val="24"/>
          <w:szCs w:val="24"/>
        </w:rPr>
      </w:pPr>
      <w:r>
        <w:rPr>
          <w:rFonts w:hint="eastAsia" w:ascii="宋体" w:hAnsi="宋体" w:cs="仿宋"/>
          <w:color w:val="auto"/>
          <w:sz w:val="24"/>
          <w:szCs w:val="24"/>
        </w:rPr>
        <w:t>2.3维保服务响应时间及其它要求：</w:t>
      </w:r>
    </w:p>
    <w:p>
      <w:pPr>
        <w:adjustRightInd w:val="0"/>
        <w:snapToGrid w:val="0"/>
        <w:spacing w:line="360" w:lineRule="auto"/>
        <w:jc w:val="left"/>
        <w:rPr>
          <w:rFonts w:ascii="宋体" w:hAnsi="宋体" w:cs="仿宋"/>
          <w:color w:val="auto"/>
          <w:sz w:val="24"/>
          <w:szCs w:val="24"/>
        </w:rPr>
      </w:pPr>
      <w:r>
        <w:rPr>
          <w:rFonts w:hint="eastAsia" w:ascii="宋体" w:hAnsi="宋体" w:cs="仿宋"/>
          <w:color w:val="auto"/>
          <w:sz w:val="24"/>
          <w:szCs w:val="24"/>
        </w:rPr>
        <w:t>（1）上级检查、重大活动维保人员必须到现场保障服务，随时提供技术指导与服务；</w:t>
      </w:r>
    </w:p>
    <w:p>
      <w:pPr>
        <w:adjustRightInd w:val="0"/>
        <w:snapToGrid w:val="0"/>
        <w:spacing w:line="360" w:lineRule="auto"/>
        <w:jc w:val="left"/>
        <w:rPr>
          <w:rFonts w:ascii="宋体" w:hAnsi="宋体" w:cs="仿宋"/>
          <w:color w:val="auto"/>
          <w:sz w:val="24"/>
          <w:szCs w:val="24"/>
        </w:rPr>
      </w:pPr>
      <w:r>
        <w:rPr>
          <w:rFonts w:hint="eastAsia" w:ascii="宋体" w:hAnsi="宋体" w:cs="仿宋"/>
          <w:color w:val="auto"/>
          <w:sz w:val="24"/>
          <w:szCs w:val="24"/>
        </w:rPr>
        <w:t>（2）在接到甲方一般故障通知后，乙方应在3小时内派维护人员赶到现场，确保在最短时间内对系统进行修复。</w:t>
      </w:r>
    </w:p>
    <w:p>
      <w:pPr>
        <w:adjustRightInd w:val="0"/>
        <w:snapToGrid w:val="0"/>
        <w:spacing w:line="360" w:lineRule="auto"/>
        <w:jc w:val="left"/>
        <w:rPr>
          <w:rFonts w:ascii="宋体" w:hAnsi="宋体" w:cs="仿宋"/>
          <w:color w:val="auto"/>
          <w:sz w:val="24"/>
          <w:szCs w:val="24"/>
        </w:rPr>
      </w:pPr>
      <w:r>
        <w:rPr>
          <w:rFonts w:hint="eastAsia" w:ascii="宋体" w:hAnsi="宋体" w:cs="仿宋"/>
          <w:color w:val="auto"/>
          <w:sz w:val="24"/>
          <w:szCs w:val="24"/>
        </w:rPr>
        <w:t>（3）免费为甲方操作人员提供消防自动报警及联动控制系统的相关技术咨询与培训，确保其能正常操作及使用相关系统。</w:t>
      </w:r>
    </w:p>
    <w:p>
      <w:pPr>
        <w:adjustRightInd w:val="0"/>
        <w:snapToGrid w:val="0"/>
        <w:spacing w:line="360" w:lineRule="auto"/>
        <w:jc w:val="left"/>
        <w:rPr>
          <w:rFonts w:ascii="宋体" w:hAnsi="宋体" w:cs="仿宋"/>
          <w:color w:val="auto"/>
          <w:sz w:val="24"/>
          <w:szCs w:val="24"/>
        </w:rPr>
      </w:pPr>
      <w:r>
        <w:rPr>
          <w:rFonts w:hint="eastAsia" w:ascii="宋体" w:hAnsi="宋体" w:cs="仿宋"/>
          <w:color w:val="auto"/>
          <w:sz w:val="24"/>
          <w:szCs w:val="24"/>
        </w:rPr>
        <w:t>（4）协助甲方建立系统运行及使用档案。如实记录系统运行情况、检测数据、维修内容等。</w:t>
      </w:r>
    </w:p>
    <w:p>
      <w:pPr>
        <w:adjustRightInd w:val="0"/>
        <w:snapToGrid w:val="0"/>
        <w:spacing w:line="360" w:lineRule="auto"/>
        <w:jc w:val="left"/>
        <w:rPr>
          <w:rFonts w:ascii="宋体" w:hAnsi="宋体" w:cs="仿宋"/>
          <w:color w:val="auto"/>
          <w:sz w:val="24"/>
          <w:szCs w:val="24"/>
        </w:rPr>
      </w:pPr>
      <w:r>
        <w:rPr>
          <w:rFonts w:hint="eastAsia" w:ascii="宋体" w:hAnsi="宋体" w:cs="仿宋"/>
          <w:color w:val="auto"/>
          <w:sz w:val="24"/>
          <w:szCs w:val="24"/>
        </w:rPr>
        <w:t>（5）每次巡检及故障排除，填写维修单及排故报告单。由双方共同签字确认，一式二份，双方各自存档保存。</w:t>
      </w:r>
    </w:p>
    <w:p>
      <w:pPr>
        <w:adjustRightInd w:val="0"/>
        <w:snapToGrid w:val="0"/>
        <w:spacing w:line="360" w:lineRule="auto"/>
        <w:jc w:val="left"/>
        <w:rPr>
          <w:rFonts w:ascii="宋体" w:hAnsi="宋体" w:cs="仿宋"/>
          <w:color w:val="auto"/>
          <w:sz w:val="24"/>
          <w:szCs w:val="24"/>
        </w:rPr>
      </w:pPr>
      <w:r>
        <w:rPr>
          <w:rFonts w:hint="eastAsia" w:ascii="宋体" w:hAnsi="宋体" w:cs="仿宋"/>
          <w:color w:val="auto"/>
          <w:sz w:val="24"/>
          <w:szCs w:val="24"/>
        </w:rPr>
        <w:t>（6）负责软件系统更新、升级。</w:t>
      </w:r>
    </w:p>
    <w:p>
      <w:pPr>
        <w:adjustRightInd w:val="0"/>
        <w:snapToGrid w:val="0"/>
        <w:spacing w:line="360" w:lineRule="auto"/>
        <w:jc w:val="left"/>
        <w:rPr>
          <w:rFonts w:ascii="宋体" w:hAnsi="宋体" w:cs="仿宋"/>
          <w:color w:val="auto"/>
          <w:sz w:val="24"/>
          <w:szCs w:val="24"/>
        </w:rPr>
      </w:pPr>
      <w:r>
        <w:rPr>
          <w:rFonts w:hint="eastAsia" w:ascii="宋体" w:hAnsi="宋体" w:cs="仿宋"/>
          <w:color w:val="auto"/>
          <w:sz w:val="24"/>
          <w:szCs w:val="24"/>
        </w:rPr>
        <w:t>（7）建立系统维护工作中的技术资料，更新设备配置状况等档案资料。</w:t>
      </w:r>
    </w:p>
    <w:p>
      <w:pPr>
        <w:adjustRightInd w:val="0"/>
        <w:snapToGrid w:val="0"/>
        <w:spacing w:line="360" w:lineRule="auto"/>
        <w:jc w:val="left"/>
        <w:rPr>
          <w:rFonts w:ascii="宋体" w:hAnsi="宋体" w:cs="仿宋"/>
          <w:color w:val="auto"/>
          <w:sz w:val="24"/>
          <w:szCs w:val="24"/>
        </w:rPr>
      </w:pPr>
      <w:r>
        <w:rPr>
          <w:rFonts w:hint="eastAsia" w:ascii="宋体" w:hAnsi="宋体" w:cs="仿宋"/>
          <w:color w:val="auto"/>
          <w:sz w:val="24"/>
          <w:szCs w:val="24"/>
        </w:rPr>
        <w:t>（8）根据体育中心消防设施实际情况提供其他必要的专业维保服务。</w:t>
      </w:r>
    </w:p>
    <w:p>
      <w:pPr>
        <w:adjustRightInd w:val="0"/>
        <w:snapToGrid w:val="0"/>
        <w:spacing w:line="360" w:lineRule="auto"/>
        <w:jc w:val="left"/>
        <w:rPr>
          <w:rFonts w:ascii="宋体" w:hAnsi="宋体" w:cs="仿宋"/>
          <w:b/>
          <w:color w:val="auto"/>
          <w:sz w:val="24"/>
          <w:szCs w:val="24"/>
        </w:rPr>
      </w:pPr>
      <w:r>
        <w:rPr>
          <w:rFonts w:hint="eastAsia" w:ascii="宋体" w:hAnsi="宋体" w:cs="仿宋"/>
          <w:b/>
          <w:color w:val="auto"/>
          <w:sz w:val="24"/>
          <w:szCs w:val="24"/>
        </w:rPr>
        <w:t>四、项目清单</w:t>
      </w:r>
    </w:p>
    <w:p>
      <w:pPr>
        <w:adjustRightInd w:val="0"/>
        <w:snapToGrid w:val="0"/>
        <w:spacing w:line="360" w:lineRule="auto"/>
        <w:jc w:val="left"/>
        <w:rPr>
          <w:rFonts w:ascii="宋体" w:hAnsi="宋体"/>
          <w:color w:val="auto"/>
          <w:sz w:val="24"/>
        </w:rPr>
      </w:pPr>
      <w:r>
        <w:rPr>
          <w:rFonts w:hint="eastAsia" w:ascii="宋体" w:hAnsi="宋体" w:cs="仿宋"/>
          <w:color w:val="auto"/>
          <w:sz w:val="24"/>
          <w:szCs w:val="24"/>
        </w:rPr>
        <w:t>（1）合肥体育中心消防系统设备清单</w:t>
      </w:r>
    </w:p>
    <w:tbl>
      <w:tblPr>
        <w:tblStyle w:val="66"/>
        <w:tblW w:w="83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6"/>
        <w:gridCol w:w="5631"/>
        <w:gridCol w:w="19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86" w:type="dxa"/>
            <w:tcBorders>
              <w:top w:val="single" w:color="auto" w:sz="12"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hAnsi="宋体" w:cs="仿宋"/>
                <w:b/>
                <w:color w:val="auto"/>
                <w:sz w:val="24"/>
                <w:szCs w:val="24"/>
              </w:rPr>
            </w:pPr>
            <w:r>
              <w:rPr>
                <w:rFonts w:hint="eastAsia" w:ascii="宋体" w:hAnsi="宋体" w:cs="仿宋"/>
                <w:b/>
                <w:color w:val="auto"/>
                <w:sz w:val="24"/>
                <w:szCs w:val="24"/>
              </w:rPr>
              <w:t>序号</w:t>
            </w:r>
          </w:p>
        </w:tc>
        <w:tc>
          <w:tcPr>
            <w:tcW w:w="5631" w:type="dxa"/>
            <w:tcBorders>
              <w:top w:val="single" w:color="auto" w:sz="12"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仿宋"/>
                <w:b/>
                <w:color w:val="auto"/>
                <w:sz w:val="24"/>
                <w:szCs w:val="24"/>
              </w:rPr>
            </w:pPr>
            <w:r>
              <w:rPr>
                <w:rFonts w:hint="eastAsia" w:ascii="宋体" w:hAnsi="宋体" w:cs="仿宋"/>
                <w:b/>
                <w:color w:val="auto"/>
                <w:sz w:val="24"/>
                <w:szCs w:val="24"/>
              </w:rPr>
              <w:t>分项名称</w:t>
            </w:r>
          </w:p>
        </w:tc>
        <w:tc>
          <w:tcPr>
            <w:tcW w:w="1952" w:type="dxa"/>
            <w:tcBorders>
              <w:top w:val="single" w:color="auto" w:sz="12" w:space="0"/>
              <w:left w:val="single" w:color="auto" w:sz="4" w:space="0"/>
              <w:bottom w:val="single" w:color="auto" w:sz="4" w:space="0"/>
              <w:right w:val="single" w:color="auto" w:sz="12" w:space="0"/>
            </w:tcBorders>
            <w:vAlign w:val="center"/>
          </w:tcPr>
          <w:p>
            <w:pPr>
              <w:adjustRightInd w:val="0"/>
              <w:snapToGrid w:val="0"/>
              <w:spacing w:line="360" w:lineRule="auto"/>
              <w:jc w:val="center"/>
              <w:rPr>
                <w:rFonts w:ascii="宋体" w:hAnsi="宋体" w:cs="仿宋"/>
                <w:b/>
                <w:color w:val="auto"/>
                <w:sz w:val="24"/>
                <w:szCs w:val="24"/>
              </w:rPr>
            </w:pPr>
            <w:r>
              <w:rPr>
                <w:rFonts w:hint="eastAsia" w:ascii="宋体" w:hAnsi="宋体" w:cs="仿宋"/>
                <w:b/>
                <w:color w:val="auto"/>
                <w:sz w:val="24"/>
                <w:szCs w:val="24"/>
              </w:rPr>
              <w:t>备 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86"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5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火灾自动报警系统</w:t>
            </w:r>
          </w:p>
        </w:tc>
        <w:tc>
          <w:tcPr>
            <w:tcW w:w="1952"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jc w:val="center"/>
              <w:rPr>
                <w:rFonts w:ascii="宋体" w:hAnsi="宋体"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86"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2</w:t>
            </w:r>
          </w:p>
        </w:tc>
        <w:tc>
          <w:tcPr>
            <w:tcW w:w="5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消火栓系统</w:t>
            </w:r>
          </w:p>
        </w:tc>
        <w:tc>
          <w:tcPr>
            <w:tcW w:w="1952"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jc w:val="center"/>
              <w:rPr>
                <w:rFonts w:ascii="宋体" w:hAnsi="宋体"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86"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3</w:t>
            </w:r>
          </w:p>
        </w:tc>
        <w:tc>
          <w:tcPr>
            <w:tcW w:w="5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喷淋系统</w:t>
            </w:r>
          </w:p>
        </w:tc>
        <w:tc>
          <w:tcPr>
            <w:tcW w:w="1952"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jc w:val="center"/>
              <w:rPr>
                <w:rFonts w:ascii="宋体" w:hAnsi="宋体"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86"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4</w:t>
            </w:r>
          </w:p>
        </w:tc>
        <w:tc>
          <w:tcPr>
            <w:tcW w:w="5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防排烟系统</w:t>
            </w:r>
          </w:p>
        </w:tc>
        <w:tc>
          <w:tcPr>
            <w:tcW w:w="1952"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jc w:val="center"/>
              <w:rPr>
                <w:rFonts w:ascii="宋体" w:hAnsi="宋体"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86" w:type="dxa"/>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5</w:t>
            </w:r>
          </w:p>
        </w:tc>
        <w:tc>
          <w:tcPr>
            <w:tcW w:w="5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大空间火灾报警及消防水炮系统</w:t>
            </w:r>
          </w:p>
        </w:tc>
        <w:tc>
          <w:tcPr>
            <w:tcW w:w="1952" w:type="dxa"/>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jc w:val="center"/>
              <w:rPr>
                <w:rFonts w:ascii="宋体" w:hAnsi="宋体" w:cs="仿宋"/>
                <w:color w:val="auto"/>
                <w:sz w:val="24"/>
                <w:szCs w:val="24"/>
              </w:rPr>
            </w:pPr>
          </w:p>
        </w:tc>
      </w:tr>
    </w:tbl>
    <w:p>
      <w:pPr>
        <w:adjustRightInd w:val="0"/>
        <w:snapToGrid w:val="0"/>
        <w:spacing w:line="360" w:lineRule="auto"/>
        <w:rPr>
          <w:rFonts w:ascii="宋体" w:hAnsi="宋体" w:cs="仿宋"/>
          <w:color w:val="auto"/>
          <w:sz w:val="24"/>
          <w:szCs w:val="24"/>
        </w:rPr>
      </w:pPr>
      <w:r>
        <w:rPr>
          <w:rFonts w:hint="eastAsia" w:ascii="宋体" w:hAnsi="宋体" w:cs="仿宋"/>
          <w:color w:val="auto"/>
          <w:sz w:val="24"/>
          <w:szCs w:val="24"/>
        </w:rPr>
        <w:t>（2）合肥体育中心消防设备清单</w:t>
      </w:r>
    </w:p>
    <w:tbl>
      <w:tblPr>
        <w:tblStyle w:val="66"/>
        <w:tblW w:w="8437" w:type="dxa"/>
        <w:jc w:val="center"/>
        <w:tblLayout w:type="fixed"/>
        <w:tblCellMar>
          <w:top w:w="0" w:type="dxa"/>
          <w:left w:w="108" w:type="dxa"/>
          <w:bottom w:w="0" w:type="dxa"/>
          <w:right w:w="108" w:type="dxa"/>
        </w:tblCellMar>
      </w:tblPr>
      <w:tblGrid>
        <w:gridCol w:w="837"/>
        <w:gridCol w:w="3691"/>
        <w:gridCol w:w="865"/>
        <w:gridCol w:w="1056"/>
        <w:gridCol w:w="1988"/>
      </w:tblGrid>
      <w:tr>
        <w:tblPrEx>
          <w:tblCellMar>
            <w:top w:w="0" w:type="dxa"/>
            <w:left w:w="108" w:type="dxa"/>
            <w:bottom w:w="0" w:type="dxa"/>
            <w:right w:w="108" w:type="dxa"/>
          </w:tblCellMar>
        </w:tblPrEx>
        <w:trPr>
          <w:trHeight w:val="459" w:hRule="atLeast"/>
          <w:jc w:val="center"/>
        </w:trPr>
        <w:tc>
          <w:tcPr>
            <w:tcW w:w="83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b/>
                <w:color w:val="auto"/>
                <w:sz w:val="24"/>
                <w:szCs w:val="24"/>
              </w:rPr>
            </w:pPr>
            <w:r>
              <w:rPr>
                <w:rFonts w:hint="eastAsia" w:ascii="宋体" w:hAnsi="宋体" w:cs="仿宋"/>
                <w:b/>
                <w:color w:val="auto"/>
                <w:sz w:val="24"/>
                <w:szCs w:val="24"/>
              </w:rPr>
              <w:t>序号</w:t>
            </w:r>
          </w:p>
        </w:tc>
        <w:tc>
          <w:tcPr>
            <w:tcW w:w="369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b/>
                <w:color w:val="auto"/>
                <w:sz w:val="24"/>
                <w:szCs w:val="24"/>
              </w:rPr>
            </w:pPr>
            <w:r>
              <w:rPr>
                <w:rFonts w:hint="eastAsia" w:ascii="宋体" w:hAnsi="宋体" w:cs="仿宋"/>
                <w:b/>
                <w:color w:val="auto"/>
                <w:sz w:val="24"/>
                <w:szCs w:val="24"/>
              </w:rPr>
              <w:t>名 称</w:t>
            </w:r>
          </w:p>
        </w:tc>
        <w:tc>
          <w:tcPr>
            <w:tcW w:w="86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b/>
                <w:color w:val="auto"/>
                <w:sz w:val="24"/>
                <w:szCs w:val="24"/>
              </w:rPr>
            </w:pPr>
            <w:r>
              <w:rPr>
                <w:rFonts w:hint="eastAsia" w:ascii="宋体" w:hAnsi="宋体" w:cs="仿宋"/>
                <w:b/>
                <w:color w:val="auto"/>
                <w:sz w:val="24"/>
                <w:szCs w:val="24"/>
              </w:rPr>
              <w:t>单位</w:t>
            </w:r>
          </w:p>
        </w:tc>
        <w:tc>
          <w:tcPr>
            <w:tcW w:w="1056"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b/>
                <w:color w:val="auto"/>
                <w:sz w:val="24"/>
                <w:szCs w:val="24"/>
              </w:rPr>
            </w:pPr>
            <w:r>
              <w:rPr>
                <w:rFonts w:hint="eastAsia" w:ascii="宋体" w:hAnsi="宋体" w:cs="仿宋"/>
                <w:b/>
                <w:color w:val="auto"/>
                <w:sz w:val="24"/>
                <w:szCs w:val="24"/>
              </w:rPr>
              <w:t>数量</w:t>
            </w:r>
          </w:p>
        </w:tc>
        <w:tc>
          <w:tcPr>
            <w:tcW w:w="198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b/>
                <w:color w:val="auto"/>
                <w:sz w:val="24"/>
                <w:szCs w:val="24"/>
              </w:rPr>
            </w:pPr>
            <w:r>
              <w:rPr>
                <w:rFonts w:hint="eastAsia" w:ascii="宋体" w:hAnsi="宋体" w:cs="仿宋"/>
                <w:b/>
                <w:color w:val="auto"/>
                <w:sz w:val="24"/>
                <w:szCs w:val="24"/>
              </w:rPr>
              <w:t>备注</w:t>
            </w: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火灾报警控制器（联动型）</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台</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5</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2</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消防电话总机</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台</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5</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3</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广播主机</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台</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5</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4</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点型光电感烟火灾探测器</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只</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4480</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5</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点型感温火灾探测器</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只</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176</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6</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手动火灾报警按钮</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只</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210</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7</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消火栓按钮</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只</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185</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8</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输入模块</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只</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137</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9</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控制模块</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只</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108</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10</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消火栓</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个</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208</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11</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消火栓泵</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台</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2</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12</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稳压泵</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台</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2</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13</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水泵接合器</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台</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8</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14</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消防水箱</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座</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15</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喷头</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个</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13600</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16</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喷淋泵</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台</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2</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17</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稳压泵</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台</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18</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水流指示器</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个</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30</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19</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水泵接合器</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个</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8</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20</w:t>
            </w:r>
          </w:p>
        </w:tc>
        <w:tc>
          <w:tcPr>
            <w:tcW w:w="369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末端放水</w:t>
            </w:r>
          </w:p>
        </w:tc>
        <w:tc>
          <w:tcPr>
            <w:tcW w:w="86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个</w:t>
            </w:r>
          </w:p>
        </w:tc>
        <w:tc>
          <w:tcPr>
            <w:tcW w:w="1056"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32</w:t>
            </w:r>
          </w:p>
        </w:tc>
        <w:tc>
          <w:tcPr>
            <w:tcW w:w="198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21</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报警阀</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台</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16</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22</w:t>
            </w:r>
          </w:p>
        </w:tc>
        <w:tc>
          <w:tcPr>
            <w:tcW w:w="369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排烟风机</w:t>
            </w:r>
          </w:p>
        </w:tc>
        <w:tc>
          <w:tcPr>
            <w:tcW w:w="86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台</w:t>
            </w:r>
          </w:p>
        </w:tc>
        <w:tc>
          <w:tcPr>
            <w:tcW w:w="1056"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18</w:t>
            </w:r>
          </w:p>
        </w:tc>
        <w:tc>
          <w:tcPr>
            <w:tcW w:w="198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23</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正压送风机</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台</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6</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24</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自垂式百叶送风口</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个</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26</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25</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280℃排烟口（含阀）</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个</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23</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26</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立安控制器</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台</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27</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立安信息处理主机</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台</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28</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显示器</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台</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5</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29</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防火并行处理器</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台</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2</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30</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火灾录像机</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台</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31</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消防炮控制器</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台</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32</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消防泵控制盘</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台</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33</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视频矩阵切换器</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台</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34</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视频切换器</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台</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35</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双波段火焰探测器</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个</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8</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36</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光截面感烟探测器（接收器）</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个</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10</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37</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光截面感烟探测器（发射器）</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个</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36</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38</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消防炮解码器</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台</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8</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39</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消防炮现场控制盘</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个</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8</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40</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自动消防炮图像定位器</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个</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8</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59"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41</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立安自动消防炮</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台</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8</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r>
        <w:tblPrEx>
          <w:tblCellMar>
            <w:top w:w="0" w:type="dxa"/>
            <w:left w:w="108" w:type="dxa"/>
            <w:bottom w:w="0" w:type="dxa"/>
            <w:right w:w="108" w:type="dxa"/>
          </w:tblCellMar>
        </w:tblPrEx>
        <w:trPr>
          <w:trHeight w:val="467" w:hRule="atLeast"/>
          <w:jc w:val="center"/>
        </w:trPr>
        <w:tc>
          <w:tcPr>
            <w:tcW w:w="837"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42</w:t>
            </w:r>
          </w:p>
        </w:tc>
        <w:tc>
          <w:tcPr>
            <w:tcW w:w="3691"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消防水炮供水泵</w:t>
            </w:r>
          </w:p>
        </w:tc>
        <w:tc>
          <w:tcPr>
            <w:tcW w:w="865"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台</w:t>
            </w:r>
          </w:p>
        </w:tc>
        <w:tc>
          <w:tcPr>
            <w:tcW w:w="105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2</w:t>
            </w:r>
          </w:p>
        </w:tc>
        <w:tc>
          <w:tcPr>
            <w:tcW w:w="1988"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s="仿宋"/>
                <w:color w:val="auto"/>
                <w:sz w:val="24"/>
                <w:szCs w:val="24"/>
              </w:rPr>
            </w:pPr>
          </w:p>
        </w:tc>
      </w:tr>
    </w:tbl>
    <w:p>
      <w:pPr>
        <w:adjustRightInd w:val="0"/>
        <w:snapToGrid w:val="0"/>
        <w:spacing w:line="360" w:lineRule="auto"/>
        <w:rPr>
          <w:rFonts w:ascii="宋体" w:hAnsi="宋体" w:cs="仿宋"/>
          <w:color w:val="auto"/>
          <w:sz w:val="24"/>
          <w:szCs w:val="24"/>
        </w:rPr>
      </w:pPr>
      <w:r>
        <w:rPr>
          <w:rFonts w:hint="eastAsia" w:ascii="宋体" w:hAnsi="宋体" w:cs="仿宋"/>
          <w:color w:val="auto"/>
          <w:sz w:val="24"/>
          <w:szCs w:val="24"/>
        </w:rPr>
        <w:t>（3）天鹅湖全民健身中心消防设备清单</w:t>
      </w:r>
    </w:p>
    <w:tbl>
      <w:tblPr>
        <w:tblStyle w:val="66"/>
        <w:tblW w:w="8373" w:type="dxa"/>
        <w:jc w:val="center"/>
        <w:tblLayout w:type="fixed"/>
        <w:tblCellMar>
          <w:top w:w="0" w:type="dxa"/>
          <w:left w:w="108" w:type="dxa"/>
          <w:bottom w:w="0" w:type="dxa"/>
          <w:right w:w="108" w:type="dxa"/>
        </w:tblCellMar>
      </w:tblPr>
      <w:tblGrid>
        <w:gridCol w:w="867"/>
        <w:gridCol w:w="3606"/>
        <w:gridCol w:w="877"/>
        <w:gridCol w:w="1061"/>
        <w:gridCol w:w="1962"/>
      </w:tblGrid>
      <w:tr>
        <w:tblPrEx>
          <w:tblCellMar>
            <w:top w:w="0" w:type="dxa"/>
            <w:left w:w="108" w:type="dxa"/>
            <w:bottom w:w="0" w:type="dxa"/>
            <w:right w:w="108" w:type="dxa"/>
          </w:tblCellMar>
        </w:tblPrEx>
        <w:trPr>
          <w:trHeight w:val="90" w:hRule="atLeast"/>
          <w:jc w:val="center"/>
        </w:trPr>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序号</w:t>
            </w:r>
          </w:p>
        </w:tc>
        <w:tc>
          <w:tcPr>
            <w:tcW w:w="3606"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名  称</w:t>
            </w:r>
          </w:p>
        </w:tc>
        <w:tc>
          <w:tcPr>
            <w:tcW w:w="877"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单位</w:t>
            </w:r>
          </w:p>
        </w:tc>
        <w:tc>
          <w:tcPr>
            <w:tcW w:w="1061"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工程量</w:t>
            </w:r>
          </w:p>
        </w:tc>
        <w:tc>
          <w:tcPr>
            <w:tcW w:w="196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r>
              <w:rPr>
                <w:rFonts w:hint="eastAsia" w:ascii="宋体" w:hAnsi="宋体" w:cs="宋体"/>
                <w:color w:val="auto"/>
                <w:kern w:val="0"/>
                <w:sz w:val="22"/>
              </w:rPr>
              <w:t>备  注</w:t>
            </w: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感烟探测器</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只</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2</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探测器底座</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只</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3</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消防栓按钮</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只</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4</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手动报警按钮</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只</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5</w:t>
            </w:r>
          </w:p>
        </w:tc>
        <w:tc>
          <w:tcPr>
            <w:tcW w:w="3606"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声光报警器</w:t>
            </w:r>
          </w:p>
        </w:tc>
        <w:tc>
          <w:tcPr>
            <w:tcW w:w="877"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只</w:t>
            </w:r>
          </w:p>
        </w:tc>
        <w:tc>
          <w:tcPr>
            <w:tcW w:w="1061"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22"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6</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接线端子箱</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10个</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7</w:t>
            </w:r>
          </w:p>
        </w:tc>
        <w:tc>
          <w:tcPr>
            <w:tcW w:w="3606"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短路隔离器</w:t>
            </w:r>
          </w:p>
        </w:tc>
        <w:tc>
          <w:tcPr>
            <w:tcW w:w="877"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只</w:t>
            </w:r>
          </w:p>
        </w:tc>
        <w:tc>
          <w:tcPr>
            <w:tcW w:w="1061"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8</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控制模块</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只</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9</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多线模块</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只</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10</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单输入模块</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只</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11</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感温探测器</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只</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12</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消防广播</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只</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13</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电线ZR-RVS2*1.5</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M</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37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消防控制室</w:t>
            </w: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14</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回路板</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块</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15</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楼层显示器</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台</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16</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电话主机</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台</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17</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电源盘</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台</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18</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开关电源盘</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台</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19</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打印机</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台</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20</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蓄电池</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节</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21</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液晶显示盘</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台</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22</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多线控制盘</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块</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37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喷淋系统</w:t>
            </w: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23</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喷头ZSTZ-15</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只</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24</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水流指示器DN150</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只</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25</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信号蝶阀DN150</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只</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26</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镀锌钢管DN150</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M</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27</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镀锌钢管DN100</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M</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28</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球墨铸铁管dn150</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M</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29</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压力表</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30</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压力开关</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31</w:t>
            </w:r>
          </w:p>
        </w:tc>
        <w:tc>
          <w:tcPr>
            <w:tcW w:w="3606"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水力警铃</w:t>
            </w:r>
          </w:p>
        </w:tc>
        <w:tc>
          <w:tcPr>
            <w:tcW w:w="877"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p>
        </w:tc>
        <w:tc>
          <w:tcPr>
            <w:tcW w:w="1061"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32</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水力延时器</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37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消防栓系统</w:t>
            </w: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33</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65栓头</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34</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消防水带25M</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条</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35</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DN150闸阀</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只</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36</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DN100闸阀</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只</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37</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DN100止回阀</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只</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38</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DN150钢卡</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只</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39</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DN100钢卡</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只</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40</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DN150三通</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只</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41</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DN100三通</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只</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42</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灭火器3KG</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只</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43</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防火门闭门器</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套</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37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防火卷帘</w:t>
            </w: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44</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控制柜</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套</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45</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按钮开关</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套</w:t>
            </w: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rPr>
          <w:trHeight w:val="484" w:hRule="atLeast"/>
          <w:jc w:val="center"/>
        </w:trPr>
        <w:tc>
          <w:tcPr>
            <w:tcW w:w="837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应急照明</w:t>
            </w: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46</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双头应急灯</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47</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安全出口、疏散指示灯</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r>
        <w:tblPrEx>
          <w:tblCellMar>
            <w:top w:w="0" w:type="dxa"/>
            <w:left w:w="108" w:type="dxa"/>
            <w:bottom w:w="0" w:type="dxa"/>
            <w:right w:w="108" w:type="dxa"/>
          </w:tblCellMar>
        </w:tblPrEx>
        <w:trPr>
          <w:trHeight w:val="484" w:hRule="atLeast"/>
          <w:jc w:val="center"/>
        </w:trPr>
        <w:tc>
          <w:tcPr>
            <w:tcW w:w="837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通风系统</w:t>
            </w:r>
          </w:p>
        </w:tc>
      </w:tr>
      <w:tr>
        <w:tblPrEx>
          <w:tblCellMar>
            <w:top w:w="0" w:type="dxa"/>
            <w:left w:w="108" w:type="dxa"/>
            <w:bottom w:w="0" w:type="dxa"/>
            <w:right w:w="108" w:type="dxa"/>
          </w:tblCellMar>
        </w:tblPrEx>
        <w:trPr>
          <w:trHeight w:val="494" w:hRule="atLeast"/>
          <w:jc w:val="center"/>
        </w:trPr>
        <w:tc>
          <w:tcPr>
            <w:tcW w:w="867"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48</w:t>
            </w:r>
          </w:p>
        </w:tc>
        <w:tc>
          <w:tcPr>
            <w:tcW w:w="3606"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风行执行机构</w:t>
            </w:r>
          </w:p>
        </w:tc>
        <w:tc>
          <w:tcPr>
            <w:tcW w:w="877"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p>
        </w:tc>
        <w:tc>
          <w:tcPr>
            <w:tcW w:w="1061" w:type="dxa"/>
            <w:tcBorders>
              <w:top w:val="nil"/>
              <w:left w:val="nil"/>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宋体" w:hAnsi="宋体" w:cs="仿宋"/>
                <w:color w:val="auto"/>
                <w:sz w:val="24"/>
                <w:szCs w:val="24"/>
              </w:rPr>
            </w:pPr>
            <w:r>
              <w:rPr>
                <w:rFonts w:hint="eastAsia" w:ascii="宋体" w:hAnsi="宋体" w:cs="仿宋"/>
                <w:color w:val="auto"/>
                <w:sz w:val="24"/>
                <w:szCs w:val="24"/>
              </w:rPr>
              <w:t>1</w:t>
            </w:r>
          </w:p>
        </w:tc>
        <w:tc>
          <w:tcPr>
            <w:tcW w:w="196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2"/>
              </w:rPr>
            </w:pPr>
          </w:p>
        </w:tc>
      </w:tr>
    </w:tbl>
    <w:p>
      <w:pPr>
        <w:rPr>
          <w:color w:val="auto"/>
        </w:rPr>
      </w:pPr>
    </w:p>
    <w:p>
      <w:pPr>
        <w:pStyle w:val="2"/>
        <w:spacing w:line="360" w:lineRule="auto"/>
        <w:ind w:left="0" w:leftChars="0" w:firstLine="0" w:firstLineChars="0"/>
        <w:rPr>
          <w:rFonts w:ascii="宋体" w:hAnsi="宋体" w:eastAsia="宋体" w:cs="Times New Roman"/>
          <w:b/>
          <w:color w:val="auto"/>
          <w:sz w:val="24"/>
          <w:szCs w:val="28"/>
        </w:rPr>
      </w:pPr>
      <w:r>
        <w:rPr>
          <w:rFonts w:ascii="宋体" w:hAnsi="宋体" w:eastAsia="宋体" w:cs="Times New Roman"/>
          <w:b/>
          <w:color w:val="auto"/>
          <w:sz w:val="24"/>
          <w:szCs w:val="28"/>
        </w:rPr>
        <w:t>*注</w:t>
      </w:r>
      <w:r>
        <w:rPr>
          <w:rFonts w:hint="eastAsia" w:ascii="宋体" w:hAnsi="宋体" w:eastAsia="宋体" w:cs="Times New Roman"/>
          <w:b/>
          <w:color w:val="auto"/>
          <w:sz w:val="24"/>
          <w:szCs w:val="28"/>
        </w:rPr>
        <w:t>：</w:t>
      </w:r>
      <w:r>
        <w:rPr>
          <w:rFonts w:ascii="宋体" w:hAnsi="宋体" w:eastAsia="宋体" w:cs="Times New Roman"/>
          <w:b/>
          <w:color w:val="auto"/>
          <w:sz w:val="24"/>
          <w:szCs w:val="28"/>
        </w:rPr>
        <w:t>以上消防设施设备维护清单包括但不限于体育中心</w:t>
      </w:r>
      <w:r>
        <w:rPr>
          <w:rFonts w:hint="eastAsia" w:ascii="宋体" w:hAnsi="宋体" w:eastAsia="宋体" w:cs="Times New Roman"/>
          <w:b/>
          <w:color w:val="auto"/>
          <w:sz w:val="24"/>
          <w:szCs w:val="28"/>
        </w:rPr>
        <w:t>及天鹅湖全民健身中心</w:t>
      </w:r>
      <w:r>
        <w:rPr>
          <w:rFonts w:ascii="宋体" w:hAnsi="宋体" w:eastAsia="宋体" w:cs="Times New Roman"/>
          <w:b/>
          <w:color w:val="auto"/>
          <w:sz w:val="24"/>
          <w:szCs w:val="28"/>
        </w:rPr>
        <w:t>消防系统其它未注明的设施设备</w:t>
      </w:r>
      <w:r>
        <w:rPr>
          <w:rFonts w:hint="eastAsia" w:ascii="宋体" w:hAnsi="宋体" w:eastAsia="宋体" w:cs="Times New Roman"/>
          <w:b/>
          <w:color w:val="auto"/>
          <w:sz w:val="24"/>
          <w:szCs w:val="28"/>
        </w:rPr>
        <w:t>，</w:t>
      </w:r>
      <w:r>
        <w:rPr>
          <w:rFonts w:ascii="宋体" w:hAnsi="宋体" w:eastAsia="宋体" w:cs="Times New Roman"/>
          <w:b/>
          <w:color w:val="auto"/>
          <w:sz w:val="24"/>
          <w:szCs w:val="28"/>
        </w:rPr>
        <w:t>需投标人到现场</w:t>
      </w:r>
      <w:r>
        <w:rPr>
          <w:rFonts w:hint="eastAsia" w:ascii="宋体" w:hAnsi="宋体" w:eastAsia="宋体" w:cs="Times New Roman"/>
          <w:b/>
          <w:color w:val="auto"/>
          <w:sz w:val="24"/>
          <w:szCs w:val="28"/>
        </w:rPr>
        <w:t>自行踏勘，最终解释权为委托人。</w:t>
      </w:r>
    </w:p>
    <w:p>
      <w:pPr>
        <w:spacing w:line="360" w:lineRule="auto"/>
        <w:ind w:firstLine="241" w:firstLineChars="100"/>
        <w:rPr>
          <w:rFonts w:ascii="宋体" w:hAnsi="宋体"/>
          <w:b/>
          <w:color w:val="auto"/>
          <w:sz w:val="24"/>
          <w:szCs w:val="24"/>
        </w:rPr>
      </w:pPr>
      <w:r>
        <w:rPr>
          <w:rFonts w:hint="eastAsia" w:ascii="宋体" w:hAnsi="宋体"/>
          <w:b/>
          <w:color w:val="auto"/>
          <w:sz w:val="24"/>
          <w:szCs w:val="28"/>
        </w:rPr>
        <w:t>五、</w:t>
      </w:r>
      <w:r>
        <w:rPr>
          <w:rFonts w:hint="eastAsia" w:ascii="宋体" w:hAnsi="宋体"/>
          <w:b/>
          <w:color w:val="auto"/>
          <w:sz w:val="24"/>
          <w:szCs w:val="24"/>
        </w:rPr>
        <w:t>报价要求</w:t>
      </w:r>
    </w:p>
    <w:p>
      <w:pPr>
        <w:spacing w:line="500" w:lineRule="exact"/>
        <w:ind w:firstLine="470" w:firstLineChars="196"/>
        <w:rPr>
          <w:rFonts w:ascii="宋体" w:hAnsi="宋体"/>
          <w:color w:val="auto"/>
          <w:sz w:val="24"/>
          <w:szCs w:val="28"/>
        </w:rPr>
      </w:pPr>
      <w:r>
        <w:rPr>
          <w:rFonts w:hint="eastAsia" w:ascii="宋体" w:hAnsi="宋体"/>
          <w:color w:val="auto"/>
          <w:sz w:val="24"/>
          <w:szCs w:val="28"/>
        </w:rPr>
        <w:t>投标人须按此清单数量报投标总价，投标总价作为定标的依据，投标总价包含但不限于消防设备检测费、维修费、人工费、技术咨询费、设备工具使用费、交通运输费、更换设备设施的工时费、保养费、利润、税金等全部费用。投标报价总价不得高于项目概算。</w:t>
      </w:r>
    </w:p>
    <w:p>
      <w:pPr>
        <w:pStyle w:val="2"/>
        <w:spacing w:after="0" w:line="360" w:lineRule="auto"/>
        <w:ind w:left="0" w:leftChars="0" w:firstLine="354" w:firstLineChars="147"/>
        <w:rPr>
          <w:rFonts w:ascii="宋体" w:hAnsi="宋体" w:eastAsia="宋体" w:cs="Times New Roman"/>
          <w:b/>
          <w:color w:val="auto"/>
          <w:sz w:val="24"/>
          <w:szCs w:val="28"/>
        </w:rPr>
      </w:pPr>
      <w:r>
        <w:rPr>
          <w:rFonts w:hint="eastAsia" w:ascii="宋体" w:hAnsi="宋体" w:eastAsia="宋体" w:cs="Times New Roman"/>
          <w:b/>
          <w:color w:val="auto"/>
          <w:sz w:val="24"/>
          <w:szCs w:val="28"/>
        </w:rPr>
        <w:t>六. 质量要求及验收标准</w:t>
      </w:r>
    </w:p>
    <w:p>
      <w:pPr>
        <w:spacing w:line="360" w:lineRule="auto"/>
        <w:ind w:firstLine="470" w:firstLineChars="196"/>
        <w:rPr>
          <w:rFonts w:ascii="宋体" w:hAnsi="宋体"/>
          <w:color w:val="auto"/>
          <w:sz w:val="24"/>
        </w:rPr>
      </w:pPr>
      <w:r>
        <w:rPr>
          <w:rFonts w:hint="eastAsia" w:ascii="宋体" w:hAnsi="宋体"/>
          <w:color w:val="auto"/>
          <w:sz w:val="24"/>
        </w:rPr>
        <w:t>负责体育中心火灾自动报警系统等所有系统设施设备的正常运行中的维护维修等工作；</w:t>
      </w:r>
      <w:r>
        <w:rPr>
          <w:rFonts w:hint="eastAsia" w:ascii="宋体" w:hAnsi="宋体"/>
          <w:bCs/>
          <w:color w:val="auto"/>
          <w:sz w:val="24"/>
          <w:szCs w:val="24"/>
        </w:rPr>
        <w:t>按照邀标人的要求拟定消防维护维保计划并做好各项维护维保与节能工作。</w:t>
      </w:r>
    </w:p>
    <w:p>
      <w:pPr>
        <w:spacing w:line="360" w:lineRule="auto"/>
        <w:ind w:firstLine="470" w:firstLineChars="196"/>
        <w:rPr>
          <w:rFonts w:ascii="宋体" w:hAnsi="宋体"/>
          <w:color w:val="auto"/>
          <w:sz w:val="24"/>
        </w:rPr>
      </w:pPr>
      <w:r>
        <w:rPr>
          <w:rFonts w:hint="eastAsia" w:ascii="宋体" w:hAnsi="宋体"/>
          <w:color w:val="auto"/>
          <w:sz w:val="24"/>
        </w:rPr>
        <w:t>1.保持设备清洁卫生，做好维护维修运行记录，建档备查；</w:t>
      </w:r>
    </w:p>
    <w:p>
      <w:pPr>
        <w:spacing w:line="360" w:lineRule="auto"/>
        <w:ind w:firstLine="470" w:firstLineChars="196"/>
        <w:rPr>
          <w:rFonts w:ascii="宋体" w:hAnsi="宋体"/>
          <w:color w:val="auto"/>
          <w:sz w:val="24"/>
        </w:rPr>
      </w:pPr>
      <w:r>
        <w:rPr>
          <w:rFonts w:hint="eastAsia" w:ascii="宋体" w:hAnsi="宋体"/>
          <w:color w:val="auto"/>
          <w:sz w:val="24"/>
        </w:rPr>
        <w:t>2. 每年换季对设备进行1次全面检查与维护；</w:t>
      </w:r>
    </w:p>
    <w:p>
      <w:pPr>
        <w:spacing w:line="360" w:lineRule="auto"/>
        <w:ind w:firstLine="470" w:firstLineChars="196"/>
        <w:rPr>
          <w:rFonts w:ascii="宋体" w:hAnsi="宋体"/>
          <w:color w:val="auto"/>
          <w:sz w:val="24"/>
        </w:rPr>
      </w:pPr>
      <w:r>
        <w:rPr>
          <w:rFonts w:hint="eastAsia" w:ascii="宋体" w:hAnsi="宋体"/>
          <w:color w:val="auto"/>
          <w:sz w:val="24"/>
        </w:rPr>
        <w:t>3. 消防系统运行期间每个月由专业人员定时巡检，出现问题随时处理；</w:t>
      </w:r>
    </w:p>
    <w:p>
      <w:pPr>
        <w:spacing w:line="360" w:lineRule="auto"/>
        <w:ind w:firstLine="470" w:firstLineChars="196"/>
        <w:rPr>
          <w:rFonts w:hint="eastAsia" w:ascii="宋体" w:hAnsi="宋体"/>
          <w:b/>
          <w:bCs/>
          <w:color w:val="auto"/>
          <w:sz w:val="32"/>
          <w:szCs w:val="32"/>
          <w:lang w:val="zh-CN" w:eastAsia="zh-CN"/>
        </w:rPr>
      </w:pPr>
      <w:r>
        <w:rPr>
          <w:rFonts w:hint="eastAsia" w:ascii="宋体" w:hAnsi="宋体"/>
          <w:color w:val="auto"/>
          <w:sz w:val="24"/>
        </w:rPr>
        <w:t xml:space="preserve">4. </w:t>
      </w:r>
      <w:r>
        <w:rPr>
          <w:rFonts w:hint="eastAsia" w:ascii="宋体" w:hAnsi="宋体"/>
          <w:color w:val="auto"/>
          <w:sz w:val="24"/>
          <w:szCs w:val="24"/>
        </w:rPr>
        <w:t>投标人</w:t>
      </w:r>
      <w:r>
        <w:rPr>
          <w:rFonts w:hint="eastAsia" w:ascii="宋体" w:hAnsi="宋体"/>
          <w:bCs/>
          <w:color w:val="auto"/>
          <w:sz w:val="24"/>
          <w:szCs w:val="24"/>
        </w:rPr>
        <w:t>需提供维护维保方案</w:t>
      </w:r>
      <w:bookmarkEnd w:id="42"/>
      <w:bookmarkStart w:id="45" w:name="_Toc32306258"/>
      <w:bookmarkStart w:id="46" w:name="_Toc220232391"/>
      <w:r>
        <w:rPr>
          <w:rFonts w:hint="eastAsia" w:ascii="宋体" w:hAnsi="宋体"/>
          <w:bCs/>
          <w:color w:val="auto"/>
          <w:sz w:val="24"/>
          <w:szCs w:val="24"/>
        </w:rPr>
        <w:t>。</w:t>
      </w:r>
      <w:bookmarkStart w:id="47" w:name="_Toc53737992"/>
    </w:p>
    <w:p>
      <w:pPr>
        <w:keepNext/>
        <w:keepLines/>
        <w:spacing w:before="260" w:after="260" w:line="500" w:lineRule="exact"/>
        <w:ind w:firstLine="628"/>
        <w:jc w:val="center"/>
        <w:outlineLvl w:val="1"/>
        <w:rPr>
          <w:rFonts w:hint="eastAsia" w:ascii="宋体" w:hAnsi="宋体"/>
          <w:b/>
          <w:bCs/>
          <w:color w:val="auto"/>
          <w:sz w:val="32"/>
          <w:szCs w:val="32"/>
          <w:lang w:val="zh-CN" w:eastAsia="zh-CN"/>
        </w:rPr>
      </w:pPr>
    </w:p>
    <w:p>
      <w:pPr>
        <w:pStyle w:val="2"/>
        <w:rPr>
          <w:rFonts w:hint="eastAsia" w:ascii="宋体" w:hAnsi="宋体"/>
          <w:b/>
          <w:bCs/>
          <w:color w:val="auto"/>
          <w:sz w:val="32"/>
          <w:szCs w:val="32"/>
          <w:lang w:val="zh-CN" w:eastAsia="zh-CN"/>
        </w:rPr>
      </w:pPr>
    </w:p>
    <w:p>
      <w:pPr>
        <w:pStyle w:val="2"/>
        <w:rPr>
          <w:rFonts w:hint="eastAsia" w:ascii="宋体" w:hAnsi="宋体"/>
          <w:b/>
          <w:bCs/>
          <w:color w:val="auto"/>
          <w:sz w:val="32"/>
          <w:szCs w:val="32"/>
          <w:lang w:val="zh-CN" w:eastAsia="zh-CN"/>
        </w:rPr>
      </w:pPr>
    </w:p>
    <w:p>
      <w:pPr>
        <w:pStyle w:val="2"/>
        <w:rPr>
          <w:rFonts w:hint="eastAsia" w:ascii="宋体" w:hAnsi="宋体"/>
          <w:b/>
          <w:bCs/>
          <w:color w:val="auto"/>
          <w:sz w:val="32"/>
          <w:szCs w:val="32"/>
          <w:lang w:val="zh-CN" w:eastAsia="zh-CN"/>
        </w:rPr>
      </w:pPr>
    </w:p>
    <w:p>
      <w:pPr>
        <w:pStyle w:val="2"/>
        <w:rPr>
          <w:rFonts w:hint="eastAsia" w:ascii="宋体" w:hAnsi="宋体"/>
          <w:b/>
          <w:bCs/>
          <w:color w:val="auto"/>
          <w:sz w:val="32"/>
          <w:szCs w:val="32"/>
          <w:lang w:val="zh-CN" w:eastAsia="zh-CN"/>
        </w:rPr>
      </w:pPr>
    </w:p>
    <w:p>
      <w:pPr>
        <w:pStyle w:val="2"/>
        <w:rPr>
          <w:rFonts w:hint="eastAsia" w:ascii="宋体" w:hAnsi="宋体"/>
          <w:b/>
          <w:bCs/>
          <w:color w:val="auto"/>
          <w:sz w:val="32"/>
          <w:szCs w:val="32"/>
          <w:lang w:val="zh-CN" w:eastAsia="zh-CN"/>
        </w:rPr>
      </w:pPr>
    </w:p>
    <w:p>
      <w:pPr>
        <w:pStyle w:val="2"/>
        <w:rPr>
          <w:rFonts w:hint="eastAsia" w:ascii="宋体" w:hAnsi="宋体"/>
          <w:b/>
          <w:bCs/>
          <w:color w:val="auto"/>
          <w:sz w:val="32"/>
          <w:szCs w:val="32"/>
          <w:lang w:val="zh-CN" w:eastAsia="zh-CN"/>
        </w:rPr>
      </w:pPr>
    </w:p>
    <w:p>
      <w:pPr>
        <w:keepNext/>
        <w:keepLines/>
        <w:spacing w:before="260" w:after="260" w:line="500" w:lineRule="exact"/>
        <w:ind w:firstLine="628"/>
        <w:jc w:val="center"/>
        <w:outlineLvl w:val="1"/>
        <w:rPr>
          <w:rFonts w:hint="eastAsia" w:ascii="宋体" w:hAnsi="宋体"/>
          <w:b/>
          <w:bCs/>
          <w:color w:val="auto"/>
          <w:sz w:val="32"/>
          <w:szCs w:val="32"/>
          <w:lang w:val="zh-CN" w:eastAsia="zh-CN"/>
        </w:rPr>
      </w:pPr>
    </w:p>
    <w:p>
      <w:pPr>
        <w:keepNext/>
        <w:keepLines/>
        <w:spacing w:before="260" w:after="260" w:line="500" w:lineRule="exact"/>
        <w:jc w:val="center"/>
        <w:outlineLvl w:val="1"/>
        <w:rPr>
          <w:rFonts w:ascii="宋体" w:hAnsi="宋体"/>
          <w:b/>
          <w:bCs/>
          <w:color w:val="auto"/>
          <w:sz w:val="32"/>
          <w:szCs w:val="32"/>
          <w:lang w:val="zh-CN" w:eastAsia="zh-CN"/>
        </w:rPr>
      </w:pPr>
      <w:r>
        <w:rPr>
          <w:rFonts w:hint="eastAsia" w:ascii="宋体" w:hAnsi="宋体"/>
          <w:b/>
          <w:bCs/>
          <w:color w:val="auto"/>
          <w:sz w:val="32"/>
          <w:szCs w:val="32"/>
          <w:lang w:val="zh-CN" w:eastAsia="zh-CN"/>
        </w:rPr>
        <w:t>第五章 评标办法</w:t>
      </w:r>
      <w:bookmarkEnd w:id="47"/>
    </w:p>
    <w:p>
      <w:pPr>
        <w:autoSpaceDE w:val="0"/>
        <w:autoSpaceDN w:val="0"/>
        <w:adjustRightInd w:val="0"/>
        <w:spacing w:line="360" w:lineRule="auto"/>
        <w:ind w:firstLine="200"/>
        <w:jc w:val="left"/>
        <w:rPr>
          <w:rFonts w:ascii="宋体" w:hAnsi="宋体"/>
          <w:color w:val="auto"/>
          <w:sz w:val="24"/>
          <w:szCs w:val="18"/>
        </w:rPr>
      </w:pPr>
      <w:r>
        <w:rPr>
          <w:rFonts w:hint="eastAsia" w:ascii="宋体" w:hAnsi="宋体"/>
          <w:b/>
          <w:bCs/>
          <w:color w:val="auto"/>
          <w:sz w:val="24"/>
        </w:rPr>
        <w:t>1.</w:t>
      </w:r>
      <w:r>
        <w:rPr>
          <w:rFonts w:hint="eastAsia" w:ascii="宋体" w:hAnsi="宋体"/>
          <w:color w:val="auto"/>
          <w:sz w:val="24"/>
        </w:rPr>
        <w:t>为了做好</w:t>
      </w:r>
      <w:r>
        <w:rPr>
          <w:rFonts w:hint="eastAsia" w:ascii="宋体" w:hAnsi="宋体"/>
          <w:b/>
          <w:color w:val="auto"/>
          <w:sz w:val="24"/>
          <w:szCs w:val="18"/>
          <w:u w:val="single"/>
        </w:rPr>
        <w:t>合肥体育中心及天鹅湖全民健身中心2022年度消防维保服务（项目编号：2021WLBLZB00</w:t>
      </w:r>
      <w:r>
        <w:rPr>
          <w:rFonts w:hint="eastAsia" w:ascii="宋体" w:hAnsi="宋体"/>
          <w:b/>
          <w:color w:val="auto"/>
          <w:sz w:val="24"/>
          <w:szCs w:val="18"/>
          <w:u w:val="single"/>
          <w:lang w:val="en-US" w:eastAsia="zh-CN"/>
        </w:rPr>
        <w:t>98</w:t>
      </w:r>
      <w:r>
        <w:rPr>
          <w:rFonts w:hint="eastAsia" w:ascii="宋体" w:hAnsi="宋体"/>
          <w:b/>
          <w:color w:val="auto"/>
          <w:sz w:val="24"/>
          <w:szCs w:val="18"/>
          <w:u w:val="single"/>
        </w:rPr>
        <w:t>号）</w:t>
      </w:r>
      <w:r>
        <w:rPr>
          <w:rFonts w:hint="eastAsia" w:ascii="宋体" w:hAnsi="宋体"/>
          <w:color w:val="auto"/>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500" w:lineRule="exact"/>
        <w:ind w:right="-10" w:firstLine="422" w:firstLineChars="175"/>
        <w:rPr>
          <w:rFonts w:ascii="宋体" w:hAnsi="宋体"/>
          <w:color w:val="auto"/>
          <w:sz w:val="24"/>
        </w:rPr>
      </w:pPr>
      <w:r>
        <w:rPr>
          <w:rFonts w:hint="eastAsia" w:ascii="宋体" w:hAnsi="宋体"/>
          <w:b/>
          <w:bCs/>
          <w:color w:val="auto"/>
          <w:sz w:val="24"/>
        </w:rPr>
        <w:t>2.</w:t>
      </w:r>
      <w:r>
        <w:rPr>
          <w:rFonts w:hint="eastAsia" w:ascii="宋体" w:hAnsi="宋体"/>
          <w:color w:val="auto"/>
          <w:sz w:val="24"/>
        </w:rPr>
        <w:t>本次项目评标采用</w:t>
      </w:r>
      <w:r>
        <w:rPr>
          <w:rFonts w:hint="eastAsia" w:ascii="宋体" w:hAnsi="宋体"/>
          <w:color w:val="auto"/>
          <w:sz w:val="24"/>
          <w:u w:val="single"/>
        </w:rPr>
        <w:t>有效最低价法</w:t>
      </w:r>
      <w:r>
        <w:rPr>
          <w:rFonts w:hint="eastAsia" w:ascii="宋体" w:hAnsi="宋体"/>
          <w:color w:val="auto"/>
          <w:sz w:val="24"/>
        </w:rPr>
        <w:t>作为对投标人标书的比较方法。</w:t>
      </w:r>
    </w:p>
    <w:p>
      <w:pPr>
        <w:adjustRightInd w:val="0"/>
        <w:snapToGrid w:val="0"/>
        <w:spacing w:line="500" w:lineRule="exact"/>
        <w:ind w:left="-61" w:leftChars="-29" w:right="-10" w:firstLine="482" w:firstLineChars="200"/>
        <w:rPr>
          <w:rFonts w:ascii="宋体" w:hAnsi="宋体"/>
          <w:color w:val="auto"/>
          <w:sz w:val="24"/>
        </w:rPr>
      </w:pPr>
      <w:r>
        <w:rPr>
          <w:rFonts w:hint="eastAsia" w:ascii="宋体" w:hAnsi="宋体"/>
          <w:b/>
          <w:bCs/>
          <w:color w:val="auto"/>
          <w:sz w:val="24"/>
        </w:rPr>
        <w:t>3.</w:t>
      </w:r>
      <w:r>
        <w:rPr>
          <w:rFonts w:hint="eastAsia" w:ascii="宋体" w:hAnsi="宋体"/>
          <w:color w:val="auto"/>
          <w:sz w:val="24"/>
        </w:rPr>
        <w:t>本项目将依法组建不少于</w:t>
      </w:r>
      <w:r>
        <w:rPr>
          <w:rFonts w:hint="eastAsia" w:ascii="宋体" w:hAnsi="宋体"/>
          <w:b/>
          <w:color w:val="auto"/>
          <w:sz w:val="24"/>
          <w:u w:val="single"/>
        </w:rPr>
        <w:t>5</w:t>
      </w:r>
      <w:r>
        <w:rPr>
          <w:rFonts w:hint="eastAsia" w:ascii="宋体" w:hAnsi="宋体"/>
          <w:color w:val="auto"/>
          <w:sz w:val="24"/>
        </w:rPr>
        <w:t>人的评标委员会，负责本项目的评标工作。</w:t>
      </w:r>
    </w:p>
    <w:p>
      <w:pPr>
        <w:adjustRightInd w:val="0"/>
        <w:snapToGrid w:val="0"/>
        <w:spacing w:line="500" w:lineRule="exact"/>
        <w:ind w:left="-61" w:leftChars="-29" w:right="-10" w:firstLine="482" w:firstLineChars="200"/>
        <w:rPr>
          <w:rFonts w:ascii="宋体" w:hAnsi="宋体"/>
          <w:color w:val="auto"/>
          <w:sz w:val="24"/>
        </w:rPr>
      </w:pPr>
      <w:r>
        <w:rPr>
          <w:rFonts w:hint="eastAsia" w:ascii="宋体" w:hAnsi="宋体"/>
          <w:b/>
          <w:color w:val="auto"/>
          <w:sz w:val="24"/>
        </w:rPr>
        <w:t>4.</w:t>
      </w:r>
      <w:r>
        <w:rPr>
          <w:rFonts w:hint="eastAsia" w:ascii="宋体" w:hAnsi="宋体"/>
          <w:color w:val="auto"/>
          <w:sz w:val="24"/>
        </w:rPr>
        <w:t>评标委员会按照“客观公正，实事求是”的原则，评价参加本次招标的投标人所提供的产品或服务价格、性能、质量、服务及对招标文件的符合性及响应性。</w:t>
      </w:r>
    </w:p>
    <w:p>
      <w:pPr>
        <w:adjustRightInd w:val="0"/>
        <w:snapToGrid w:val="0"/>
        <w:spacing w:line="500" w:lineRule="exact"/>
        <w:ind w:right="-10" w:firstLine="482" w:firstLineChars="200"/>
        <w:rPr>
          <w:rFonts w:ascii="宋体" w:hAnsi="宋体"/>
          <w:color w:val="auto"/>
          <w:sz w:val="24"/>
        </w:rPr>
      </w:pPr>
      <w:r>
        <w:rPr>
          <w:rFonts w:hint="eastAsia" w:ascii="宋体" w:hAnsi="宋体"/>
          <w:b/>
          <w:color w:val="auto"/>
          <w:sz w:val="24"/>
        </w:rPr>
        <w:t>5.</w:t>
      </w:r>
      <w:r>
        <w:rPr>
          <w:rFonts w:hint="eastAsia" w:ascii="宋体" w:hAnsi="宋体"/>
          <w:color w:val="auto"/>
          <w:sz w:val="24"/>
        </w:rPr>
        <w:t>有效投标应符合以下原则：</w:t>
      </w:r>
    </w:p>
    <w:p>
      <w:pPr>
        <w:spacing w:line="500" w:lineRule="exact"/>
        <w:ind w:left="480" w:right="-10"/>
        <w:rPr>
          <w:rFonts w:ascii="宋体" w:hAnsi="宋体"/>
          <w:color w:val="auto"/>
          <w:sz w:val="24"/>
        </w:rPr>
      </w:pPr>
      <w:r>
        <w:rPr>
          <w:rFonts w:hint="eastAsia" w:ascii="宋体" w:hAnsi="宋体"/>
          <w:color w:val="auto"/>
          <w:sz w:val="24"/>
        </w:rPr>
        <w:t>5.1满足招标文件的实质性要求；</w:t>
      </w:r>
    </w:p>
    <w:p>
      <w:pPr>
        <w:spacing w:line="500" w:lineRule="exact"/>
        <w:ind w:left="480" w:right="-10"/>
        <w:rPr>
          <w:rFonts w:ascii="宋体" w:hAnsi="宋体"/>
          <w:color w:val="auto"/>
          <w:sz w:val="24"/>
        </w:rPr>
      </w:pPr>
      <w:r>
        <w:rPr>
          <w:rFonts w:hint="eastAsia" w:ascii="宋体" w:hAnsi="宋体"/>
          <w:color w:val="auto"/>
          <w:sz w:val="24"/>
        </w:rPr>
        <w:t>5.2无重大偏离、保留或招标人不能接受的附加条件；</w:t>
      </w:r>
    </w:p>
    <w:p>
      <w:pPr>
        <w:spacing w:line="500" w:lineRule="exact"/>
        <w:ind w:left="480" w:right="-10"/>
        <w:rPr>
          <w:rFonts w:ascii="宋体" w:hAnsi="宋体"/>
          <w:color w:val="auto"/>
          <w:sz w:val="24"/>
        </w:rPr>
      </w:pPr>
      <w:r>
        <w:rPr>
          <w:rFonts w:hint="eastAsia" w:ascii="宋体" w:hAnsi="宋体"/>
          <w:color w:val="auto"/>
          <w:sz w:val="24"/>
        </w:rPr>
        <w:t>5.3通过初审；</w:t>
      </w:r>
    </w:p>
    <w:p>
      <w:pPr>
        <w:adjustRightInd w:val="0"/>
        <w:snapToGrid w:val="0"/>
        <w:spacing w:line="500" w:lineRule="exact"/>
        <w:ind w:right="-10" w:firstLine="480" w:firstLineChars="200"/>
        <w:rPr>
          <w:rFonts w:ascii="宋体" w:hAnsi="宋体"/>
          <w:color w:val="auto"/>
          <w:sz w:val="24"/>
        </w:rPr>
      </w:pPr>
      <w:r>
        <w:rPr>
          <w:rFonts w:hint="eastAsia" w:ascii="宋体" w:hAnsi="宋体"/>
          <w:color w:val="auto"/>
          <w:sz w:val="24"/>
        </w:rPr>
        <w:t>5.4评标委员会依据招标文件认定的其他原则。</w:t>
      </w:r>
    </w:p>
    <w:p>
      <w:pPr>
        <w:adjustRightInd w:val="0"/>
        <w:snapToGrid w:val="0"/>
        <w:spacing w:line="500" w:lineRule="exact"/>
        <w:ind w:right="-10" w:firstLine="482" w:firstLineChars="200"/>
        <w:rPr>
          <w:rFonts w:ascii="宋体" w:hAnsi="宋体" w:cs="宋体-18030"/>
          <w:color w:val="auto"/>
          <w:sz w:val="24"/>
        </w:rPr>
      </w:pPr>
      <w:r>
        <w:rPr>
          <w:rFonts w:hint="eastAsia" w:ascii="宋体" w:hAnsi="宋体"/>
          <w:b/>
          <w:color w:val="auto"/>
          <w:sz w:val="24"/>
        </w:rPr>
        <w:t>6.</w:t>
      </w:r>
      <w:r>
        <w:rPr>
          <w:rFonts w:hint="eastAsia" w:ascii="宋体" w:hAnsi="宋体" w:cs="宋体-18030"/>
          <w:color w:val="auto"/>
          <w:sz w:val="24"/>
        </w:rPr>
        <w:t>评标委员会遵循公开、公平、公正和科学诚信的原则，对所有投标文件均采用相同程序和标准，进行评定。</w:t>
      </w:r>
    </w:p>
    <w:p>
      <w:pPr>
        <w:adjustRightInd w:val="0"/>
        <w:snapToGrid w:val="0"/>
        <w:spacing w:line="500" w:lineRule="exact"/>
        <w:ind w:right="-10" w:firstLine="422" w:firstLineChars="175"/>
        <w:rPr>
          <w:rFonts w:ascii="宋体" w:hAnsi="宋体"/>
          <w:color w:val="auto"/>
          <w:sz w:val="24"/>
          <w:szCs w:val="24"/>
        </w:rPr>
      </w:pPr>
      <w:r>
        <w:rPr>
          <w:rFonts w:hint="eastAsia" w:ascii="宋体" w:hAnsi="宋体" w:cs="宋体-18030"/>
          <w:b/>
          <w:color w:val="auto"/>
          <w:sz w:val="24"/>
        </w:rPr>
        <w:t>7.</w:t>
      </w:r>
      <w:r>
        <w:rPr>
          <w:rFonts w:hint="eastAsia" w:ascii="宋体" w:hAnsi="宋体"/>
          <w:color w:val="auto"/>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500" w:lineRule="exact"/>
        <w:ind w:right="-10" w:firstLine="420" w:firstLineChars="175"/>
        <w:rPr>
          <w:rFonts w:ascii="宋体" w:hAnsi="宋体"/>
          <w:color w:val="auto"/>
          <w:sz w:val="24"/>
          <w:szCs w:val="24"/>
        </w:rPr>
      </w:pPr>
      <w:r>
        <w:rPr>
          <w:rFonts w:hint="eastAsia" w:ascii="宋体" w:hAnsi="宋体"/>
          <w:color w:val="auto"/>
          <w:sz w:val="24"/>
          <w:szCs w:val="24"/>
        </w:rPr>
        <w:t>对于询标后判定的结论（如通过或不通过），评标委员会应提出充足的理由，根据招标文件给定的评审指标进行判定，并予以书面记录。</w:t>
      </w:r>
    </w:p>
    <w:p>
      <w:pPr>
        <w:adjustRightInd w:val="0"/>
        <w:snapToGrid w:val="0"/>
        <w:spacing w:line="500" w:lineRule="exact"/>
        <w:ind w:right="-10" w:firstLine="480" w:firstLineChars="200"/>
        <w:rPr>
          <w:rFonts w:ascii="宋体" w:hAnsi="宋体"/>
          <w:color w:val="auto"/>
          <w:sz w:val="24"/>
        </w:rPr>
      </w:pPr>
      <w:r>
        <w:rPr>
          <w:rFonts w:hint="eastAsia" w:ascii="宋体" w:hAnsi="宋体"/>
          <w:bCs/>
          <w:color w:val="auto"/>
          <w:sz w:val="24"/>
          <w:szCs w:val="24"/>
        </w:rPr>
        <w:t>评标委员会独立评审后，对投标人某项评审指标如有不同意见，按照少数服从多数的原则，确定该项评审指标的最终结论。</w:t>
      </w:r>
    </w:p>
    <w:p>
      <w:pPr>
        <w:adjustRightInd w:val="0"/>
        <w:snapToGrid w:val="0"/>
        <w:spacing w:line="500" w:lineRule="exact"/>
        <w:ind w:right="-10" w:firstLine="480" w:firstLineChars="200"/>
        <w:rPr>
          <w:rFonts w:ascii="宋体" w:hAnsi="宋体"/>
          <w:color w:val="auto"/>
          <w:sz w:val="24"/>
        </w:rPr>
      </w:pPr>
      <w:r>
        <w:rPr>
          <w:rFonts w:hint="eastAsia" w:ascii="宋体" w:hAnsi="宋体"/>
          <w:color w:val="auto"/>
          <w:sz w:val="24"/>
        </w:rPr>
        <w:t>8. 评标委员会按下表内容进行投标有效性评审。</w:t>
      </w:r>
    </w:p>
    <w:p>
      <w:pPr>
        <w:pStyle w:val="2"/>
        <w:rPr>
          <w:color w:val="auto"/>
        </w:rPr>
      </w:pPr>
    </w:p>
    <w:p>
      <w:pPr>
        <w:pStyle w:val="2"/>
        <w:rPr>
          <w:color w:val="auto"/>
        </w:rPr>
      </w:pPr>
    </w:p>
    <w:p>
      <w:pPr>
        <w:pStyle w:val="2"/>
        <w:rPr>
          <w:color w:val="auto"/>
        </w:rPr>
      </w:pPr>
    </w:p>
    <w:p>
      <w:pPr>
        <w:pStyle w:val="2"/>
        <w:rPr>
          <w:color w:val="auto"/>
        </w:rPr>
      </w:pPr>
    </w:p>
    <w:tbl>
      <w:tblPr>
        <w:tblStyle w:val="66"/>
        <w:tblW w:w="966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897"/>
        <w:gridCol w:w="2835"/>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663" w:type="dxa"/>
            <w:gridSpan w:val="5"/>
            <w:vAlign w:val="center"/>
          </w:tcPr>
          <w:p>
            <w:pPr>
              <w:pStyle w:val="130"/>
              <w:pBdr>
                <w:bottom w:val="none" w:color="auto" w:sz="0" w:space="0"/>
              </w:pBdr>
              <w:tabs>
                <w:tab w:val="clear" w:pos="4153"/>
                <w:tab w:val="clear" w:pos="8306"/>
              </w:tabs>
              <w:snapToGrid w:val="0"/>
              <w:spacing w:line="360" w:lineRule="auto"/>
              <w:ind w:right="-10"/>
              <w:textAlignment w:val="auto"/>
              <w:rPr>
                <w:rFonts w:ascii="宋体" w:hAnsi="宋体"/>
                <w:color w:val="auto"/>
                <w:kern w:val="2"/>
                <w:szCs w:val="24"/>
              </w:rPr>
            </w:pPr>
            <w:r>
              <w:rPr>
                <w:rFonts w:hint="eastAsia" w:ascii="宋体" w:hAnsi="宋体"/>
                <w:b/>
                <w:color w:val="auto"/>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222" w:type="dxa"/>
            <w:tcBorders>
              <w:bottom w:val="single" w:color="auto" w:sz="4" w:space="0"/>
            </w:tcBorders>
            <w:vAlign w:val="center"/>
          </w:tcPr>
          <w:p>
            <w:pPr>
              <w:adjustRightInd w:val="0"/>
              <w:snapToGrid w:val="0"/>
              <w:spacing w:line="360" w:lineRule="auto"/>
              <w:ind w:right="-10"/>
              <w:jc w:val="center"/>
              <w:rPr>
                <w:rFonts w:ascii="宋体" w:hAnsi="宋体"/>
                <w:color w:val="auto"/>
                <w:sz w:val="24"/>
              </w:rPr>
            </w:pPr>
            <w:r>
              <w:rPr>
                <w:rFonts w:hint="eastAsia" w:ascii="宋体" w:hAnsi="宋体"/>
                <w:color w:val="auto"/>
                <w:sz w:val="24"/>
              </w:rPr>
              <w:t>序号</w:t>
            </w:r>
          </w:p>
        </w:tc>
        <w:tc>
          <w:tcPr>
            <w:tcW w:w="1897" w:type="dxa"/>
            <w:tcBorders>
              <w:bottom w:val="single" w:color="auto" w:sz="4" w:space="0"/>
            </w:tcBorders>
            <w:vAlign w:val="center"/>
          </w:tcPr>
          <w:p>
            <w:pPr>
              <w:pStyle w:val="130"/>
              <w:pBdr>
                <w:bottom w:val="none" w:color="auto" w:sz="0" w:space="0"/>
              </w:pBdr>
              <w:tabs>
                <w:tab w:val="clear" w:pos="4153"/>
                <w:tab w:val="clear" w:pos="8306"/>
              </w:tabs>
              <w:snapToGrid w:val="0"/>
              <w:spacing w:line="360" w:lineRule="auto"/>
              <w:ind w:right="-10"/>
              <w:textAlignment w:val="auto"/>
              <w:rPr>
                <w:rFonts w:ascii="宋体" w:hAnsi="宋体"/>
                <w:color w:val="auto"/>
                <w:kern w:val="2"/>
                <w:szCs w:val="24"/>
              </w:rPr>
            </w:pPr>
            <w:r>
              <w:rPr>
                <w:rFonts w:hint="eastAsia" w:ascii="宋体" w:hAnsi="宋体"/>
                <w:color w:val="auto"/>
                <w:kern w:val="2"/>
                <w:szCs w:val="24"/>
              </w:rPr>
              <w:t>实质性指标名称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color w:val="auto"/>
                <w:sz w:val="24"/>
              </w:rPr>
            </w:pPr>
            <w:r>
              <w:rPr>
                <w:rFonts w:hint="eastAsia" w:ascii="宋体" w:hAnsi="宋体"/>
                <w:color w:val="auto"/>
                <w:sz w:val="24"/>
              </w:rPr>
              <w:t>指标要求</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color w:val="auto"/>
                <w:sz w:val="24"/>
              </w:rPr>
            </w:pPr>
            <w:r>
              <w:rPr>
                <w:rFonts w:hint="eastAsia" w:ascii="宋体" w:hAnsi="宋体"/>
                <w:color w:val="auto"/>
                <w:sz w:val="24"/>
              </w:rPr>
              <w:t>是否通过</w:t>
            </w:r>
          </w:p>
        </w:tc>
        <w:tc>
          <w:tcPr>
            <w:tcW w:w="2858" w:type="dxa"/>
            <w:tcBorders>
              <w:bottom w:val="single" w:color="auto" w:sz="4" w:space="0"/>
            </w:tcBorders>
            <w:vAlign w:val="center"/>
          </w:tcPr>
          <w:p>
            <w:pPr>
              <w:adjustRightInd w:val="0"/>
              <w:snapToGrid w:val="0"/>
              <w:spacing w:line="360" w:lineRule="auto"/>
              <w:ind w:right="-10"/>
              <w:jc w:val="center"/>
              <w:rPr>
                <w:rFonts w:ascii="宋体" w:hAnsi="宋体"/>
                <w:color w:val="auto"/>
                <w:sz w:val="24"/>
              </w:rPr>
            </w:pPr>
            <w:r>
              <w:rPr>
                <w:rFonts w:hint="eastAsia" w:ascii="宋体" w:hAnsi="宋体"/>
                <w:color w:val="auto"/>
                <w:sz w:val="24"/>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222" w:type="dxa"/>
            <w:tcBorders>
              <w:bottom w:val="single" w:color="auto" w:sz="4" w:space="0"/>
            </w:tcBorders>
            <w:vAlign w:val="center"/>
          </w:tcPr>
          <w:p>
            <w:pPr>
              <w:adjustRightInd w:val="0"/>
              <w:snapToGrid w:val="0"/>
              <w:spacing w:line="360" w:lineRule="auto"/>
              <w:ind w:right="-10"/>
              <w:jc w:val="center"/>
              <w:rPr>
                <w:rFonts w:ascii="宋体" w:hAnsi="宋体"/>
                <w:color w:val="auto"/>
                <w:sz w:val="24"/>
                <w:szCs w:val="24"/>
              </w:rPr>
            </w:pPr>
            <w:r>
              <w:rPr>
                <w:rFonts w:hint="eastAsia" w:ascii="宋体" w:hAnsi="宋体"/>
                <w:color w:val="auto"/>
                <w:sz w:val="24"/>
                <w:szCs w:val="24"/>
              </w:rPr>
              <w:t>1</w:t>
            </w:r>
          </w:p>
        </w:tc>
        <w:tc>
          <w:tcPr>
            <w:tcW w:w="1897" w:type="dxa"/>
            <w:tcBorders>
              <w:bottom w:val="single" w:color="auto" w:sz="4" w:space="0"/>
            </w:tcBorders>
            <w:vAlign w:val="center"/>
          </w:tcPr>
          <w:p>
            <w:pPr>
              <w:pStyle w:val="130"/>
              <w:pBdr>
                <w:bottom w:val="none" w:color="auto" w:sz="0" w:space="0"/>
              </w:pBdr>
              <w:tabs>
                <w:tab w:val="clear" w:pos="4153"/>
                <w:tab w:val="clear" w:pos="8306"/>
              </w:tabs>
              <w:snapToGrid w:val="0"/>
              <w:spacing w:line="360" w:lineRule="auto"/>
              <w:ind w:right="-10"/>
              <w:textAlignment w:val="auto"/>
              <w:rPr>
                <w:rFonts w:ascii="宋体" w:hAnsi="宋体"/>
                <w:color w:val="auto"/>
                <w:kern w:val="2"/>
                <w:szCs w:val="24"/>
              </w:rPr>
            </w:pPr>
            <w:r>
              <w:rPr>
                <w:rFonts w:hint="eastAsia" w:ascii="宋体" w:hAnsi="宋体"/>
                <w:color w:val="auto"/>
                <w:kern w:val="2"/>
                <w:szCs w:val="24"/>
              </w:rPr>
              <w:t>投标人名称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color w:val="auto"/>
                <w:sz w:val="24"/>
              </w:rPr>
            </w:pPr>
            <w:r>
              <w:rPr>
                <w:rFonts w:hint="eastAsia" w:ascii="宋体" w:hAnsi="宋体"/>
                <w:color w:val="auto"/>
                <w:sz w:val="24"/>
              </w:rPr>
              <w:t>投标人名称与营业执照单位名称一致</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color w:val="auto"/>
                <w:sz w:val="24"/>
              </w:rPr>
            </w:pPr>
          </w:p>
        </w:tc>
        <w:tc>
          <w:tcPr>
            <w:tcW w:w="2858" w:type="dxa"/>
            <w:tcBorders>
              <w:bottom w:val="single" w:color="auto" w:sz="4" w:space="0"/>
            </w:tcBorders>
            <w:vAlign w:val="center"/>
          </w:tcPr>
          <w:p>
            <w:pPr>
              <w:adjustRightInd w:val="0"/>
              <w:snapToGrid w:val="0"/>
              <w:spacing w:line="360" w:lineRule="auto"/>
              <w:ind w:right="-1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222" w:type="dxa"/>
            <w:tcBorders>
              <w:bottom w:val="single" w:color="auto" w:sz="4" w:space="0"/>
            </w:tcBorders>
            <w:vAlign w:val="center"/>
          </w:tcPr>
          <w:p>
            <w:pPr>
              <w:adjustRightInd w:val="0"/>
              <w:snapToGrid w:val="0"/>
              <w:spacing w:line="360" w:lineRule="auto"/>
              <w:ind w:right="-10"/>
              <w:jc w:val="center"/>
              <w:rPr>
                <w:rFonts w:ascii="宋体" w:hAnsi="宋体"/>
                <w:color w:val="auto"/>
                <w:sz w:val="24"/>
              </w:rPr>
            </w:pPr>
            <w:r>
              <w:rPr>
                <w:rFonts w:hint="eastAsia" w:ascii="宋体" w:hAnsi="宋体"/>
                <w:color w:val="auto"/>
                <w:sz w:val="24"/>
              </w:rPr>
              <w:t>2</w:t>
            </w:r>
          </w:p>
        </w:tc>
        <w:tc>
          <w:tcPr>
            <w:tcW w:w="1897" w:type="dxa"/>
            <w:tcBorders>
              <w:bottom w:val="single" w:color="auto" w:sz="4" w:space="0"/>
            </w:tcBorders>
            <w:vAlign w:val="center"/>
          </w:tcPr>
          <w:p>
            <w:pPr>
              <w:spacing w:line="420" w:lineRule="exact"/>
              <w:ind w:right="-11"/>
              <w:jc w:val="center"/>
              <w:rPr>
                <w:rFonts w:ascii="宋体" w:hAnsi="宋体"/>
                <w:color w:val="auto"/>
                <w:sz w:val="24"/>
                <w:szCs w:val="24"/>
              </w:rPr>
            </w:pPr>
            <w:r>
              <w:rPr>
                <w:rFonts w:hint="eastAsia" w:ascii="宋体" w:hAnsi="宋体"/>
                <w:color w:val="auto"/>
                <w:sz w:val="24"/>
                <w:szCs w:val="24"/>
              </w:rPr>
              <w:t>营业执照或事业单位法人证书</w:t>
            </w:r>
          </w:p>
        </w:tc>
        <w:tc>
          <w:tcPr>
            <w:tcW w:w="2835" w:type="dxa"/>
            <w:tcBorders>
              <w:bottom w:val="single" w:color="auto" w:sz="4" w:space="0"/>
            </w:tcBorders>
            <w:vAlign w:val="center"/>
          </w:tcPr>
          <w:p>
            <w:pPr>
              <w:spacing w:line="420" w:lineRule="exact"/>
              <w:ind w:right="-11"/>
              <w:jc w:val="center"/>
              <w:rPr>
                <w:rFonts w:ascii="宋体" w:hAnsi="宋体"/>
                <w:color w:val="auto"/>
                <w:sz w:val="24"/>
                <w:szCs w:val="24"/>
              </w:rPr>
            </w:pPr>
            <w:r>
              <w:rPr>
                <w:rFonts w:hint="eastAsia" w:ascii="宋体" w:hAnsi="宋体"/>
                <w:color w:val="auto"/>
                <w:sz w:val="24"/>
                <w:szCs w:val="24"/>
              </w:rPr>
              <w:t>合法有效</w:t>
            </w:r>
          </w:p>
        </w:tc>
        <w:tc>
          <w:tcPr>
            <w:tcW w:w="851" w:type="dxa"/>
            <w:tcBorders>
              <w:bottom w:val="single" w:color="auto" w:sz="4" w:space="0"/>
            </w:tcBorders>
            <w:vAlign w:val="center"/>
          </w:tcPr>
          <w:p>
            <w:pPr>
              <w:adjustRightInd w:val="0"/>
              <w:snapToGrid w:val="0"/>
              <w:spacing w:line="420" w:lineRule="exact"/>
              <w:ind w:right="-11"/>
              <w:jc w:val="center"/>
              <w:rPr>
                <w:rFonts w:ascii="宋体" w:hAnsi="宋体"/>
                <w:color w:val="auto"/>
                <w:sz w:val="24"/>
                <w:szCs w:val="24"/>
              </w:rPr>
            </w:pPr>
          </w:p>
        </w:tc>
        <w:tc>
          <w:tcPr>
            <w:tcW w:w="2858" w:type="dxa"/>
            <w:tcBorders>
              <w:bottom w:val="single" w:color="auto" w:sz="4" w:space="0"/>
            </w:tcBorders>
            <w:vAlign w:val="center"/>
          </w:tcPr>
          <w:p>
            <w:pPr>
              <w:adjustRightInd w:val="0"/>
              <w:snapToGrid w:val="0"/>
              <w:spacing w:line="420" w:lineRule="exact"/>
              <w:ind w:right="-11"/>
              <w:jc w:val="center"/>
              <w:rPr>
                <w:rFonts w:ascii="宋体" w:hAnsi="宋体"/>
                <w:color w:val="auto"/>
                <w:sz w:val="24"/>
                <w:szCs w:val="24"/>
              </w:rPr>
            </w:pPr>
            <w:r>
              <w:rPr>
                <w:rFonts w:hint="eastAsia" w:ascii="宋体" w:hAnsi="宋体"/>
                <w:color w:val="auto"/>
                <w:sz w:val="24"/>
                <w:szCs w:val="24"/>
              </w:rPr>
              <w:t>提供有效的营业执照（或事业单位法人证书）的扫描件</w:t>
            </w:r>
            <w:r>
              <w:rPr>
                <w:rFonts w:hint="eastAsia" w:ascii="宋体" w:hAnsi="宋体"/>
                <w:b/>
                <w:bCs/>
                <w:color w:val="auto"/>
                <w:sz w:val="24"/>
                <w:szCs w:val="24"/>
              </w:rPr>
              <w:t>，应完整的体现出营业执照</w:t>
            </w:r>
            <w:r>
              <w:rPr>
                <w:rFonts w:hint="eastAsia" w:ascii="宋体" w:hAnsi="宋体"/>
                <w:b/>
                <w:color w:val="auto"/>
                <w:sz w:val="24"/>
                <w:szCs w:val="24"/>
              </w:rPr>
              <w:t>（或事业单位法人证书）</w:t>
            </w:r>
            <w:r>
              <w:rPr>
                <w:rFonts w:hint="eastAsia" w:ascii="宋体" w:hAnsi="宋体"/>
                <w:b/>
                <w:bCs/>
                <w:color w:val="auto"/>
                <w:sz w:val="24"/>
                <w:szCs w:val="24"/>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vAlign w:val="center"/>
          </w:tcPr>
          <w:p>
            <w:pPr>
              <w:adjustRightInd w:val="0"/>
              <w:snapToGrid w:val="0"/>
              <w:spacing w:line="360" w:lineRule="auto"/>
              <w:ind w:right="-10"/>
              <w:jc w:val="center"/>
              <w:rPr>
                <w:rFonts w:ascii="宋体" w:hAnsi="宋体"/>
                <w:color w:val="auto"/>
                <w:sz w:val="24"/>
              </w:rPr>
            </w:pPr>
            <w:r>
              <w:rPr>
                <w:rFonts w:hint="eastAsia" w:ascii="宋体" w:hAnsi="宋体"/>
                <w:color w:val="auto"/>
                <w:sz w:val="24"/>
              </w:rPr>
              <w:t>3</w:t>
            </w:r>
          </w:p>
        </w:tc>
        <w:tc>
          <w:tcPr>
            <w:tcW w:w="1897" w:type="dxa"/>
            <w:vAlign w:val="center"/>
          </w:tcPr>
          <w:p>
            <w:pPr>
              <w:spacing w:after="50" w:line="360" w:lineRule="auto"/>
              <w:ind w:right="-10"/>
              <w:jc w:val="center"/>
              <w:rPr>
                <w:rFonts w:ascii="宋体" w:hAnsi="宋体"/>
                <w:color w:val="auto"/>
                <w:sz w:val="24"/>
                <w:szCs w:val="28"/>
              </w:rPr>
            </w:pPr>
            <w:r>
              <w:rPr>
                <w:rFonts w:hint="eastAsia" w:ascii="宋体" w:hAnsi="宋体"/>
                <w:color w:val="auto"/>
                <w:sz w:val="24"/>
                <w:szCs w:val="28"/>
              </w:rPr>
              <w:t>投标函</w:t>
            </w:r>
          </w:p>
        </w:tc>
        <w:tc>
          <w:tcPr>
            <w:tcW w:w="2835" w:type="dxa"/>
            <w:vAlign w:val="center"/>
          </w:tcPr>
          <w:p>
            <w:pPr>
              <w:spacing w:after="50" w:line="360" w:lineRule="auto"/>
              <w:ind w:right="-10"/>
              <w:jc w:val="center"/>
              <w:rPr>
                <w:rFonts w:ascii="宋体" w:hAnsi="宋体"/>
                <w:color w:val="auto"/>
                <w:sz w:val="24"/>
                <w:szCs w:val="28"/>
              </w:rPr>
            </w:pPr>
            <w:r>
              <w:rPr>
                <w:rFonts w:hint="eastAsia" w:ascii="宋体" w:hAnsi="宋体"/>
                <w:color w:val="auto"/>
                <w:sz w:val="24"/>
                <w:szCs w:val="28"/>
              </w:rPr>
              <w:t>符合招标文件要求</w:t>
            </w:r>
          </w:p>
        </w:tc>
        <w:tc>
          <w:tcPr>
            <w:tcW w:w="851" w:type="dxa"/>
            <w:vAlign w:val="center"/>
          </w:tcPr>
          <w:p>
            <w:pPr>
              <w:adjustRightInd w:val="0"/>
              <w:snapToGrid w:val="0"/>
              <w:spacing w:line="360" w:lineRule="auto"/>
              <w:ind w:right="-10"/>
              <w:jc w:val="center"/>
              <w:rPr>
                <w:rFonts w:ascii="宋体" w:hAnsi="宋体"/>
                <w:color w:val="auto"/>
                <w:sz w:val="24"/>
              </w:rPr>
            </w:pPr>
          </w:p>
        </w:tc>
        <w:tc>
          <w:tcPr>
            <w:tcW w:w="2858" w:type="dxa"/>
            <w:vAlign w:val="center"/>
          </w:tcPr>
          <w:p>
            <w:pPr>
              <w:adjustRightInd w:val="0"/>
              <w:snapToGrid w:val="0"/>
              <w:spacing w:line="360" w:lineRule="auto"/>
              <w:ind w:right="-10"/>
              <w:jc w:val="center"/>
              <w:rPr>
                <w:rFonts w:ascii="宋体" w:hAnsi="宋体"/>
                <w:color w:val="auto"/>
                <w:sz w:val="24"/>
              </w:rPr>
            </w:pPr>
            <w:r>
              <w:rPr>
                <w:rFonts w:hint="eastAsia" w:ascii="宋体" w:hAnsi="宋体"/>
                <w:color w:val="auto"/>
                <w:sz w:val="24"/>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222" w:type="dxa"/>
            <w:vAlign w:val="center"/>
          </w:tcPr>
          <w:p>
            <w:pPr>
              <w:adjustRightInd w:val="0"/>
              <w:snapToGrid w:val="0"/>
              <w:spacing w:line="360" w:lineRule="auto"/>
              <w:ind w:right="-10"/>
              <w:jc w:val="center"/>
              <w:rPr>
                <w:rFonts w:ascii="宋体" w:hAnsi="宋体"/>
                <w:color w:val="auto"/>
                <w:sz w:val="24"/>
              </w:rPr>
            </w:pPr>
            <w:r>
              <w:rPr>
                <w:rFonts w:hint="eastAsia" w:ascii="宋体" w:hAnsi="宋体"/>
                <w:color w:val="auto"/>
                <w:sz w:val="24"/>
              </w:rPr>
              <w:t>4</w:t>
            </w:r>
          </w:p>
        </w:tc>
        <w:tc>
          <w:tcPr>
            <w:tcW w:w="1897" w:type="dxa"/>
            <w:vAlign w:val="center"/>
          </w:tcPr>
          <w:p>
            <w:pPr>
              <w:spacing w:after="50" w:line="360" w:lineRule="auto"/>
              <w:ind w:right="-10"/>
              <w:jc w:val="center"/>
              <w:rPr>
                <w:rFonts w:ascii="宋体" w:hAnsi="宋体"/>
                <w:color w:val="auto"/>
                <w:sz w:val="24"/>
                <w:szCs w:val="28"/>
              </w:rPr>
            </w:pPr>
            <w:r>
              <w:rPr>
                <w:rFonts w:hint="eastAsia" w:ascii="宋体" w:hAnsi="宋体"/>
                <w:color w:val="auto"/>
                <w:sz w:val="24"/>
                <w:szCs w:val="28"/>
              </w:rPr>
              <w:t>投标授权书</w:t>
            </w:r>
          </w:p>
        </w:tc>
        <w:tc>
          <w:tcPr>
            <w:tcW w:w="2835" w:type="dxa"/>
            <w:vAlign w:val="center"/>
          </w:tcPr>
          <w:p>
            <w:pPr>
              <w:spacing w:after="50" w:line="360" w:lineRule="auto"/>
              <w:ind w:right="-10"/>
              <w:jc w:val="center"/>
              <w:rPr>
                <w:rFonts w:ascii="宋体" w:hAnsi="宋体"/>
                <w:color w:val="auto"/>
                <w:sz w:val="24"/>
                <w:szCs w:val="28"/>
              </w:rPr>
            </w:pPr>
            <w:r>
              <w:rPr>
                <w:rFonts w:hint="eastAsia" w:ascii="宋体" w:hAnsi="宋体"/>
                <w:color w:val="auto"/>
                <w:sz w:val="24"/>
                <w:szCs w:val="28"/>
              </w:rPr>
              <w:t>符合招标文件要求</w:t>
            </w:r>
          </w:p>
        </w:tc>
        <w:tc>
          <w:tcPr>
            <w:tcW w:w="851" w:type="dxa"/>
            <w:vAlign w:val="center"/>
          </w:tcPr>
          <w:p>
            <w:pPr>
              <w:adjustRightInd w:val="0"/>
              <w:snapToGrid w:val="0"/>
              <w:spacing w:line="360" w:lineRule="auto"/>
              <w:ind w:right="-10"/>
              <w:jc w:val="center"/>
              <w:rPr>
                <w:rFonts w:ascii="宋体" w:hAnsi="宋体"/>
                <w:color w:val="auto"/>
                <w:sz w:val="24"/>
              </w:rPr>
            </w:pPr>
          </w:p>
        </w:tc>
        <w:tc>
          <w:tcPr>
            <w:tcW w:w="2858" w:type="dxa"/>
            <w:vAlign w:val="center"/>
          </w:tcPr>
          <w:p>
            <w:pPr>
              <w:adjustRightInd w:val="0"/>
              <w:snapToGrid w:val="0"/>
              <w:spacing w:line="360" w:lineRule="auto"/>
              <w:ind w:right="-10"/>
              <w:jc w:val="center"/>
              <w:rPr>
                <w:rFonts w:ascii="宋体" w:hAnsi="宋体"/>
                <w:b/>
                <w:color w:val="auto"/>
                <w:sz w:val="24"/>
              </w:rPr>
            </w:pPr>
            <w:r>
              <w:rPr>
                <w:rFonts w:hint="eastAsia" w:ascii="宋体" w:hAnsi="宋体"/>
                <w:color w:val="auto"/>
                <w:sz w:val="24"/>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vAlign w:val="center"/>
          </w:tcPr>
          <w:p>
            <w:pPr>
              <w:adjustRightInd w:val="0"/>
              <w:snapToGrid w:val="0"/>
              <w:spacing w:line="360" w:lineRule="auto"/>
              <w:ind w:right="-10"/>
              <w:jc w:val="center"/>
              <w:rPr>
                <w:rFonts w:ascii="宋体" w:hAnsi="宋体"/>
                <w:color w:val="auto"/>
                <w:sz w:val="24"/>
              </w:rPr>
            </w:pPr>
            <w:r>
              <w:rPr>
                <w:rFonts w:hint="eastAsia" w:ascii="宋体" w:hAnsi="宋体"/>
                <w:color w:val="auto"/>
                <w:sz w:val="24"/>
              </w:rPr>
              <w:t>5</w:t>
            </w:r>
          </w:p>
        </w:tc>
        <w:tc>
          <w:tcPr>
            <w:tcW w:w="1897" w:type="dxa"/>
            <w:vAlign w:val="center"/>
          </w:tcPr>
          <w:p>
            <w:pPr>
              <w:spacing w:after="50" w:line="360" w:lineRule="auto"/>
              <w:ind w:right="-10"/>
              <w:jc w:val="center"/>
              <w:rPr>
                <w:rFonts w:ascii="宋体" w:hAnsi="宋体"/>
                <w:color w:val="auto"/>
                <w:sz w:val="24"/>
                <w:szCs w:val="24"/>
              </w:rPr>
            </w:pPr>
            <w:r>
              <w:rPr>
                <w:rFonts w:hint="eastAsia" w:ascii="宋体" w:hAnsi="宋体"/>
                <w:color w:val="auto"/>
                <w:sz w:val="24"/>
                <w:szCs w:val="28"/>
              </w:rPr>
              <w:t>投标人信用记录证明材料</w:t>
            </w:r>
          </w:p>
        </w:tc>
        <w:tc>
          <w:tcPr>
            <w:tcW w:w="2835" w:type="dxa"/>
            <w:vAlign w:val="center"/>
          </w:tcPr>
          <w:p>
            <w:pPr>
              <w:spacing w:after="50" w:line="360" w:lineRule="auto"/>
              <w:ind w:right="-10"/>
              <w:jc w:val="center"/>
              <w:rPr>
                <w:rFonts w:ascii="宋体" w:hAnsi="宋体"/>
                <w:color w:val="auto"/>
                <w:sz w:val="24"/>
                <w:szCs w:val="24"/>
              </w:rPr>
            </w:pPr>
            <w:r>
              <w:rPr>
                <w:rFonts w:hint="eastAsia" w:ascii="宋体" w:hAnsi="宋体"/>
                <w:color w:val="auto"/>
                <w:sz w:val="24"/>
                <w:szCs w:val="24"/>
              </w:rPr>
              <w:t>符合招标文件要求</w:t>
            </w:r>
          </w:p>
        </w:tc>
        <w:tc>
          <w:tcPr>
            <w:tcW w:w="851" w:type="dxa"/>
            <w:vAlign w:val="center"/>
          </w:tcPr>
          <w:p>
            <w:pPr>
              <w:adjustRightInd w:val="0"/>
              <w:snapToGrid w:val="0"/>
              <w:spacing w:line="360" w:lineRule="auto"/>
              <w:ind w:right="-10"/>
              <w:jc w:val="center"/>
              <w:rPr>
                <w:rFonts w:ascii="宋体" w:hAnsi="宋体"/>
                <w:color w:val="auto"/>
                <w:sz w:val="24"/>
                <w:szCs w:val="24"/>
              </w:rPr>
            </w:pPr>
          </w:p>
        </w:tc>
        <w:tc>
          <w:tcPr>
            <w:tcW w:w="2858" w:type="dxa"/>
            <w:vAlign w:val="center"/>
          </w:tcPr>
          <w:p>
            <w:pPr>
              <w:adjustRightInd w:val="0"/>
              <w:snapToGrid w:val="0"/>
              <w:spacing w:line="360" w:lineRule="auto"/>
              <w:ind w:right="-10"/>
              <w:jc w:val="center"/>
              <w:rPr>
                <w:rFonts w:ascii="宋体" w:hAnsi="宋体"/>
                <w:color w:val="auto"/>
                <w:sz w:val="24"/>
                <w:szCs w:val="24"/>
              </w:rPr>
            </w:pPr>
            <w:r>
              <w:rPr>
                <w:rFonts w:hint="eastAsia" w:ascii="宋体" w:hAnsi="宋体"/>
                <w:color w:val="auto"/>
                <w:sz w:val="24"/>
              </w:rPr>
              <w:t>提供信用记录证明材料扫描件，</w:t>
            </w:r>
            <w:r>
              <w:rPr>
                <w:rFonts w:hint="eastAsia" w:ascii="宋体" w:hAnsi="宋体"/>
                <w:color w:val="auto"/>
                <w:sz w:val="24"/>
                <w:szCs w:val="24"/>
              </w:rPr>
              <w:t>详见第七章响应文件格式</w:t>
            </w:r>
            <w:r>
              <w:rPr>
                <w:rFonts w:hint="eastAsia" w:ascii="宋体" w:hAnsi="宋体"/>
                <w:color w:val="auto"/>
                <w:sz w:val="24"/>
              </w:rPr>
              <w:t>“</w:t>
            </w:r>
            <w:r>
              <w:rPr>
                <w:rFonts w:hint="eastAsia" w:ascii="宋体" w:hAnsi="宋体"/>
                <w:color w:val="auto"/>
                <w:sz w:val="24"/>
                <w:szCs w:val="24"/>
              </w:rPr>
              <w:t>投标人信用承诺</w:t>
            </w:r>
            <w:r>
              <w:rPr>
                <w:rFonts w:hint="eastAsia" w:ascii="宋体" w:hAnsi="宋体"/>
                <w:color w:val="auto"/>
                <w:sz w:val="24"/>
              </w:rPr>
              <w:t>”</w:t>
            </w:r>
            <w:r>
              <w:rPr>
                <w:rFonts w:hint="eastAsia" w:ascii="宋体" w:hAnsi="宋体"/>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vAlign w:val="center"/>
          </w:tcPr>
          <w:p>
            <w:pPr>
              <w:adjustRightInd w:val="0"/>
              <w:snapToGrid w:val="0"/>
              <w:spacing w:line="360" w:lineRule="auto"/>
              <w:ind w:right="-10"/>
              <w:jc w:val="center"/>
              <w:rPr>
                <w:rFonts w:ascii="宋体" w:hAnsi="宋体"/>
                <w:color w:val="auto"/>
                <w:sz w:val="24"/>
              </w:rPr>
            </w:pPr>
            <w:r>
              <w:rPr>
                <w:rFonts w:hint="eastAsia" w:ascii="宋体" w:hAnsi="宋体"/>
                <w:color w:val="auto"/>
                <w:sz w:val="24"/>
              </w:rPr>
              <w:t>6</w:t>
            </w:r>
          </w:p>
        </w:tc>
        <w:tc>
          <w:tcPr>
            <w:tcW w:w="1897" w:type="dxa"/>
            <w:vAlign w:val="center"/>
          </w:tcPr>
          <w:p>
            <w:pPr>
              <w:spacing w:after="50" w:line="360" w:lineRule="auto"/>
              <w:ind w:right="-10"/>
              <w:jc w:val="center"/>
              <w:rPr>
                <w:rFonts w:ascii="宋体" w:hAnsi="宋体"/>
                <w:color w:val="auto"/>
                <w:sz w:val="24"/>
              </w:rPr>
            </w:pPr>
            <w:r>
              <w:rPr>
                <w:rFonts w:hint="eastAsia" w:ascii="宋体" w:hAnsi="宋体"/>
                <w:color w:val="auto"/>
                <w:sz w:val="24"/>
              </w:rPr>
              <w:t>开标一览表</w:t>
            </w:r>
          </w:p>
        </w:tc>
        <w:tc>
          <w:tcPr>
            <w:tcW w:w="2835" w:type="dxa"/>
            <w:vAlign w:val="center"/>
          </w:tcPr>
          <w:p>
            <w:pPr>
              <w:spacing w:after="50" w:line="360" w:lineRule="auto"/>
              <w:ind w:right="-10"/>
              <w:jc w:val="center"/>
              <w:rPr>
                <w:rFonts w:ascii="宋体" w:hAnsi="宋体"/>
                <w:color w:val="auto"/>
                <w:sz w:val="24"/>
              </w:rPr>
            </w:pPr>
            <w:r>
              <w:rPr>
                <w:rFonts w:hint="eastAsia" w:ascii="宋体" w:hAnsi="宋体"/>
                <w:color w:val="auto"/>
                <w:sz w:val="24"/>
                <w:szCs w:val="28"/>
              </w:rPr>
              <w:t>符合招标文件要求</w:t>
            </w:r>
          </w:p>
        </w:tc>
        <w:tc>
          <w:tcPr>
            <w:tcW w:w="851" w:type="dxa"/>
            <w:vAlign w:val="center"/>
          </w:tcPr>
          <w:p>
            <w:pPr>
              <w:adjustRightInd w:val="0"/>
              <w:snapToGrid w:val="0"/>
              <w:spacing w:line="360" w:lineRule="auto"/>
              <w:ind w:right="-10"/>
              <w:jc w:val="center"/>
              <w:rPr>
                <w:rFonts w:ascii="宋体" w:hAnsi="宋体"/>
                <w:color w:val="auto"/>
                <w:sz w:val="24"/>
              </w:rPr>
            </w:pPr>
          </w:p>
        </w:tc>
        <w:tc>
          <w:tcPr>
            <w:tcW w:w="2858" w:type="dxa"/>
            <w:vAlign w:val="center"/>
          </w:tcPr>
          <w:p>
            <w:pPr>
              <w:adjustRightInd w:val="0"/>
              <w:snapToGrid w:val="0"/>
              <w:spacing w:line="360" w:lineRule="auto"/>
              <w:ind w:right="-10"/>
              <w:jc w:val="center"/>
              <w:rPr>
                <w:rFonts w:ascii="宋体" w:hAnsi="宋体"/>
                <w:color w:val="auto"/>
                <w:sz w:val="24"/>
              </w:rPr>
            </w:pPr>
            <w:r>
              <w:rPr>
                <w:rFonts w:hint="eastAsia" w:ascii="宋体" w:hAnsi="宋体"/>
                <w:color w:val="auto"/>
                <w:sz w:val="24"/>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vAlign w:val="center"/>
          </w:tcPr>
          <w:p>
            <w:pPr>
              <w:adjustRightInd w:val="0"/>
              <w:snapToGrid w:val="0"/>
              <w:spacing w:line="360" w:lineRule="auto"/>
              <w:ind w:right="-10"/>
              <w:jc w:val="center"/>
              <w:rPr>
                <w:rFonts w:ascii="宋体" w:hAnsi="宋体"/>
                <w:color w:val="auto"/>
                <w:sz w:val="24"/>
              </w:rPr>
            </w:pPr>
            <w:r>
              <w:rPr>
                <w:rFonts w:hint="eastAsia" w:ascii="宋体" w:hAnsi="宋体"/>
                <w:color w:val="auto"/>
                <w:sz w:val="24"/>
              </w:rPr>
              <w:t>7</w:t>
            </w:r>
          </w:p>
        </w:tc>
        <w:tc>
          <w:tcPr>
            <w:tcW w:w="1897" w:type="dxa"/>
            <w:vAlign w:val="center"/>
          </w:tcPr>
          <w:p>
            <w:pPr>
              <w:spacing w:after="50" w:line="360" w:lineRule="auto"/>
              <w:ind w:right="-10"/>
              <w:jc w:val="center"/>
              <w:rPr>
                <w:rFonts w:ascii="宋体" w:hAnsi="宋体"/>
                <w:color w:val="auto"/>
                <w:sz w:val="24"/>
                <w:szCs w:val="28"/>
              </w:rPr>
            </w:pPr>
            <w:r>
              <w:rPr>
                <w:rFonts w:hint="eastAsia" w:ascii="宋体" w:hAnsi="宋体"/>
                <w:color w:val="auto"/>
                <w:sz w:val="24"/>
                <w:szCs w:val="28"/>
              </w:rPr>
              <w:t>投标报价</w:t>
            </w:r>
          </w:p>
        </w:tc>
        <w:tc>
          <w:tcPr>
            <w:tcW w:w="2835" w:type="dxa"/>
            <w:vAlign w:val="center"/>
          </w:tcPr>
          <w:p>
            <w:pPr>
              <w:spacing w:after="50" w:line="360" w:lineRule="auto"/>
              <w:ind w:right="-10"/>
              <w:jc w:val="center"/>
              <w:rPr>
                <w:rFonts w:ascii="宋体" w:hAnsi="宋体"/>
                <w:bCs/>
                <w:color w:val="auto"/>
                <w:sz w:val="24"/>
              </w:rPr>
            </w:pPr>
            <w:r>
              <w:rPr>
                <w:rFonts w:hint="eastAsia" w:ascii="宋体" w:hAnsi="宋体"/>
                <w:color w:val="auto"/>
                <w:sz w:val="24"/>
                <w:szCs w:val="28"/>
              </w:rPr>
              <w:t>符合招标文件要求</w:t>
            </w:r>
          </w:p>
        </w:tc>
        <w:tc>
          <w:tcPr>
            <w:tcW w:w="851" w:type="dxa"/>
            <w:vAlign w:val="center"/>
          </w:tcPr>
          <w:p>
            <w:pPr>
              <w:adjustRightInd w:val="0"/>
              <w:snapToGrid w:val="0"/>
              <w:spacing w:line="360" w:lineRule="auto"/>
              <w:ind w:right="-10"/>
              <w:jc w:val="center"/>
              <w:rPr>
                <w:rFonts w:ascii="宋体" w:hAnsi="宋体"/>
                <w:color w:val="auto"/>
                <w:sz w:val="24"/>
              </w:rPr>
            </w:pPr>
          </w:p>
        </w:tc>
        <w:tc>
          <w:tcPr>
            <w:tcW w:w="2858" w:type="dxa"/>
            <w:vAlign w:val="center"/>
          </w:tcPr>
          <w:p>
            <w:pPr>
              <w:adjustRightInd w:val="0"/>
              <w:snapToGrid w:val="0"/>
              <w:spacing w:line="360" w:lineRule="auto"/>
              <w:ind w:right="-1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222" w:type="dxa"/>
            <w:vAlign w:val="center"/>
          </w:tcPr>
          <w:p>
            <w:pPr>
              <w:adjustRightInd w:val="0"/>
              <w:snapToGrid w:val="0"/>
              <w:spacing w:line="360" w:lineRule="auto"/>
              <w:ind w:right="-10"/>
              <w:jc w:val="center"/>
              <w:rPr>
                <w:rFonts w:ascii="宋体" w:hAnsi="宋体"/>
                <w:color w:val="auto"/>
                <w:sz w:val="24"/>
              </w:rPr>
            </w:pPr>
            <w:r>
              <w:rPr>
                <w:rFonts w:hint="eastAsia" w:ascii="宋体" w:hAnsi="宋体"/>
                <w:color w:val="auto"/>
                <w:sz w:val="24"/>
              </w:rPr>
              <w:t>8</w:t>
            </w:r>
          </w:p>
        </w:tc>
        <w:tc>
          <w:tcPr>
            <w:tcW w:w="1897" w:type="dxa"/>
            <w:vAlign w:val="center"/>
          </w:tcPr>
          <w:p>
            <w:pPr>
              <w:autoSpaceDE w:val="0"/>
              <w:autoSpaceDN w:val="0"/>
              <w:adjustRightInd w:val="0"/>
              <w:spacing w:line="430" w:lineRule="exact"/>
              <w:ind w:firstLine="200"/>
              <w:jc w:val="left"/>
              <w:rPr>
                <w:rFonts w:ascii="宋体" w:hAnsi="宋体"/>
                <w:color w:val="auto"/>
                <w:sz w:val="24"/>
                <w:szCs w:val="24"/>
              </w:rPr>
            </w:pPr>
            <w:r>
              <w:rPr>
                <w:rFonts w:hint="eastAsia" w:ascii="宋体" w:hAnsi="宋体"/>
                <w:color w:val="auto"/>
                <w:sz w:val="24"/>
                <w:szCs w:val="24"/>
              </w:rPr>
              <w:t>投标人资格</w:t>
            </w:r>
          </w:p>
        </w:tc>
        <w:tc>
          <w:tcPr>
            <w:tcW w:w="2835" w:type="dxa"/>
            <w:vAlign w:val="center"/>
          </w:tcPr>
          <w:p>
            <w:pPr>
              <w:spacing w:line="420" w:lineRule="exact"/>
              <w:ind w:right="-11"/>
              <w:jc w:val="center"/>
              <w:rPr>
                <w:rFonts w:ascii="宋体" w:hAnsi="宋体"/>
                <w:color w:val="auto"/>
                <w:sz w:val="24"/>
                <w:szCs w:val="24"/>
              </w:rPr>
            </w:pPr>
            <w:r>
              <w:rPr>
                <w:rFonts w:hint="eastAsia" w:ascii="宋体" w:hAnsi="宋体"/>
                <w:color w:val="auto"/>
                <w:sz w:val="24"/>
                <w:szCs w:val="24"/>
              </w:rPr>
              <w:t>符合招标文件要求</w:t>
            </w:r>
          </w:p>
        </w:tc>
        <w:tc>
          <w:tcPr>
            <w:tcW w:w="851" w:type="dxa"/>
            <w:vAlign w:val="center"/>
          </w:tcPr>
          <w:p>
            <w:pPr>
              <w:adjustRightInd w:val="0"/>
              <w:snapToGrid w:val="0"/>
              <w:spacing w:line="360" w:lineRule="auto"/>
              <w:ind w:right="-10"/>
              <w:jc w:val="center"/>
              <w:rPr>
                <w:rFonts w:ascii="宋体" w:hAnsi="宋体"/>
                <w:color w:val="auto"/>
                <w:sz w:val="24"/>
              </w:rPr>
            </w:pPr>
          </w:p>
        </w:tc>
        <w:tc>
          <w:tcPr>
            <w:tcW w:w="2858" w:type="dxa"/>
            <w:vAlign w:val="center"/>
          </w:tcPr>
          <w:p>
            <w:pPr>
              <w:adjustRightInd w:val="0"/>
              <w:snapToGrid w:val="0"/>
              <w:spacing w:line="360" w:lineRule="auto"/>
              <w:ind w:right="-10"/>
              <w:rPr>
                <w:rFonts w:ascii="宋体" w:hAnsi="宋体"/>
                <w:bCs/>
                <w:color w:val="auto"/>
                <w:sz w:val="24"/>
                <w:szCs w:val="24"/>
              </w:rPr>
            </w:pPr>
            <w:r>
              <w:rPr>
                <w:rFonts w:hint="eastAsia" w:ascii="宋体" w:hAnsi="宋体"/>
                <w:color w:val="auto"/>
                <w:sz w:val="24"/>
                <w:szCs w:val="24"/>
              </w:rPr>
              <w:t>详见第一章投标邀请</w:t>
            </w:r>
            <w:r>
              <w:rPr>
                <w:rFonts w:hint="eastAsia" w:ascii="宋体" w:hAnsi="宋体"/>
                <w:color w:val="auto"/>
                <w:sz w:val="24"/>
              </w:rPr>
              <w:t>“</w:t>
            </w:r>
            <w:r>
              <w:rPr>
                <w:rFonts w:hint="eastAsia" w:ascii="宋体" w:hAnsi="宋体"/>
                <w:color w:val="auto"/>
                <w:sz w:val="24"/>
                <w:szCs w:val="24"/>
              </w:rPr>
              <w:t>投标人资格</w:t>
            </w:r>
            <w:r>
              <w:rPr>
                <w:rFonts w:hint="eastAsia" w:ascii="宋体" w:hAnsi="宋体"/>
                <w:color w:val="auto"/>
                <w:sz w:val="24"/>
              </w:rPr>
              <w:t>”</w:t>
            </w:r>
            <w:r>
              <w:rPr>
                <w:rFonts w:hint="eastAsia" w:ascii="宋体" w:hAnsi="宋体"/>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222" w:type="dxa"/>
            <w:vAlign w:val="center"/>
          </w:tcPr>
          <w:p>
            <w:pPr>
              <w:adjustRightInd w:val="0"/>
              <w:snapToGrid w:val="0"/>
              <w:spacing w:line="360" w:lineRule="auto"/>
              <w:ind w:right="-10"/>
              <w:jc w:val="center"/>
              <w:rPr>
                <w:rFonts w:ascii="宋体" w:hAnsi="宋体"/>
                <w:color w:val="auto"/>
                <w:sz w:val="24"/>
              </w:rPr>
            </w:pPr>
            <w:r>
              <w:rPr>
                <w:rFonts w:hint="eastAsia" w:ascii="宋体" w:hAnsi="宋体"/>
                <w:color w:val="auto"/>
                <w:sz w:val="24"/>
              </w:rPr>
              <w:t>9</w:t>
            </w:r>
          </w:p>
        </w:tc>
        <w:tc>
          <w:tcPr>
            <w:tcW w:w="1897" w:type="dxa"/>
            <w:vAlign w:val="center"/>
          </w:tcPr>
          <w:p>
            <w:pPr>
              <w:autoSpaceDE w:val="0"/>
              <w:autoSpaceDN w:val="0"/>
              <w:adjustRightInd w:val="0"/>
              <w:spacing w:line="430" w:lineRule="exact"/>
              <w:ind w:firstLine="200"/>
              <w:jc w:val="center"/>
              <w:rPr>
                <w:rFonts w:ascii="宋体" w:hAnsi="宋体"/>
                <w:color w:val="auto"/>
                <w:sz w:val="24"/>
                <w:szCs w:val="24"/>
              </w:rPr>
            </w:pPr>
            <w:r>
              <w:rPr>
                <w:rFonts w:hint="eastAsia" w:ascii="宋体" w:hAnsi="宋体"/>
                <w:color w:val="auto"/>
                <w:sz w:val="24"/>
                <w:szCs w:val="24"/>
              </w:rPr>
              <w:t>服务本项目人员配备</w:t>
            </w:r>
          </w:p>
        </w:tc>
        <w:tc>
          <w:tcPr>
            <w:tcW w:w="2835" w:type="dxa"/>
            <w:vAlign w:val="center"/>
          </w:tcPr>
          <w:p>
            <w:pPr>
              <w:spacing w:line="420" w:lineRule="exact"/>
              <w:ind w:right="-11"/>
              <w:jc w:val="center"/>
              <w:rPr>
                <w:rFonts w:ascii="宋体" w:hAnsi="宋体"/>
                <w:color w:val="auto"/>
                <w:sz w:val="24"/>
                <w:szCs w:val="24"/>
              </w:rPr>
            </w:pPr>
            <w:r>
              <w:rPr>
                <w:rFonts w:hint="eastAsia" w:ascii="宋体" w:hAnsi="宋体"/>
                <w:color w:val="auto"/>
                <w:sz w:val="24"/>
                <w:szCs w:val="24"/>
              </w:rPr>
              <w:t>符合招标文件要求</w:t>
            </w:r>
          </w:p>
        </w:tc>
        <w:tc>
          <w:tcPr>
            <w:tcW w:w="851" w:type="dxa"/>
            <w:vAlign w:val="center"/>
          </w:tcPr>
          <w:p>
            <w:pPr>
              <w:adjustRightInd w:val="0"/>
              <w:snapToGrid w:val="0"/>
              <w:spacing w:line="360" w:lineRule="auto"/>
              <w:ind w:right="-10"/>
              <w:jc w:val="center"/>
              <w:rPr>
                <w:rFonts w:ascii="宋体" w:hAnsi="宋体"/>
                <w:color w:val="auto"/>
                <w:sz w:val="24"/>
              </w:rPr>
            </w:pPr>
          </w:p>
        </w:tc>
        <w:tc>
          <w:tcPr>
            <w:tcW w:w="2858" w:type="dxa"/>
            <w:vAlign w:val="center"/>
          </w:tcPr>
          <w:p>
            <w:pPr>
              <w:adjustRightInd w:val="0"/>
              <w:snapToGrid w:val="0"/>
              <w:spacing w:line="360" w:lineRule="auto"/>
              <w:ind w:right="-10"/>
              <w:rPr>
                <w:rFonts w:ascii="宋体" w:hAnsi="宋体"/>
                <w:color w:val="auto"/>
                <w:sz w:val="24"/>
                <w:szCs w:val="24"/>
              </w:rPr>
            </w:pPr>
            <w:r>
              <w:rPr>
                <w:rFonts w:hint="eastAsia" w:ascii="宋体" w:hAnsi="宋体"/>
                <w:color w:val="auto"/>
                <w:sz w:val="24"/>
                <w:szCs w:val="24"/>
              </w:rPr>
              <w:t>详见第一章招标人须知前附表；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222" w:type="dxa"/>
            <w:vAlign w:val="center"/>
          </w:tcPr>
          <w:p>
            <w:pPr>
              <w:adjustRightInd w:val="0"/>
              <w:snapToGrid w:val="0"/>
              <w:spacing w:line="360" w:lineRule="auto"/>
              <w:ind w:right="-10"/>
              <w:jc w:val="center"/>
              <w:rPr>
                <w:rFonts w:ascii="宋体" w:hAnsi="宋体"/>
                <w:color w:val="auto"/>
                <w:sz w:val="24"/>
              </w:rPr>
            </w:pPr>
            <w:r>
              <w:rPr>
                <w:rFonts w:hint="eastAsia" w:ascii="宋体" w:hAnsi="宋体"/>
                <w:color w:val="auto"/>
                <w:sz w:val="24"/>
              </w:rPr>
              <w:t>10</w:t>
            </w:r>
          </w:p>
        </w:tc>
        <w:tc>
          <w:tcPr>
            <w:tcW w:w="1897" w:type="dxa"/>
            <w:vAlign w:val="center"/>
          </w:tcPr>
          <w:p>
            <w:pPr>
              <w:autoSpaceDE w:val="0"/>
              <w:autoSpaceDN w:val="0"/>
              <w:adjustRightInd w:val="0"/>
              <w:spacing w:line="430" w:lineRule="exact"/>
              <w:ind w:firstLine="200"/>
              <w:jc w:val="left"/>
              <w:rPr>
                <w:rFonts w:ascii="宋体" w:hAnsi="宋体"/>
                <w:color w:val="auto"/>
                <w:sz w:val="24"/>
                <w:szCs w:val="24"/>
              </w:rPr>
            </w:pPr>
            <w:r>
              <w:rPr>
                <w:rFonts w:hint="eastAsia" w:ascii="宋体" w:hAnsi="宋体"/>
                <w:color w:val="auto"/>
                <w:sz w:val="24"/>
                <w:szCs w:val="24"/>
              </w:rPr>
              <w:t>本地化服务</w:t>
            </w:r>
          </w:p>
        </w:tc>
        <w:tc>
          <w:tcPr>
            <w:tcW w:w="2835" w:type="dxa"/>
            <w:vAlign w:val="center"/>
          </w:tcPr>
          <w:p>
            <w:pPr>
              <w:spacing w:line="420" w:lineRule="exact"/>
              <w:ind w:right="-11"/>
              <w:jc w:val="center"/>
              <w:rPr>
                <w:rFonts w:ascii="宋体" w:hAnsi="宋体"/>
                <w:color w:val="auto"/>
                <w:sz w:val="24"/>
                <w:szCs w:val="24"/>
              </w:rPr>
            </w:pPr>
            <w:r>
              <w:rPr>
                <w:rFonts w:hint="eastAsia" w:ascii="宋体" w:hAnsi="宋体"/>
                <w:color w:val="auto"/>
                <w:sz w:val="24"/>
                <w:szCs w:val="24"/>
              </w:rPr>
              <w:t>符合招标文件要求</w:t>
            </w:r>
          </w:p>
        </w:tc>
        <w:tc>
          <w:tcPr>
            <w:tcW w:w="851" w:type="dxa"/>
            <w:vAlign w:val="center"/>
          </w:tcPr>
          <w:p>
            <w:pPr>
              <w:adjustRightInd w:val="0"/>
              <w:snapToGrid w:val="0"/>
              <w:spacing w:line="360" w:lineRule="auto"/>
              <w:ind w:right="-10"/>
              <w:jc w:val="center"/>
              <w:rPr>
                <w:rFonts w:ascii="宋体" w:hAnsi="宋体"/>
                <w:color w:val="auto"/>
                <w:sz w:val="24"/>
              </w:rPr>
            </w:pPr>
          </w:p>
        </w:tc>
        <w:tc>
          <w:tcPr>
            <w:tcW w:w="2858" w:type="dxa"/>
            <w:vAlign w:val="center"/>
          </w:tcPr>
          <w:p>
            <w:pPr>
              <w:adjustRightInd w:val="0"/>
              <w:snapToGrid w:val="0"/>
              <w:spacing w:line="360" w:lineRule="auto"/>
              <w:ind w:right="-10"/>
              <w:rPr>
                <w:rFonts w:ascii="宋体" w:hAnsi="宋体"/>
                <w:color w:val="auto"/>
                <w:sz w:val="24"/>
                <w:szCs w:val="24"/>
              </w:rPr>
            </w:pPr>
            <w:r>
              <w:rPr>
                <w:rFonts w:hint="eastAsia" w:ascii="宋体" w:hAnsi="宋体"/>
                <w:color w:val="auto"/>
                <w:sz w:val="24"/>
                <w:szCs w:val="24"/>
              </w:rPr>
              <w:t>详见第一章招标人须知前附表；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222" w:type="dxa"/>
            <w:vAlign w:val="center"/>
          </w:tcPr>
          <w:p>
            <w:pPr>
              <w:adjustRightInd w:val="0"/>
              <w:snapToGrid w:val="0"/>
              <w:spacing w:line="360" w:lineRule="auto"/>
              <w:ind w:right="-10"/>
              <w:jc w:val="center"/>
              <w:rPr>
                <w:rFonts w:ascii="宋体" w:hAnsi="宋体"/>
                <w:color w:val="auto"/>
                <w:sz w:val="24"/>
              </w:rPr>
            </w:pPr>
            <w:r>
              <w:rPr>
                <w:rFonts w:hint="eastAsia" w:ascii="宋体" w:hAnsi="宋体"/>
                <w:color w:val="auto"/>
                <w:sz w:val="24"/>
              </w:rPr>
              <w:t>11</w:t>
            </w:r>
          </w:p>
        </w:tc>
        <w:tc>
          <w:tcPr>
            <w:tcW w:w="1897" w:type="dxa"/>
            <w:vAlign w:val="center"/>
          </w:tcPr>
          <w:p>
            <w:pPr>
              <w:autoSpaceDE w:val="0"/>
              <w:autoSpaceDN w:val="0"/>
              <w:adjustRightInd w:val="0"/>
              <w:spacing w:line="430" w:lineRule="exact"/>
              <w:ind w:firstLine="200"/>
              <w:jc w:val="left"/>
              <w:rPr>
                <w:rFonts w:ascii="宋体" w:hAnsi="宋体"/>
                <w:color w:val="auto"/>
                <w:sz w:val="24"/>
                <w:szCs w:val="24"/>
              </w:rPr>
            </w:pPr>
            <w:r>
              <w:rPr>
                <w:rFonts w:hint="eastAsia" w:ascii="宋体" w:hAnsi="宋体"/>
                <w:color w:val="auto"/>
                <w:sz w:val="24"/>
                <w:szCs w:val="24"/>
              </w:rPr>
              <w:t>投保保证金</w:t>
            </w:r>
          </w:p>
        </w:tc>
        <w:tc>
          <w:tcPr>
            <w:tcW w:w="2835" w:type="dxa"/>
            <w:vAlign w:val="center"/>
          </w:tcPr>
          <w:p>
            <w:pPr>
              <w:spacing w:line="420" w:lineRule="exact"/>
              <w:ind w:right="-11"/>
              <w:jc w:val="center"/>
              <w:rPr>
                <w:rFonts w:ascii="宋体" w:hAnsi="宋体"/>
                <w:color w:val="auto"/>
                <w:sz w:val="24"/>
                <w:szCs w:val="28"/>
              </w:rPr>
            </w:pPr>
            <w:r>
              <w:rPr>
                <w:rFonts w:hint="eastAsia" w:ascii="宋体" w:hAnsi="宋体"/>
                <w:color w:val="auto"/>
                <w:sz w:val="24"/>
                <w:szCs w:val="28"/>
              </w:rPr>
              <w:t>符合招标文件要求</w:t>
            </w:r>
          </w:p>
        </w:tc>
        <w:tc>
          <w:tcPr>
            <w:tcW w:w="851" w:type="dxa"/>
            <w:vAlign w:val="center"/>
          </w:tcPr>
          <w:p>
            <w:pPr>
              <w:adjustRightInd w:val="0"/>
              <w:snapToGrid w:val="0"/>
              <w:spacing w:line="360" w:lineRule="auto"/>
              <w:ind w:right="-10"/>
              <w:jc w:val="center"/>
              <w:rPr>
                <w:rFonts w:ascii="宋体" w:hAnsi="宋体"/>
                <w:color w:val="auto"/>
                <w:sz w:val="24"/>
              </w:rPr>
            </w:pPr>
          </w:p>
        </w:tc>
        <w:tc>
          <w:tcPr>
            <w:tcW w:w="2858" w:type="dxa"/>
            <w:vAlign w:val="center"/>
          </w:tcPr>
          <w:p>
            <w:pPr>
              <w:adjustRightInd w:val="0"/>
              <w:snapToGrid w:val="0"/>
              <w:spacing w:line="360" w:lineRule="auto"/>
              <w:ind w:right="-10"/>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2" w:type="dxa"/>
            <w:vAlign w:val="center"/>
          </w:tcPr>
          <w:p>
            <w:pPr>
              <w:adjustRightInd w:val="0"/>
              <w:snapToGrid w:val="0"/>
              <w:spacing w:line="360" w:lineRule="auto"/>
              <w:ind w:right="-10"/>
              <w:jc w:val="center"/>
              <w:rPr>
                <w:rFonts w:ascii="宋体" w:hAnsi="宋体"/>
                <w:color w:val="auto"/>
                <w:sz w:val="24"/>
              </w:rPr>
            </w:pPr>
            <w:r>
              <w:rPr>
                <w:rFonts w:hint="eastAsia" w:ascii="宋体" w:hAnsi="宋体"/>
                <w:color w:val="auto"/>
                <w:sz w:val="24"/>
              </w:rPr>
              <w:t>12</w:t>
            </w:r>
          </w:p>
        </w:tc>
        <w:tc>
          <w:tcPr>
            <w:tcW w:w="1897" w:type="dxa"/>
            <w:vAlign w:val="center"/>
          </w:tcPr>
          <w:p>
            <w:pPr>
              <w:spacing w:after="50" w:line="360" w:lineRule="auto"/>
              <w:ind w:right="-10"/>
              <w:jc w:val="center"/>
              <w:rPr>
                <w:rFonts w:ascii="宋体" w:hAnsi="宋体"/>
                <w:color w:val="auto"/>
                <w:sz w:val="24"/>
                <w:szCs w:val="28"/>
              </w:rPr>
            </w:pPr>
            <w:r>
              <w:rPr>
                <w:rFonts w:hint="eastAsia" w:ascii="宋体" w:hAnsi="宋体"/>
                <w:color w:val="auto"/>
                <w:sz w:val="24"/>
                <w:szCs w:val="28"/>
              </w:rPr>
              <w:t>标书响应情况</w:t>
            </w:r>
          </w:p>
        </w:tc>
        <w:tc>
          <w:tcPr>
            <w:tcW w:w="2835" w:type="dxa"/>
            <w:vAlign w:val="center"/>
          </w:tcPr>
          <w:p>
            <w:pPr>
              <w:spacing w:after="50" w:line="360" w:lineRule="auto"/>
              <w:ind w:right="-10"/>
              <w:jc w:val="center"/>
              <w:rPr>
                <w:rFonts w:ascii="宋体" w:hAnsi="宋体"/>
                <w:color w:val="auto"/>
                <w:sz w:val="24"/>
                <w:szCs w:val="28"/>
              </w:rPr>
            </w:pPr>
            <w:r>
              <w:rPr>
                <w:rFonts w:hint="eastAsia" w:ascii="宋体" w:hAnsi="宋体"/>
                <w:color w:val="auto"/>
                <w:sz w:val="24"/>
                <w:szCs w:val="28"/>
              </w:rPr>
              <w:t>付款响应、完工期响应、质保期响应等</w:t>
            </w:r>
          </w:p>
        </w:tc>
        <w:tc>
          <w:tcPr>
            <w:tcW w:w="851" w:type="dxa"/>
            <w:vAlign w:val="center"/>
          </w:tcPr>
          <w:p>
            <w:pPr>
              <w:adjustRightInd w:val="0"/>
              <w:snapToGrid w:val="0"/>
              <w:spacing w:line="360" w:lineRule="auto"/>
              <w:ind w:right="-10"/>
              <w:jc w:val="center"/>
              <w:rPr>
                <w:rFonts w:ascii="宋体" w:hAnsi="宋体"/>
                <w:color w:val="auto"/>
                <w:sz w:val="24"/>
              </w:rPr>
            </w:pPr>
          </w:p>
        </w:tc>
        <w:tc>
          <w:tcPr>
            <w:tcW w:w="2858" w:type="dxa"/>
            <w:vAlign w:val="center"/>
          </w:tcPr>
          <w:p>
            <w:pPr>
              <w:adjustRightInd w:val="0"/>
              <w:snapToGrid w:val="0"/>
              <w:spacing w:line="360" w:lineRule="auto"/>
              <w:ind w:right="-1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trPr>
        <w:tc>
          <w:tcPr>
            <w:tcW w:w="1222" w:type="dxa"/>
            <w:vAlign w:val="center"/>
          </w:tcPr>
          <w:p>
            <w:pPr>
              <w:adjustRightInd w:val="0"/>
              <w:snapToGrid w:val="0"/>
              <w:spacing w:line="360" w:lineRule="auto"/>
              <w:ind w:right="-10"/>
              <w:jc w:val="center"/>
              <w:rPr>
                <w:rFonts w:ascii="宋体" w:hAnsi="宋体"/>
                <w:color w:val="auto"/>
                <w:sz w:val="24"/>
              </w:rPr>
            </w:pPr>
            <w:r>
              <w:rPr>
                <w:rFonts w:hint="eastAsia" w:ascii="宋体" w:hAnsi="宋体"/>
                <w:color w:val="auto"/>
                <w:sz w:val="24"/>
              </w:rPr>
              <w:t>13</w:t>
            </w:r>
          </w:p>
        </w:tc>
        <w:tc>
          <w:tcPr>
            <w:tcW w:w="1897" w:type="dxa"/>
            <w:vAlign w:val="center"/>
          </w:tcPr>
          <w:p>
            <w:pPr>
              <w:spacing w:after="50" w:line="360" w:lineRule="auto"/>
              <w:ind w:right="-10"/>
              <w:jc w:val="center"/>
              <w:rPr>
                <w:rFonts w:ascii="宋体" w:hAnsi="宋体"/>
                <w:color w:val="auto"/>
                <w:sz w:val="24"/>
              </w:rPr>
            </w:pPr>
            <w:r>
              <w:rPr>
                <w:rFonts w:hint="eastAsia" w:ascii="宋体" w:hAnsi="宋体"/>
                <w:color w:val="auto"/>
                <w:sz w:val="24"/>
              </w:rPr>
              <w:t>标书规范性</w:t>
            </w:r>
          </w:p>
        </w:tc>
        <w:tc>
          <w:tcPr>
            <w:tcW w:w="2835" w:type="dxa"/>
            <w:vAlign w:val="center"/>
          </w:tcPr>
          <w:p>
            <w:pPr>
              <w:pStyle w:val="130"/>
              <w:pBdr>
                <w:bottom w:val="none" w:color="auto" w:sz="0" w:space="0"/>
              </w:pBdr>
              <w:tabs>
                <w:tab w:val="clear" w:pos="4153"/>
                <w:tab w:val="clear" w:pos="8306"/>
              </w:tabs>
              <w:adjustRightInd/>
              <w:spacing w:after="50" w:line="360" w:lineRule="auto"/>
              <w:ind w:right="-10"/>
              <w:textAlignment w:val="auto"/>
              <w:rPr>
                <w:rFonts w:ascii="宋体" w:hAnsi="宋体"/>
                <w:color w:val="auto"/>
                <w:kern w:val="2"/>
              </w:rPr>
            </w:pPr>
            <w:r>
              <w:rPr>
                <w:rFonts w:hint="eastAsia" w:ascii="宋体" w:hAnsi="宋体"/>
                <w:color w:val="auto"/>
              </w:rPr>
              <w:t>无严重的编排混乱、内容不全或字迹模糊辨认不清、前后矛盾情况，对评标无实质性影响的</w:t>
            </w:r>
          </w:p>
        </w:tc>
        <w:tc>
          <w:tcPr>
            <w:tcW w:w="851" w:type="dxa"/>
            <w:vAlign w:val="center"/>
          </w:tcPr>
          <w:p>
            <w:pPr>
              <w:adjustRightInd w:val="0"/>
              <w:snapToGrid w:val="0"/>
              <w:spacing w:line="360" w:lineRule="auto"/>
              <w:ind w:right="-10"/>
              <w:jc w:val="center"/>
              <w:rPr>
                <w:rFonts w:ascii="宋体" w:hAnsi="宋体"/>
                <w:color w:val="auto"/>
                <w:sz w:val="24"/>
              </w:rPr>
            </w:pPr>
          </w:p>
        </w:tc>
        <w:tc>
          <w:tcPr>
            <w:tcW w:w="2858" w:type="dxa"/>
            <w:vAlign w:val="center"/>
          </w:tcPr>
          <w:p>
            <w:pPr>
              <w:adjustRightInd w:val="0"/>
              <w:snapToGrid w:val="0"/>
              <w:spacing w:line="360" w:lineRule="auto"/>
              <w:ind w:right="-1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trPr>
        <w:tc>
          <w:tcPr>
            <w:tcW w:w="1222" w:type="dxa"/>
            <w:vAlign w:val="center"/>
          </w:tcPr>
          <w:p>
            <w:pPr>
              <w:adjustRightInd w:val="0"/>
              <w:snapToGrid w:val="0"/>
              <w:spacing w:line="360" w:lineRule="auto"/>
              <w:ind w:right="-10"/>
              <w:jc w:val="center"/>
              <w:rPr>
                <w:rFonts w:ascii="宋体" w:hAnsi="宋体"/>
                <w:color w:val="auto"/>
                <w:sz w:val="24"/>
              </w:rPr>
            </w:pPr>
            <w:r>
              <w:rPr>
                <w:rFonts w:hint="eastAsia" w:ascii="宋体" w:hAnsi="宋体"/>
                <w:color w:val="auto"/>
                <w:sz w:val="24"/>
              </w:rPr>
              <w:t>14</w:t>
            </w:r>
          </w:p>
        </w:tc>
        <w:tc>
          <w:tcPr>
            <w:tcW w:w="1897" w:type="dxa"/>
            <w:vAlign w:val="center"/>
          </w:tcPr>
          <w:p>
            <w:pPr>
              <w:spacing w:after="50" w:line="360" w:lineRule="auto"/>
              <w:ind w:right="-10"/>
              <w:jc w:val="center"/>
              <w:rPr>
                <w:rFonts w:ascii="宋体" w:hAnsi="宋体"/>
                <w:color w:val="auto"/>
                <w:sz w:val="24"/>
                <w:szCs w:val="28"/>
              </w:rPr>
            </w:pPr>
            <w:r>
              <w:rPr>
                <w:rFonts w:hint="eastAsia" w:ascii="宋体" w:hAnsi="宋体"/>
                <w:color w:val="auto"/>
                <w:sz w:val="24"/>
                <w:szCs w:val="28"/>
              </w:rPr>
              <w:t>其他要求</w:t>
            </w:r>
          </w:p>
        </w:tc>
        <w:tc>
          <w:tcPr>
            <w:tcW w:w="2835" w:type="dxa"/>
            <w:vAlign w:val="center"/>
          </w:tcPr>
          <w:p>
            <w:pPr>
              <w:spacing w:after="50" w:line="360" w:lineRule="auto"/>
              <w:ind w:right="-10"/>
              <w:jc w:val="center"/>
              <w:rPr>
                <w:rFonts w:ascii="宋体" w:hAnsi="宋体"/>
                <w:color w:val="auto"/>
                <w:sz w:val="24"/>
                <w:szCs w:val="28"/>
              </w:rPr>
            </w:pPr>
            <w:r>
              <w:rPr>
                <w:rFonts w:hint="eastAsia" w:ascii="宋体" w:hAnsi="宋体"/>
                <w:color w:val="auto"/>
                <w:sz w:val="24"/>
                <w:szCs w:val="28"/>
              </w:rPr>
              <w:t>上述指标中未列出，但国家相关法律法规或谈判文件有明确规定的</w:t>
            </w:r>
          </w:p>
        </w:tc>
        <w:tc>
          <w:tcPr>
            <w:tcW w:w="851" w:type="dxa"/>
            <w:vAlign w:val="center"/>
          </w:tcPr>
          <w:p>
            <w:pPr>
              <w:adjustRightInd w:val="0"/>
              <w:snapToGrid w:val="0"/>
              <w:spacing w:line="360" w:lineRule="auto"/>
              <w:ind w:right="-10"/>
              <w:jc w:val="center"/>
              <w:rPr>
                <w:rFonts w:ascii="宋体" w:hAnsi="宋体"/>
                <w:color w:val="auto"/>
                <w:sz w:val="24"/>
              </w:rPr>
            </w:pPr>
          </w:p>
        </w:tc>
        <w:tc>
          <w:tcPr>
            <w:tcW w:w="2858" w:type="dxa"/>
            <w:vAlign w:val="center"/>
          </w:tcPr>
          <w:p>
            <w:pPr>
              <w:adjustRightInd w:val="0"/>
              <w:snapToGrid w:val="0"/>
              <w:spacing w:line="360" w:lineRule="auto"/>
              <w:ind w:right="-1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63" w:type="dxa"/>
            <w:gridSpan w:val="5"/>
            <w:vAlign w:val="center"/>
          </w:tcPr>
          <w:p>
            <w:pPr>
              <w:spacing w:before="139"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（1）资格审查采用定性方法，符合性评审，所有评审选项必须全部通过方为合格。</w:t>
            </w:r>
          </w:p>
          <w:p>
            <w:pPr>
              <w:adjustRightInd w:val="0"/>
              <w:snapToGrid w:val="0"/>
              <w:spacing w:line="360" w:lineRule="auto"/>
              <w:ind w:right="-10"/>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（2）投标人提供的资料不全、不清楚、超出有效期等情况，将由评审委员会按照对投标人不利的解释去理解，由此产生的一切后果由投标人自行承担。</w:t>
            </w:r>
          </w:p>
          <w:p>
            <w:pPr>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adjustRightInd w:val="0"/>
        <w:snapToGrid w:val="0"/>
        <w:spacing w:line="360" w:lineRule="auto"/>
        <w:ind w:right="-10"/>
        <w:rPr>
          <w:rFonts w:ascii="宋体" w:hAnsi="宋体"/>
          <w:bCs/>
          <w:color w:val="auto"/>
          <w:sz w:val="24"/>
        </w:rPr>
      </w:pPr>
      <w:bookmarkStart w:id="48" w:name="_Hlk514734618"/>
    </w:p>
    <w:bookmarkEnd w:id="48"/>
    <w:p>
      <w:pPr>
        <w:spacing w:line="500" w:lineRule="exact"/>
        <w:ind w:left="143" w:leftChars="68" w:firstLine="361" w:firstLineChars="150"/>
        <w:rPr>
          <w:rFonts w:ascii="宋体" w:hAnsi="宋体"/>
          <w:bCs/>
          <w:color w:val="auto"/>
          <w:sz w:val="24"/>
        </w:rPr>
      </w:pPr>
      <w:r>
        <w:rPr>
          <w:rFonts w:hint="eastAsia" w:ascii="宋体" w:hAnsi="宋体"/>
          <w:b/>
          <w:bCs/>
          <w:color w:val="auto"/>
          <w:sz w:val="24"/>
        </w:rPr>
        <w:t>9.</w:t>
      </w:r>
      <w:r>
        <w:rPr>
          <w:rFonts w:hint="eastAsia" w:ascii="宋体" w:hAnsi="宋体"/>
          <w:bCs/>
          <w:color w:val="auto"/>
          <w:sz w:val="24"/>
        </w:rPr>
        <w:t>价格评审:</w:t>
      </w:r>
      <w:r>
        <w:rPr>
          <w:rFonts w:hint="eastAsia" w:ascii="宋体" w:hAnsi="宋体"/>
          <w:color w:val="auto"/>
          <w:sz w:val="24"/>
        </w:rPr>
        <w:t xml:space="preserve"> </w:t>
      </w:r>
      <w:r>
        <w:rPr>
          <w:rFonts w:hint="eastAsia" w:ascii="宋体" w:hAnsi="宋体"/>
          <w:bCs/>
          <w:color w:val="auto"/>
          <w:sz w:val="24"/>
        </w:rPr>
        <w:t>对通过</w:t>
      </w:r>
      <w:r>
        <w:rPr>
          <w:rFonts w:hint="eastAsia" w:ascii="宋体" w:hAnsi="宋体"/>
          <w:color w:val="auto"/>
          <w:sz w:val="24"/>
        </w:rPr>
        <w:t>有效性评审</w:t>
      </w:r>
      <w:r>
        <w:rPr>
          <w:rFonts w:hint="eastAsia" w:ascii="宋体" w:hAnsi="宋体"/>
          <w:bCs/>
          <w:color w:val="auto"/>
          <w:sz w:val="24"/>
        </w:rPr>
        <w:t>的有效投标人，按其最终报价（评标价）由低到高的顺序选出中标候选人。</w:t>
      </w:r>
    </w:p>
    <w:p>
      <w:pPr>
        <w:pStyle w:val="3"/>
        <w:spacing w:line="500" w:lineRule="exact"/>
        <w:ind w:right="-10" w:firstLine="482"/>
        <w:rPr>
          <w:rFonts w:ascii="宋体" w:hAnsi="宋体" w:eastAsia="宋体"/>
          <w:color w:val="auto"/>
          <w:sz w:val="24"/>
        </w:rPr>
      </w:pPr>
      <w:r>
        <w:rPr>
          <w:rFonts w:hint="eastAsia" w:ascii="宋体" w:hAnsi="宋体" w:eastAsia="宋体"/>
          <w:b/>
          <w:color w:val="auto"/>
          <w:sz w:val="24"/>
        </w:rPr>
        <w:t>10.</w:t>
      </w:r>
      <w:r>
        <w:rPr>
          <w:rFonts w:hint="eastAsia" w:ascii="宋体" w:hAnsi="宋体" w:eastAsia="宋体"/>
          <w:color w:val="auto"/>
          <w:sz w:val="24"/>
        </w:rPr>
        <w:t>如果有效投标报价出现两家或两家以上相同者，则采取评标委员会抽签方式确定其前后次序。</w:t>
      </w:r>
    </w:p>
    <w:p>
      <w:pPr>
        <w:adjustRightInd w:val="0"/>
        <w:snapToGrid w:val="0"/>
        <w:spacing w:line="500" w:lineRule="exact"/>
        <w:ind w:right="-10" w:firstLine="482" w:firstLineChars="200"/>
        <w:rPr>
          <w:rFonts w:ascii="宋体" w:hAnsi="宋体"/>
          <w:b/>
          <w:color w:val="auto"/>
          <w:sz w:val="24"/>
        </w:rPr>
      </w:pPr>
      <w:r>
        <w:rPr>
          <w:rFonts w:hint="eastAsia" w:ascii="宋体" w:hAnsi="宋体"/>
          <w:b/>
          <w:color w:val="auto"/>
          <w:sz w:val="24"/>
        </w:rPr>
        <w:t>11.</w:t>
      </w:r>
      <w:r>
        <w:rPr>
          <w:rFonts w:hint="eastAsia" w:ascii="宋体" w:hAnsi="宋体"/>
          <w:color w:val="auto"/>
          <w:sz w:val="24"/>
        </w:rPr>
        <w:t>评标委员会在评标过程中发现的问题，应当及时作出处理或者向招标人提出处理建议，并作书面记录。</w:t>
      </w:r>
    </w:p>
    <w:p>
      <w:pPr>
        <w:adjustRightInd w:val="0"/>
        <w:snapToGrid w:val="0"/>
        <w:spacing w:line="500" w:lineRule="exact"/>
        <w:ind w:right="-10" w:firstLine="482" w:firstLineChars="200"/>
        <w:rPr>
          <w:rFonts w:ascii="宋体" w:hAnsi="宋体"/>
          <w:color w:val="auto"/>
          <w:sz w:val="24"/>
        </w:rPr>
      </w:pPr>
      <w:r>
        <w:rPr>
          <w:rFonts w:hint="eastAsia" w:ascii="宋体" w:hAnsi="宋体"/>
          <w:b/>
          <w:color w:val="auto"/>
          <w:sz w:val="24"/>
        </w:rPr>
        <w:t>12.</w:t>
      </w:r>
      <w:r>
        <w:rPr>
          <w:rFonts w:hint="eastAsia" w:ascii="宋体" w:hAnsi="宋体"/>
          <w:color w:val="auto"/>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500" w:lineRule="exact"/>
        <w:ind w:right="-10" w:firstLine="482" w:firstLineChars="200"/>
        <w:rPr>
          <w:rFonts w:ascii="宋体" w:hAnsi="宋体"/>
          <w:color w:val="auto"/>
          <w:sz w:val="24"/>
        </w:rPr>
      </w:pPr>
      <w:r>
        <w:rPr>
          <w:rFonts w:hint="eastAsia" w:ascii="宋体" w:hAnsi="宋体"/>
          <w:b/>
          <w:color w:val="auto"/>
          <w:sz w:val="24"/>
        </w:rPr>
        <w:t>13.</w:t>
      </w:r>
      <w:r>
        <w:rPr>
          <w:rFonts w:hint="eastAsia" w:ascii="宋体" w:hAnsi="宋体"/>
          <w:color w:val="auto"/>
          <w:sz w:val="24"/>
        </w:rPr>
        <w:t>投标人投标报价与公布的预算价（或控制价)相比降幅过小，或投标人投标报价明显缺乏竞争性的，评标委员会可以否决所有投标。</w:t>
      </w:r>
    </w:p>
    <w:p>
      <w:pPr>
        <w:adjustRightInd w:val="0"/>
        <w:snapToGrid w:val="0"/>
        <w:spacing w:line="500" w:lineRule="exact"/>
        <w:ind w:right="-10" w:firstLine="472" w:firstLineChars="196"/>
        <w:rPr>
          <w:rFonts w:ascii="宋体" w:hAnsi="宋体"/>
          <w:bCs/>
          <w:color w:val="auto"/>
          <w:sz w:val="24"/>
        </w:rPr>
      </w:pPr>
      <w:r>
        <w:rPr>
          <w:rFonts w:hint="eastAsia" w:ascii="宋体" w:hAnsi="宋体"/>
          <w:b/>
          <w:bCs/>
          <w:color w:val="auto"/>
          <w:sz w:val="24"/>
        </w:rPr>
        <w:t>14.</w:t>
      </w:r>
      <w:r>
        <w:rPr>
          <w:rFonts w:hint="eastAsia" w:ascii="宋体" w:hAnsi="宋体"/>
          <w:bCs/>
          <w:color w:val="auto"/>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500" w:lineRule="exact"/>
        <w:ind w:right="-10" w:firstLine="482" w:firstLineChars="200"/>
        <w:rPr>
          <w:rFonts w:ascii="宋体" w:hAnsi="宋体"/>
          <w:color w:val="auto"/>
          <w:sz w:val="24"/>
        </w:rPr>
      </w:pPr>
      <w:r>
        <w:rPr>
          <w:rFonts w:hint="eastAsia" w:ascii="宋体" w:hAnsi="宋体"/>
          <w:b/>
          <w:bCs/>
          <w:color w:val="auto"/>
          <w:sz w:val="24"/>
        </w:rPr>
        <w:t>15.</w:t>
      </w:r>
      <w:r>
        <w:rPr>
          <w:rFonts w:hint="eastAsia" w:ascii="宋体" w:hAnsi="宋体"/>
          <w:color w:val="auto"/>
          <w:sz w:val="24"/>
        </w:rPr>
        <w:t xml:space="preserve"> 评标委员会和评标工作人员应严格遵守国家的法律、法规和规章制度；严格按照本次招标文件进行评标；公正廉洁、不徇私情，不得损害国家利益；保护招、投标人的合法权益。</w:t>
      </w:r>
    </w:p>
    <w:p>
      <w:pPr>
        <w:spacing w:line="500" w:lineRule="exact"/>
        <w:ind w:firstLine="482" w:firstLineChars="200"/>
        <w:rPr>
          <w:color w:val="auto"/>
        </w:rPr>
      </w:pPr>
      <w:r>
        <w:rPr>
          <w:rFonts w:hint="eastAsia" w:ascii="宋体" w:hAnsi="宋体"/>
          <w:b/>
          <w:bCs/>
          <w:color w:val="auto"/>
          <w:sz w:val="24"/>
        </w:rPr>
        <w:t>16.</w:t>
      </w:r>
      <w:r>
        <w:rPr>
          <w:rFonts w:hint="eastAsia" w:ascii="宋体" w:hAnsi="宋体"/>
          <w:bCs/>
          <w:color w:val="auto"/>
          <w:sz w:val="24"/>
        </w:rPr>
        <w:t>在评标过程中，评委及其他评标工作人员必须对评标情况严格保密，任何人不得将评标情况透露给与投标人有关的单位和个人。</w:t>
      </w:r>
    </w:p>
    <w:p>
      <w:pPr>
        <w:pStyle w:val="394"/>
        <w:rPr>
          <w:color w:val="auto"/>
        </w:rPr>
      </w:pPr>
    </w:p>
    <w:p>
      <w:pPr>
        <w:pStyle w:val="27"/>
        <w:spacing w:line="360" w:lineRule="auto"/>
        <w:rPr>
          <w:rFonts w:hAnsi="宋体" w:cs="黑体"/>
          <w:b/>
          <w:color w:val="auto"/>
          <w:sz w:val="24"/>
          <w:szCs w:val="24"/>
        </w:rPr>
      </w:pPr>
      <w:r>
        <w:rPr>
          <w:rFonts w:hint="eastAsia" w:hAnsi="宋体" w:cs="黑体"/>
          <w:b/>
          <w:color w:val="auto"/>
          <w:sz w:val="24"/>
          <w:szCs w:val="24"/>
        </w:rPr>
        <w:t>17. 其他</w:t>
      </w:r>
    </w:p>
    <w:p>
      <w:pPr>
        <w:pStyle w:val="178"/>
        <w:spacing w:line="360" w:lineRule="auto"/>
        <w:ind w:firstLine="482" w:firstLineChars="200"/>
        <w:rPr>
          <w:rFonts w:ascii="宋体" w:hAnsi="宋体"/>
          <w:b/>
          <w:color w:val="auto"/>
          <w:sz w:val="24"/>
        </w:rPr>
      </w:pPr>
      <w:r>
        <w:rPr>
          <w:rFonts w:hint="eastAsia" w:ascii="宋体" w:hAnsi="宋体"/>
          <w:b/>
          <w:bCs/>
          <w:color w:val="auto"/>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r>
        <w:rPr>
          <w:rFonts w:hint="eastAsia" w:ascii="宋体" w:hAnsi="宋体"/>
          <w:b/>
          <w:color w:val="auto"/>
          <w:sz w:val="24"/>
        </w:rPr>
        <w:t>。</w:t>
      </w:r>
    </w:p>
    <w:p>
      <w:pPr>
        <w:rPr>
          <w:rFonts w:ascii="Calibri" w:hAnsi="Calibri"/>
          <w:color w:val="auto"/>
        </w:rPr>
      </w:pPr>
    </w:p>
    <w:p>
      <w:pPr>
        <w:rPr>
          <w:rFonts w:ascii="Calibri" w:hAnsi="Calibri"/>
          <w:color w:val="auto"/>
          <w:lang w:val="zh-CN"/>
        </w:rPr>
      </w:pPr>
    </w:p>
    <w:p>
      <w:pPr>
        <w:rPr>
          <w:rFonts w:ascii="Calibri" w:hAnsi="Calibri"/>
          <w:color w:val="auto"/>
          <w:lang w:val="zh-CN"/>
        </w:rPr>
      </w:pPr>
    </w:p>
    <w:p>
      <w:pPr>
        <w:rPr>
          <w:rFonts w:ascii="Calibri" w:hAnsi="Calibri"/>
          <w:color w:val="auto"/>
          <w:lang w:val="zh-CN"/>
        </w:rPr>
      </w:pPr>
    </w:p>
    <w:p>
      <w:pPr>
        <w:rPr>
          <w:rFonts w:ascii="Calibri" w:hAnsi="Calibri"/>
          <w:color w:val="auto"/>
          <w:lang w:val="zh-CN"/>
        </w:rPr>
      </w:pPr>
    </w:p>
    <w:p>
      <w:pPr>
        <w:spacing w:line="360" w:lineRule="auto"/>
        <w:ind w:firstLine="480" w:firstLineChars="200"/>
        <w:rPr>
          <w:rFonts w:ascii="宋体" w:hAnsi="宋体"/>
          <w:bCs/>
          <w:color w:val="auto"/>
          <w:sz w:val="24"/>
          <w:lang w:val="zh-CN"/>
        </w:rPr>
      </w:pPr>
    </w:p>
    <w:p>
      <w:pPr>
        <w:pStyle w:val="2"/>
        <w:rPr>
          <w:rFonts w:ascii="宋体" w:hAnsi="宋体"/>
          <w:bCs/>
          <w:color w:val="auto"/>
          <w:sz w:val="24"/>
          <w:lang w:val="zh-CN"/>
        </w:rPr>
      </w:pPr>
    </w:p>
    <w:p>
      <w:pPr>
        <w:pStyle w:val="2"/>
        <w:rPr>
          <w:rFonts w:ascii="宋体" w:hAnsi="宋体"/>
          <w:bCs/>
          <w:color w:val="auto"/>
          <w:sz w:val="24"/>
          <w:lang w:val="zh-CN"/>
        </w:rPr>
      </w:pPr>
    </w:p>
    <w:p>
      <w:pPr>
        <w:pStyle w:val="2"/>
        <w:rPr>
          <w:rFonts w:ascii="宋体" w:hAnsi="宋体"/>
          <w:bCs/>
          <w:color w:val="auto"/>
          <w:sz w:val="24"/>
          <w:lang w:val="zh-CN"/>
        </w:rPr>
      </w:pPr>
    </w:p>
    <w:p>
      <w:pPr>
        <w:pStyle w:val="2"/>
        <w:rPr>
          <w:rFonts w:ascii="宋体" w:hAnsi="宋体"/>
          <w:bCs/>
          <w:color w:val="auto"/>
          <w:sz w:val="24"/>
          <w:lang w:val="zh-CN"/>
        </w:rPr>
      </w:pPr>
    </w:p>
    <w:p>
      <w:pPr>
        <w:pStyle w:val="2"/>
        <w:ind w:left="0" w:leftChars="0" w:firstLine="0" w:firstLineChars="0"/>
        <w:rPr>
          <w:rFonts w:ascii="宋体" w:hAnsi="宋体" w:eastAsia="宋体"/>
          <w:color w:val="auto"/>
        </w:rPr>
      </w:pPr>
    </w:p>
    <w:p>
      <w:pPr>
        <w:pStyle w:val="6"/>
        <w:spacing w:before="0" w:line="500" w:lineRule="exact"/>
        <w:ind w:firstLine="0"/>
        <w:rPr>
          <w:rFonts w:ascii="宋体" w:hAnsi="宋体" w:eastAsia="宋体"/>
          <w:color w:val="auto"/>
        </w:rPr>
      </w:pPr>
      <w:bookmarkStart w:id="49" w:name="_Toc936"/>
      <w:r>
        <w:rPr>
          <w:rFonts w:hint="eastAsia" w:ascii="宋体" w:hAnsi="宋体" w:eastAsia="宋体"/>
          <w:color w:val="auto"/>
        </w:rPr>
        <w:t>第六章</w:t>
      </w:r>
      <w:bookmarkStart w:id="50" w:name="_Toc220232392"/>
      <w:r>
        <w:rPr>
          <w:rFonts w:hint="eastAsia" w:ascii="宋体" w:hAnsi="宋体" w:eastAsia="宋体"/>
          <w:color w:val="auto"/>
        </w:rPr>
        <w:t xml:space="preserve">  合同条款及格式</w:t>
      </w:r>
      <w:bookmarkEnd w:id="45"/>
      <w:bookmarkEnd w:id="49"/>
    </w:p>
    <w:bookmarkEnd w:id="50"/>
    <w:p>
      <w:pPr>
        <w:spacing w:line="500" w:lineRule="exact"/>
        <w:ind w:firstLine="883" w:firstLineChars="200"/>
        <w:jc w:val="center"/>
        <w:rPr>
          <w:rFonts w:ascii="仿宋_GB2312" w:hAnsi="宋体" w:eastAsia="仿宋_GB2312" w:cs="宋体"/>
          <w:b/>
          <w:bCs/>
          <w:color w:val="auto"/>
          <w:sz w:val="13"/>
          <w:szCs w:val="13"/>
        </w:rPr>
      </w:pPr>
      <w:r>
        <w:rPr>
          <w:rFonts w:hint="eastAsia" w:ascii="黑体" w:hAnsi="黑体" w:eastAsia="黑体" w:cs="宋体"/>
          <w:b/>
          <w:color w:val="auto"/>
          <w:kern w:val="0"/>
          <w:sz w:val="44"/>
          <w:szCs w:val="44"/>
        </w:rPr>
        <w:t>消防维保合同</w:t>
      </w:r>
    </w:p>
    <w:p>
      <w:pPr>
        <w:adjustRightInd w:val="0"/>
        <w:snapToGrid w:val="0"/>
        <w:spacing w:line="500" w:lineRule="exact"/>
        <w:jc w:val="center"/>
        <w:rPr>
          <w:rFonts w:ascii="仿宋" w:hAnsi="仿宋" w:eastAsia="仿宋" w:cs="黑体"/>
          <w:b/>
          <w:color w:val="auto"/>
          <w:kern w:val="0"/>
          <w:szCs w:val="21"/>
        </w:rPr>
      </w:pPr>
      <w:bookmarkStart w:id="51" w:name="_Hlk47980575"/>
      <w:r>
        <w:rPr>
          <w:rFonts w:hint="eastAsia" w:ascii="仿宋" w:hAnsi="仿宋" w:eastAsia="仿宋"/>
          <w:b/>
          <w:bCs/>
          <w:color w:val="auto"/>
        </w:rPr>
        <w:t xml:space="preserve">                                           合同编号：HFTYCY-YBB-****-**</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甲方：</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 xml:space="preserve">地 址：                 </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 xml:space="preserve">法定代表人：            </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 xml:space="preserve">联系人：                </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 xml:space="preserve">电话：                  </w:t>
      </w:r>
    </w:p>
    <w:p>
      <w:pPr>
        <w:spacing w:line="360" w:lineRule="auto"/>
        <w:ind w:firstLine="480" w:firstLineChars="200"/>
        <w:rPr>
          <w:rFonts w:cs="仿宋_GB2312" w:asciiTheme="minorEastAsia" w:hAnsiTheme="minorEastAsia" w:eastAsiaTheme="minorEastAsia"/>
          <w:color w:val="auto"/>
          <w:sz w:val="24"/>
          <w:szCs w:val="24"/>
        </w:rPr>
      </w:pP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 xml:space="preserve">乙方： </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 xml:space="preserve">地 址：                 </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 xml:space="preserve">单位负责人：            </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 xml:space="preserve">联系人：               </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电话：</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 xml:space="preserve">          </w:t>
      </w:r>
      <w:bookmarkEnd w:id="51"/>
      <w:r>
        <w:rPr>
          <w:rFonts w:hint="eastAsia" w:cs="仿宋_GB2312" w:asciiTheme="minorEastAsia" w:hAnsiTheme="minorEastAsia" w:eastAsiaTheme="minorEastAsia"/>
          <w:color w:val="auto"/>
          <w:sz w:val="24"/>
          <w:szCs w:val="24"/>
        </w:rPr>
        <w:t xml:space="preserve">                                          </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为保证【合肥体育中心及天鹅湖全民健身中心】消防系统（设施）长期、稳定、安全运行，经双方友好协商，现就甲方委托乙方消防系统（设施）维修保养服务，签订本合同：</w:t>
      </w:r>
    </w:p>
    <w:p>
      <w:pPr>
        <w:spacing w:line="360" w:lineRule="auto"/>
        <w:ind w:firstLine="482" w:firstLineChars="200"/>
        <w:rPr>
          <w:rFonts w:cs="仿宋_GB2312" w:asciiTheme="minorEastAsia" w:hAnsiTheme="minorEastAsia" w:eastAsiaTheme="minorEastAsia"/>
          <w:b/>
          <w:bCs/>
          <w:color w:val="auto"/>
          <w:sz w:val="24"/>
          <w:szCs w:val="24"/>
        </w:rPr>
      </w:pPr>
      <w:r>
        <w:rPr>
          <w:rFonts w:hint="eastAsia" w:cs="仿宋_GB2312" w:asciiTheme="minorEastAsia" w:hAnsiTheme="minorEastAsia" w:eastAsiaTheme="minorEastAsia"/>
          <w:b/>
          <w:bCs/>
          <w:color w:val="auto"/>
          <w:sz w:val="24"/>
          <w:szCs w:val="24"/>
        </w:rPr>
        <w:t>第一条 维保内容（见附件）</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1.1火灾自动报警系统【包括火灾报警控制器（联动型）、消防电话总机、广播主机、点型光电感烟火灾探测器、点型感温火灾探测器、手动火灾报警按钮、消火栓按钮、输入模块、控制模块】；</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1.2消火栓系统【包括消化栓、消火栓泵、稳压泵、水泵接合器、消防水箱】；</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1.3喷淋系统【包括喷头、喷淋泵、稳压泵、水流指示器、水泵接合器、末端放水、报警阀】；</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1.4防排烟系统【排烟风机、正压送风机、自垂式百叶送风口、280℃排烟口（含阀）】；</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1.5大空间火灾报警及消防水炮系统【立安控制器、立安信息处理主机、显示器、防火并行处理器、火灾录像机、消防炮控制器、消防泵控制器、视频矩阵切换器、视频切换器、双波段火焰探测器、光截面感烟探测器（接收器）、光截面感烟探测器（发射器）、消防炮解码器、消防炮现场控制盘、自动消防图像定位器、立安自动消防炮、消防水炮供水泵】</w:t>
      </w:r>
    </w:p>
    <w:p>
      <w:pPr>
        <w:spacing w:line="360" w:lineRule="auto"/>
        <w:ind w:firstLine="482" w:firstLineChars="200"/>
        <w:rPr>
          <w:rFonts w:cs="仿宋_GB2312" w:asciiTheme="minorEastAsia" w:hAnsiTheme="minorEastAsia" w:eastAsiaTheme="minorEastAsia"/>
          <w:b/>
          <w:bCs/>
          <w:color w:val="auto"/>
          <w:sz w:val="24"/>
          <w:szCs w:val="24"/>
        </w:rPr>
      </w:pPr>
      <w:r>
        <w:rPr>
          <w:rFonts w:hint="eastAsia" w:cs="仿宋_GB2312" w:asciiTheme="minorEastAsia" w:hAnsiTheme="minorEastAsia" w:eastAsiaTheme="minorEastAsia"/>
          <w:b/>
          <w:bCs/>
          <w:color w:val="auto"/>
          <w:sz w:val="24"/>
          <w:szCs w:val="24"/>
        </w:rPr>
        <w:t>第二条 维保要求</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2.1维护保养范围：</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（1）火灾自动报警系统（包括联动控制系统）：严格执行《火灾自动报警系统施工及验收规范》和安徽省消防监督部门的相关规定，确保消防设施正常运行；</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（2）消火栓系统和自动喷淋系统（包括水泵系统）：严格执行《自动喷淋系统施工及验收规范》和安徽省消防监督部门的相关规定，确保消防设施正常运行；</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（3）防排烟系统：严格执行《防烟排烟系统维护管理标准》和安徽省消防监督部门的相关规定，确保消防设施正常运行；</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（4）大空间火灾报警及消防水炮系统：严格按照消防的相关规范要求，确保系统正常运行；</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2.2维护保养要求：上述设备及其配套设施常态化保养与维护，确保各系统正常运行。达到报警、灭火等设计和消防检测要求。</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突发性抢修：在接到用户设备故障抢修通知后，乙方应在2小时内到达现场（包括节假日），及时排除故障，恢复系统运行。</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节假日维护：在国庆、元旦、春节、五一等重大节假日或甲方有重大接待任务时，乙方应提前对消防设施整体联动功能予以测试、检修，确保系统功能正常。</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2.3维保服务响应时间及其它要求：</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（1）上级检查、重大活动维保人员必须到现场保障服务，随时提供技术指导与服务；</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（2）在接到甲方一般故障通知后，乙方应在4小时内派维护人员赶到现场，确保在最短时间内对系统进行修复。</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（3）免费为甲方操作人员提供消防自动报警及联动控制系统的相关技术咨询与培训，确保其能正常操作及使用相关系统。</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（4）协助甲方建立系统运行及使用档案。如实记录系统运行情况、检测数据、维修内容等。</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（5）每次巡检及故障排除，填写维修单及排故报告单。由双方共同签字确认，一式二份，双方各自存档保存。</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上述人员如有变动，各方应以书面形式24小时内通知对方，如因通知不及时造成不良后果，由责任人承担赔偿责任。</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（6）负责软件系统更新、升级。</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（7）建立系统维护工作中的技术资料，更新设备配置状况等档案资料。</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（8）根据酒店消防设施实际情况提供其他必要的专业维保服务。</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2.4双方的联系人</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甲方指派【】（电话【】）负责与乙方进行联系、向乙方下发故障维修指令、对日常例行检查、故障维修、年度检修等进行验收、签发更换零配件指令等。</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乙方指派【】（电话【】）负责接收甲方下达的维修指令、协调日常例行检查、故障维修、检修事宜等。</w:t>
      </w:r>
    </w:p>
    <w:p>
      <w:pPr>
        <w:spacing w:line="360" w:lineRule="auto"/>
        <w:ind w:firstLine="482" w:firstLineChars="200"/>
        <w:rPr>
          <w:rFonts w:cs="仿宋_GB2312" w:asciiTheme="minorEastAsia" w:hAnsiTheme="minorEastAsia" w:eastAsiaTheme="minorEastAsia"/>
          <w:b/>
          <w:bCs/>
          <w:color w:val="auto"/>
          <w:sz w:val="24"/>
          <w:szCs w:val="24"/>
        </w:rPr>
      </w:pPr>
      <w:r>
        <w:rPr>
          <w:rFonts w:hint="eastAsia" w:cs="仿宋_GB2312" w:asciiTheme="minorEastAsia" w:hAnsiTheme="minorEastAsia" w:eastAsiaTheme="minorEastAsia"/>
          <w:b/>
          <w:bCs/>
          <w:color w:val="auto"/>
          <w:sz w:val="24"/>
          <w:szCs w:val="24"/>
        </w:rPr>
        <w:t>第三条 维保期限</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合肥体育中心：维保期为壹年，自【2021】年【1】月【1】日至【2021】年【12】月【31】日止；天鹅湖全民健身中心：自2021年9月10日至2021年12月31日止。合同期满后，由双方另行协商续约事宜。</w:t>
      </w:r>
    </w:p>
    <w:p>
      <w:pPr>
        <w:spacing w:line="360" w:lineRule="auto"/>
        <w:ind w:firstLine="482" w:firstLineChars="200"/>
        <w:rPr>
          <w:rFonts w:cs="仿宋_GB2312" w:asciiTheme="minorEastAsia" w:hAnsiTheme="minorEastAsia" w:eastAsiaTheme="minorEastAsia"/>
          <w:b/>
          <w:bCs/>
          <w:color w:val="auto"/>
          <w:sz w:val="24"/>
          <w:szCs w:val="24"/>
        </w:rPr>
      </w:pPr>
      <w:r>
        <w:rPr>
          <w:rFonts w:hint="eastAsia" w:cs="仿宋_GB2312" w:asciiTheme="minorEastAsia" w:hAnsiTheme="minorEastAsia" w:eastAsiaTheme="minorEastAsia"/>
          <w:b/>
          <w:bCs/>
          <w:color w:val="auto"/>
          <w:sz w:val="24"/>
          <w:szCs w:val="24"/>
        </w:rPr>
        <w:t>第四条 维保费用</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4.1本合同维保费用合计为人民币【      】元，大写【     】。合同总价包含但不限于消防设备检测费、维修费、人工费、技术咨询费、设备工具使用费、交通运输费、更换设备设施的工时费、保养费、利润、税金等全部费用，在本合同履行过程中不因任何因素的变化而调整。除本合同另有约定外，甲方无须另付任何费用。</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4.2维保费用包括但不限于与维保内容有关的人工、工具、消耗材料、税金等乙方完成本合同项下维保过服务产生的一切费用。不包括更换器材及设备费用。</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4.3因甲方或大楼内用户改变建筑格局，为了使新的格局满足消防规范而必须对系统进行调整、改造时，所发生费用由甲方承担，维保费用由乙方承担。</w:t>
      </w:r>
    </w:p>
    <w:p>
      <w:pPr>
        <w:spacing w:line="360" w:lineRule="auto"/>
        <w:ind w:firstLine="482" w:firstLineChars="200"/>
        <w:rPr>
          <w:rFonts w:cs="仿宋_GB2312" w:asciiTheme="minorEastAsia" w:hAnsiTheme="minorEastAsia" w:eastAsiaTheme="minorEastAsia"/>
          <w:b/>
          <w:bCs/>
          <w:color w:val="auto"/>
          <w:sz w:val="24"/>
          <w:szCs w:val="24"/>
        </w:rPr>
      </w:pPr>
      <w:r>
        <w:rPr>
          <w:rFonts w:hint="eastAsia" w:cs="仿宋_GB2312" w:asciiTheme="minorEastAsia" w:hAnsiTheme="minorEastAsia" w:eastAsiaTheme="minorEastAsia"/>
          <w:b/>
          <w:bCs/>
          <w:color w:val="auto"/>
          <w:sz w:val="24"/>
          <w:szCs w:val="24"/>
        </w:rPr>
        <w:t>第五条 付款方式</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 xml:space="preserve">5.1——————————————————————————————————； </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5.2、甲方支付方式:乙方应提供符合甲方要求的等额合法有效的增值税专用发票，甲方银行转帐，乙方未提供发票的，甲方有权拒绝付款且不承担任何违约责任。</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5.3甲方有新的要求时，乙方应按甲方要求执行，所发生费用由甲方承担，维保费用由乙方承担。但国家或行业标准发生改变的，乙方应及时按新标准执行，调整、改造所发生费用由甲方承担，维保费用不作调整。</w:t>
      </w:r>
    </w:p>
    <w:p>
      <w:pPr>
        <w:spacing w:line="360" w:lineRule="auto"/>
        <w:ind w:firstLine="482" w:firstLineChars="200"/>
        <w:rPr>
          <w:rFonts w:cs="仿宋_GB2312" w:asciiTheme="minorEastAsia" w:hAnsiTheme="minorEastAsia" w:eastAsiaTheme="minorEastAsia"/>
          <w:b/>
          <w:bCs/>
          <w:color w:val="auto"/>
          <w:sz w:val="24"/>
          <w:szCs w:val="24"/>
        </w:rPr>
      </w:pPr>
      <w:r>
        <w:rPr>
          <w:rFonts w:hint="eastAsia" w:cs="仿宋_GB2312" w:asciiTheme="minorEastAsia" w:hAnsiTheme="minorEastAsia" w:eastAsiaTheme="minorEastAsia"/>
          <w:b/>
          <w:bCs/>
          <w:color w:val="auto"/>
          <w:sz w:val="24"/>
          <w:szCs w:val="24"/>
        </w:rPr>
        <w:t>第六条 甲方责任</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6.1遵守甲方管理规定的情况下，为乙方维修人员进入维修区域提供方便，提供相关的竣工图纸一套并尽可能协助乙方工作。</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6.2甲方按时支付维保费用、消防检测事务所需年检费。</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6.3更换的配件，材料费由甲方承担。乙方在更换配件时，必须事先征得甲方书面同意，金额双方另行商议。商议不成时，甲方可另外购买配件或另找维修单位。</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6.4检查监督乙方的维保工作，监督验收乙方维修工作。</w:t>
      </w:r>
    </w:p>
    <w:p>
      <w:pPr>
        <w:spacing w:line="360" w:lineRule="auto"/>
        <w:ind w:firstLine="482" w:firstLineChars="200"/>
        <w:rPr>
          <w:rFonts w:cs="仿宋_GB2312" w:asciiTheme="minorEastAsia" w:hAnsiTheme="minorEastAsia" w:eastAsiaTheme="minorEastAsia"/>
          <w:b/>
          <w:bCs/>
          <w:color w:val="auto"/>
          <w:sz w:val="24"/>
          <w:szCs w:val="24"/>
        </w:rPr>
      </w:pPr>
      <w:r>
        <w:rPr>
          <w:rFonts w:hint="eastAsia" w:cs="仿宋_GB2312" w:asciiTheme="minorEastAsia" w:hAnsiTheme="minorEastAsia" w:eastAsiaTheme="minorEastAsia"/>
          <w:b/>
          <w:bCs/>
          <w:color w:val="auto"/>
          <w:sz w:val="24"/>
          <w:szCs w:val="24"/>
        </w:rPr>
        <w:t>第七条 乙方责任</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7.1乙方应按国家现行行业规范和合同中规定的维保内容和维保要求，认真履行维保义务。</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7.2乙方应定期派人员对甲方所有的消防系统进行常规检查和例行保养，并做好测试记录和维修记录。每次均由双方管理人员签字。</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7.3乙方在相关工作过程中，造成自身或者任何第三方财产或者人身损害，由此所导致的一切责任由乙方自行承担，甲方对此不承担任何责任。</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7.4甲方有重大活动时，乙方有义务安排人员参与应急值班(由甲方通知)。</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7.5协助甲方接待消防部门对酒店的安全大检查活动。如因消防设施工作不正常造成的损失，或维保不当，造成重大消防安全隐患的，由乙方承担全部损失，并承担不低于维保费的【1】%的罚款。</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7.6乙方在每次检查、维修、检修后【15】天内，应向甲方提交检查、维修报告。</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7.7维保过程中须更换设备或零配件的，由乙方书面报告甲方需要更换的设备及零配件清单、材料费用明细，经甲方书面确认同意，乙方负责将更换的设备及零配件材料全部交付至甲方指定地点并经甲方验收合格后更换。乙方所提供的设备及零配件材料均须符合国家标准或行业标准。</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7.8维修过程中换下的设备及零配件采取旧件回收，乙方应予配合，否则按未更换处理。更换的设备及零配件，由乙方免费保修一年。</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7.9乙方不得将消防设施转厂维保或挂靠维保。</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7.10全力配合各项大型接待的现场维护维保。</w:t>
      </w:r>
    </w:p>
    <w:p>
      <w:pPr>
        <w:spacing w:line="360" w:lineRule="auto"/>
        <w:ind w:firstLine="482" w:firstLineChars="200"/>
        <w:rPr>
          <w:rFonts w:cs="仿宋_GB2312" w:asciiTheme="minorEastAsia" w:hAnsiTheme="minorEastAsia" w:eastAsiaTheme="minorEastAsia"/>
          <w:b/>
          <w:bCs/>
          <w:color w:val="auto"/>
          <w:sz w:val="24"/>
          <w:szCs w:val="24"/>
        </w:rPr>
      </w:pPr>
      <w:r>
        <w:rPr>
          <w:rFonts w:hint="eastAsia" w:cs="仿宋_GB2312" w:asciiTheme="minorEastAsia" w:hAnsiTheme="minorEastAsia" w:eastAsiaTheme="minorEastAsia"/>
          <w:b/>
          <w:bCs/>
          <w:color w:val="auto"/>
          <w:sz w:val="24"/>
          <w:szCs w:val="24"/>
        </w:rPr>
        <w:t>第八条 违约责任</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8.1非紧急情形下甲方未经乙方同意，无故擅自允许非乙方维保人员进入维保区域进行修理、改动、更换消防系统零部件而导致系统故障，其责任与乙方无关，修复费用乙方不承担（除第七条第3款情况下），但甲方有理由认为系乙方人员的除外。</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8.2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8.3乙方接报修电话后，未经甲方同意，维修人员超时（超时1小时）到场，每次扣金300元，超出双方事前约定时间（超时1天）更换配件，每次扣维保金500元。若由于乙方维修不及时而造成的损失由乙方负责。未按照合同第二条约定进行维保的，每发生1次，扣除违约金【1000】元。</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8.4消防部门和酒店对消防系统例行检查，因乙方原因出现问题由乙方负责并承担所有费用。</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8.5若发生火灾时，由于消防设备不能及时启动而造成的损失由乙方负责，并承担消防部门认定的相应的法律责任。</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8.6合同期内，如乙方发生以下情况之一者，甲方有权提前解除合同，未付的维保费用，甲方不再支付。</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（1）超时（超时1小时）维修3次以上；</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（2）超时（超时1天）更换配件3次以上；</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（3）系统不能正常工作3天以上。</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（4）未履行包括但不限于本合同第六条约定的乙方义务。</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8.7乙方提供的维修材料或配件质量不符合约定，乙方须立即进行更换；因更换导致影响甲方正常使用的，每发生一次，须向甲方支付人民币500元的违约金，发生三次以上（含三次）的，甲方有权解除本合同。</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8.8如因乙方维保人员违规（含不具备资质、资格进行维修）操作造成消防设施损毁及第三者财产损失、人身伤亡的，乙方应赔偿给甲方造成的全部损失（含第三者的索赔）。</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8.9如乙方将消防设施转厂维保或挂靠维保，甲方有权解除本合同，并要求乙方支付违约金【10000】元。</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8.10合同履行期间，若因甲方失去物业管理权而导致本合同无法履行，本合同自动终止，甲方无需向乙方承担任何责任，按照乙方实际提供服务的时间折算维保费用，多退少补。</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8.11因乙方违约造成甲方损失的，乙方还应赔偿甲方为维护自身合法权益而支出的包括但不限于诉讼费、律师费、保全费、担保费、差旅费、文印费、诉讼保全保险费等一切支出。</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8.12甲方有权从应支付给乙方的款项中扣除相应的违约金、赔偿金等应由乙方支付的款项，不足抵扣的，甲方有权就不足部分继续向乙方追偿，乙方对此无异议，但甲方未扣除的并不视为对权利的放弃。</w:t>
      </w:r>
    </w:p>
    <w:p>
      <w:pPr>
        <w:spacing w:line="360" w:lineRule="auto"/>
        <w:ind w:firstLine="482" w:firstLineChars="200"/>
        <w:rPr>
          <w:rFonts w:cs="仿宋_GB2312" w:asciiTheme="minorEastAsia" w:hAnsiTheme="minorEastAsia" w:eastAsiaTheme="minorEastAsia"/>
          <w:b/>
          <w:bCs/>
          <w:color w:val="auto"/>
          <w:sz w:val="24"/>
          <w:szCs w:val="24"/>
        </w:rPr>
      </w:pPr>
      <w:r>
        <w:rPr>
          <w:rFonts w:hint="eastAsia" w:cs="仿宋_GB2312" w:asciiTheme="minorEastAsia" w:hAnsiTheme="minorEastAsia" w:eastAsiaTheme="minorEastAsia"/>
          <w:b/>
          <w:bCs/>
          <w:color w:val="auto"/>
          <w:sz w:val="24"/>
          <w:szCs w:val="24"/>
        </w:rPr>
        <w:t>第九条 免责条款</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因不可抗力原因导致火灾报警联动系统不正常工作时，甲乙双方互不承担责任和赔偿（如地震，洪水等不可预测的自然灾害）。</w:t>
      </w:r>
    </w:p>
    <w:p>
      <w:pPr>
        <w:spacing w:line="360" w:lineRule="auto"/>
        <w:ind w:firstLine="482" w:firstLineChars="200"/>
        <w:rPr>
          <w:rFonts w:cs="仿宋_GB2312" w:asciiTheme="minorEastAsia" w:hAnsiTheme="minorEastAsia" w:eastAsiaTheme="minorEastAsia"/>
          <w:b/>
          <w:bCs/>
          <w:color w:val="auto"/>
          <w:sz w:val="24"/>
          <w:szCs w:val="24"/>
        </w:rPr>
      </w:pPr>
      <w:r>
        <w:rPr>
          <w:rFonts w:hint="eastAsia" w:cs="仿宋_GB2312" w:asciiTheme="minorEastAsia" w:hAnsiTheme="minorEastAsia" w:eastAsiaTheme="minorEastAsia"/>
          <w:b/>
          <w:bCs/>
          <w:color w:val="auto"/>
          <w:sz w:val="24"/>
          <w:szCs w:val="24"/>
        </w:rPr>
        <w:t>第十条 送达地址</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甲方确认的通讯送达地址：</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收件人：         联系电话：</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电子邮箱：</w:t>
      </w:r>
    </w:p>
    <w:p>
      <w:pPr>
        <w:spacing w:line="360" w:lineRule="auto"/>
        <w:ind w:firstLine="480" w:firstLineChars="200"/>
        <w:rPr>
          <w:rFonts w:cs="仿宋_GB2312" w:asciiTheme="minorEastAsia" w:hAnsiTheme="minorEastAsia" w:eastAsiaTheme="minorEastAsia"/>
          <w:color w:val="auto"/>
          <w:sz w:val="24"/>
          <w:szCs w:val="24"/>
        </w:rPr>
      </w:pP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乙方确认的通讯送达地址：</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收件人：         联系电话：</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电子邮箱：</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乙方未明确送达地址的，则以乙方工商注册地址（乙方系个人的，为身份证地址）为通讯送达地址。双方确认并同意本合同约定的送达地址、电子邮箱亦作为双在诉讼或仲裁及执行等司法程序中的有效送达地址。</w:t>
      </w:r>
    </w:p>
    <w:p>
      <w:pPr>
        <w:spacing w:line="360" w:lineRule="auto"/>
        <w:ind w:firstLine="482" w:firstLineChars="200"/>
        <w:rPr>
          <w:rFonts w:cs="仿宋_GB2312" w:asciiTheme="minorEastAsia" w:hAnsiTheme="minorEastAsia" w:eastAsiaTheme="minorEastAsia"/>
          <w:b/>
          <w:bCs/>
          <w:color w:val="auto"/>
          <w:sz w:val="24"/>
          <w:szCs w:val="24"/>
        </w:rPr>
      </w:pPr>
      <w:r>
        <w:rPr>
          <w:rFonts w:hint="eastAsia" w:cs="仿宋_GB2312" w:asciiTheme="minorEastAsia" w:hAnsiTheme="minorEastAsia" w:eastAsiaTheme="minorEastAsia"/>
          <w:b/>
          <w:bCs/>
          <w:color w:val="auto"/>
          <w:sz w:val="24"/>
          <w:szCs w:val="24"/>
        </w:rPr>
        <w:t>第十一条   争议的解决</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11.1各方在本合同项下产生争议，应当首先友好协商解决。协商不成，任何一方均有权向甲方所在地人民法院起诉解决。。</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11.2本合同中任何条款的无效不应影响本合同其他条款的效力，在解决争议的过程中，各方应按本合同所有其他有效条款的约定继续履行本合同。</w:t>
      </w:r>
    </w:p>
    <w:p>
      <w:pPr>
        <w:spacing w:line="360" w:lineRule="auto"/>
        <w:ind w:firstLine="482"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b/>
          <w:bCs/>
          <w:color w:val="auto"/>
          <w:sz w:val="24"/>
          <w:szCs w:val="24"/>
        </w:rPr>
        <w:t>第十二条 其他事项</w:t>
      </w:r>
      <w:r>
        <w:rPr>
          <w:rFonts w:hint="eastAsia" w:cs="仿宋_GB2312" w:asciiTheme="minorEastAsia" w:hAnsiTheme="minorEastAsia" w:eastAsiaTheme="minorEastAsia"/>
          <w:color w:val="auto"/>
          <w:sz w:val="24"/>
          <w:szCs w:val="24"/>
        </w:rPr>
        <w:t xml:space="preserve">                                                                                                                                                                                                                                                                                                                                                                                                                                                                                                                                                                                                                                                                                                                                                                                                                                                                                                                                                                                                                                                                                                                                                                                                                                                                                                                                                                                                                                                                                                                                                                                                                                                                                                                                                                                                                                                                                                                                                                                                                                                                                                                                                                                                                                                                                                                                                                                                                                                                                                                                                                                                                                                                                                                                                                                                                                                                                                                                                                                                                                                                                                                                                                                                                                                                                                                                                                                                                                                                                                                                                                                                                                                                                                                                                                                                                                                                                                                                                                                                                                                                                                                                                                                                                </w:t>
      </w:r>
      <w:r>
        <w:rPr>
          <w:rFonts w:hint="eastAsia" w:cs="仿宋_GB2312" w:asciiTheme="minorEastAsia" w:hAnsiTheme="minorEastAsia" w:eastAsiaTheme="minorEastAsia"/>
          <w:color w:val="auto"/>
          <w:sz w:val="24"/>
          <w:szCs w:val="24"/>
        </w:rPr>
        <w:t xml:space="preserve">                                                                                                                                                                                                                                                                                                                                                                                                                                                                                                                                                                                                                                                                                                                                                                                                                                                                                                                                                                                                                                                                                                                                                                                                                                                                                                                                                                                                                                                                                                                                                                                                                                                                                                                                                                                                                                                                                                                                                                                                                                                                                                                                                                                                                                                                                                                                                                                                                                                                                                                                                                                                                                                                                                    </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12.1本合同生效的10日前，乙方应向甲方提供下列证明文件或材料；</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12.1.1营业执照复印件、法定代表人身份证明文件，如为加盟项目，还须提供特许加盟的授权委托证明；</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12.1.2签字人如为代理人，本合同签字人的授权委托书；</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12.1.3甲方要求提供的其它资料；</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12.2双方一致同意不向传播媒介或公众或第三方透露本合同的内容。</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12.3本合同经甲、乙双方法定代表人或授权代表签字（加注合同签订日期）、盖章后生效。</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12.4本合同正本一式【肆】份，甲方执【贰】份,乙方执【壹】份；相关部门备案【壹】份，均具有同等法律效力。</w:t>
      </w:r>
    </w:p>
    <w:p>
      <w:pPr>
        <w:spacing w:line="360" w:lineRule="auto"/>
        <w:ind w:firstLine="482" w:firstLineChars="200"/>
        <w:textAlignment w:val="baseline"/>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b/>
          <w:bCs/>
          <w:color w:val="auto"/>
          <w:sz w:val="24"/>
          <w:szCs w:val="24"/>
        </w:rPr>
        <w:t>第十三条 履约保证金</w:t>
      </w:r>
    </w:p>
    <w:p>
      <w:pPr>
        <w:spacing w:line="360" w:lineRule="auto"/>
        <w:ind w:firstLine="480" w:firstLineChars="200"/>
        <w:textAlignment w:val="baseline"/>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1.本项目履约保证金为中标价的5%</w:t>
      </w:r>
      <w:r>
        <w:rPr>
          <w:rFonts w:hint="eastAsia" w:cs="仿宋_GB2312" w:asciiTheme="minorEastAsia" w:hAnsiTheme="minorEastAsia" w:eastAsiaTheme="minorEastAsia"/>
          <w:color w:val="auto"/>
          <w:sz w:val="24"/>
          <w:szCs w:val="24"/>
          <w:u w:val="single"/>
        </w:rPr>
        <w:t xml:space="preserve">        </w:t>
      </w:r>
      <w:r>
        <w:rPr>
          <w:rFonts w:hint="eastAsia" w:cs="仿宋_GB2312" w:asciiTheme="minorEastAsia" w:hAnsiTheme="minorEastAsia" w:eastAsiaTheme="minorEastAsia"/>
          <w:color w:val="auto"/>
          <w:sz w:val="24"/>
          <w:szCs w:val="24"/>
        </w:rPr>
        <w:t>(人民币）大写【</w:t>
      </w:r>
      <w:r>
        <w:rPr>
          <w:rFonts w:hint="eastAsia" w:cs="仿宋_GB2312" w:asciiTheme="minorEastAsia" w:hAnsiTheme="minorEastAsia" w:eastAsiaTheme="minorEastAsia"/>
          <w:color w:val="auto"/>
          <w:sz w:val="24"/>
          <w:szCs w:val="24"/>
          <w:u w:val="single"/>
        </w:rPr>
        <w:t xml:space="preserve">        </w:t>
      </w:r>
      <w:r>
        <w:rPr>
          <w:rFonts w:hint="eastAsia" w:cs="仿宋_GB2312" w:asciiTheme="minorEastAsia" w:hAnsiTheme="minorEastAsia" w:eastAsiaTheme="minorEastAsia"/>
          <w:color w:val="auto"/>
          <w:sz w:val="24"/>
          <w:szCs w:val="24"/>
        </w:rPr>
        <w:t>】。</w:t>
      </w:r>
    </w:p>
    <w:p>
      <w:pPr>
        <w:spacing w:line="360" w:lineRule="auto"/>
        <w:ind w:firstLine="480" w:firstLineChars="200"/>
        <w:textAlignment w:val="baseline"/>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2.如乙方未能履行其合同规定的任何义务，甲方有权从履约保证金和应付乙方的维保费中直接扣除相应的赔偿金、违约金等。</w:t>
      </w:r>
    </w:p>
    <w:p>
      <w:pPr>
        <w:pStyle w:val="394"/>
        <w:spacing w:line="360" w:lineRule="auto"/>
        <w:ind w:firstLineChars="0"/>
        <w:rPr>
          <w:rFonts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3.履约保证金在本合同期限届满后，如乙方不存在任何违约行为，甲方在收到乙方申请后7个工作日内无息返还。</w:t>
      </w:r>
    </w:p>
    <w:p>
      <w:pPr>
        <w:spacing w:line="360" w:lineRule="auto"/>
        <w:ind w:firstLine="480" w:firstLineChars="200"/>
        <w:rPr>
          <w:rFonts w:cs="仿宋_GB2312" w:asciiTheme="minorEastAsia" w:hAnsiTheme="minorEastAsia" w:eastAsiaTheme="minorEastAsia"/>
          <w:color w:val="auto"/>
          <w:sz w:val="24"/>
          <w:szCs w:val="24"/>
        </w:rPr>
      </w:pPr>
    </w:p>
    <w:p>
      <w:pPr>
        <w:spacing w:line="360" w:lineRule="auto"/>
        <w:ind w:firstLine="480" w:firstLineChars="200"/>
        <w:rPr>
          <w:rFonts w:cs="仿宋_GB2312" w:asciiTheme="minorEastAsia" w:hAnsiTheme="minorEastAsia" w:eastAsiaTheme="minorEastAsia"/>
          <w:color w:val="auto"/>
          <w:sz w:val="24"/>
          <w:szCs w:val="24"/>
        </w:rPr>
      </w:pPr>
    </w:p>
    <w:p>
      <w:pPr>
        <w:pStyle w:val="394"/>
        <w:spacing w:line="360" w:lineRule="auto"/>
        <w:ind w:left="1480" w:firstLine="480"/>
        <w:rPr>
          <w:rFonts w:cs="仿宋_GB2312" w:asciiTheme="minorEastAsia" w:hAnsiTheme="minorEastAsia" w:eastAsiaTheme="minorEastAsia"/>
          <w:color w:val="auto"/>
          <w:sz w:val="24"/>
          <w:szCs w:val="24"/>
        </w:rPr>
      </w:pPr>
    </w:p>
    <w:p>
      <w:pPr>
        <w:pStyle w:val="394"/>
        <w:spacing w:line="360" w:lineRule="auto"/>
        <w:ind w:left="1480" w:firstLine="480"/>
        <w:rPr>
          <w:rFonts w:cs="仿宋_GB2312" w:asciiTheme="minorEastAsia" w:hAnsiTheme="minorEastAsia" w:eastAsiaTheme="minorEastAsia"/>
          <w:color w:val="auto"/>
          <w:sz w:val="24"/>
          <w:szCs w:val="24"/>
        </w:rPr>
      </w:pPr>
    </w:p>
    <w:p>
      <w:pPr>
        <w:pStyle w:val="394"/>
        <w:spacing w:line="360" w:lineRule="auto"/>
        <w:ind w:left="840" w:firstLine="0" w:firstLineChars="0"/>
        <w:rPr>
          <w:rFonts w:cs="仿宋_GB2312" w:asciiTheme="minorEastAsia" w:hAnsiTheme="minorEastAsia" w:eastAsiaTheme="minorEastAsia"/>
          <w:color w:val="auto"/>
          <w:sz w:val="24"/>
          <w:szCs w:val="24"/>
        </w:rPr>
      </w:pP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 xml:space="preserve">甲方（盖章）：                        </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法定代表人/授权代理人（签字）：</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签约日期：    年  月  日</w:t>
      </w:r>
    </w:p>
    <w:p>
      <w:pPr>
        <w:spacing w:line="360" w:lineRule="auto"/>
        <w:ind w:firstLine="480" w:firstLineChars="200"/>
        <w:rPr>
          <w:rFonts w:cs="仿宋_GB2312" w:asciiTheme="minorEastAsia" w:hAnsiTheme="minorEastAsia" w:eastAsiaTheme="minorEastAsia"/>
          <w:color w:val="auto"/>
          <w:sz w:val="24"/>
          <w:szCs w:val="24"/>
        </w:rPr>
      </w:pPr>
    </w:p>
    <w:p>
      <w:pPr>
        <w:spacing w:line="360" w:lineRule="auto"/>
        <w:ind w:firstLine="480" w:firstLineChars="200"/>
        <w:rPr>
          <w:rFonts w:cs="仿宋_GB2312" w:asciiTheme="minorEastAsia" w:hAnsiTheme="minorEastAsia" w:eastAsiaTheme="minorEastAsia"/>
          <w:color w:val="auto"/>
          <w:sz w:val="24"/>
          <w:szCs w:val="24"/>
        </w:rPr>
      </w:pP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乙方（盖章）：</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法定代表人/授权代理人（签字）：</w:t>
      </w:r>
    </w:p>
    <w:p>
      <w:pPr>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签约日期：    年  月  日</w:t>
      </w:r>
    </w:p>
    <w:p>
      <w:pPr>
        <w:spacing w:line="490" w:lineRule="exact"/>
        <w:ind w:firstLine="482" w:firstLineChars="200"/>
        <w:rPr>
          <w:rFonts w:ascii="宋体" w:hAnsi="宋体"/>
          <w:b/>
          <w:color w:val="auto"/>
          <w:sz w:val="24"/>
          <w:szCs w:val="27"/>
        </w:rPr>
      </w:pPr>
      <w:r>
        <w:rPr>
          <w:rFonts w:hint="eastAsia" w:ascii="宋体" w:hAnsi="宋体"/>
          <w:b/>
          <w:color w:val="auto"/>
          <w:sz w:val="24"/>
          <w:szCs w:val="27"/>
        </w:rPr>
        <w:t>备注：本合同仅供参考，如本合同的约定如与本项目</w:t>
      </w:r>
      <w:r>
        <w:rPr>
          <w:rFonts w:hint="eastAsia" w:ascii="宋体" w:hAnsi="宋体"/>
          <w:b/>
          <w:color w:val="auto"/>
          <w:sz w:val="24"/>
        </w:rPr>
        <w:t>招标</w:t>
      </w:r>
      <w:r>
        <w:rPr>
          <w:rFonts w:hint="eastAsia" w:ascii="宋体" w:hAnsi="宋体"/>
          <w:b/>
          <w:color w:val="auto"/>
          <w:sz w:val="24"/>
          <w:szCs w:val="27"/>
        </w:rPr>
        <w:t>文件的投标人须知前附表、</w:t>
      </w:r>
      <w:r>
        <w:rPr>
          <w:rFonts w:hint="eastAsia" w:ascii="宋体" w:hAnsi="宋体"/>
          <w:b/>
          <w:bCs/>
          <w:color w:val="auto"/>
          <w:sz w:val="24"/>
        </w:rPr>
        <w:t>招标需求</w:t>
      </w:r>
      <w:r>
        <w:rPr>
          <w:rFonts w:hint="eastAsia" w:ascii="宋体" w:hAnsi="宋体"/>
          <w:b/>
          <w:color w:val="auto"/>
          <w:sz w:val="24"/>
          <w:szCs w:val="27"/>
        </w:rPr>
        <w:t>的约定不一致的地方，以投标人须知前附表、</w:t>
      </w:r>
      <w:r>
        <w:rPr>
          <w:rFonts w:hint="eastAsia" w:ascii="宋体" w:hAnsi="宋体"/>
          <w:b/>
          <w:bCs/>
          <w:color w:val="auto"/>
          <w:sz w:val="24"/>
        </w:rPr>
        <w:t>招标需求</w:t>
      </w:r>
      <w:r>
        <w:rPr>
          <w:rFonts w:hint="eastAsia" w:ascii="宋体" w:hAnsi="宋体"/>
          <w:b/>
          <w:color w:val="auto"/>
          <w:sz w:val="24"/>
          <w:szCs w:val="27"/>
        </w:rPr>
        <w:t>的约定为准。</w:t>
      </w:r>
    </w:p>
    <w:p>
      <w:pPr>
        <w:pStyle w:val="2"/>
        <w:rPr>
          <w:color w:val="auto"/>
        </w:rPr>
      </w:pPr>
    </w:p>
    <w:p>
      <w:pPr>
        <w:pStyle w:val="2"/>
        <w:ind w:left="0" w:leftChars="0" w:firstLine="0" w:firstLineChars="0"/>
        <w:rPr>
          <w:color w:val="auto"/>
        </w:rPr>
      </w:pPr>
    </w:p>
    <w:p>
      <w:pPr>
        <w:pStyle w:val="6"/>
        <w:spacing w:line="500" w:lineRule="exact"/>
        <w:rPr>
          <w:rFonts w:ascii="宋体" w:hAnsi="宋体" w:eastAsia="宋体"/>
          <w:color w:val="000000" w:themeColor="text1"/>
          <w14:textFill>
            <w14:solidFill>
              <w14:schemeClr w14:val="tx1"/>
            </w14:solidFill>
          </w14:textFill>
        </w:rPr>
      </w:pPr>
      <w:bookmarkStart w:id="52" w:name="_Toc11737"/>
      <w:r>
        <w:rPr>
          <w:rFonts w:hint="eastAsia" w:ascii="宋体" w:hAnsi="宋体" w:eastAsia="宋体"/>
          <w:color w:val="000000" w:themeColor="text1"/>
          <w14:textFill>
            <w14:solidFill>
              <w14:schemeClr w14:val="tx1"/>
            </w14:solidFill>
          </w14:textFill>
        </w:rPr>
        <w:t>第七章 投标文件格式</w:t>
      </w:r>
      <w:bookmarkEnd w:id="52"/>
    </w:p>
    <w:p>
      <w:pPr>
        <w:rPr>
          <w:color w:val="000000" w:themeColor="text1"/>
          <w14:textFill>
            <w14:solidFill>
              <w14:schemeClr w14:val="tx1"/>
            </w14:solidFill>
          </w14:textFill>
        </w:rPr>
      </w:pPr>
    </w:p>
    <w:p>
      <w:pPr>
        <w:jc w:val="center"/>
        <w:rPr>
          <w:rFonts w:ascii="宋体" w:hAnsi="宋体"/>
          <w:color w:val="000000" w:themeColor="text1"/>
          <w:sz w:val="28"/>
          <w:szCs w:val="28"/>
          <w14:textFill>
            <w14:solidFill>
              <w14:schemeClr w14:val="tx1"/>
            </w14:solidFill>
          </w14:textFill>
        </w:rPr>
      </w:pPr>
      <w:bookmarkStart w:id="53" w:name="_Toc479262713"/>
      <w:bookmarkStart w:id="54" w:name="_Toc530142180"/>
      <w:bookmarkStart w:id="55" w:name="_Toc50651774"/>
      <w:bookmarkStart w:id="56" w:name="_Toc524462521"/>
      <w:bookmarkStart w:id="57" w:name="_Toc28799390"/>
      <w:bookmarkStart w:id="58" w:name="_Toc26711494"/>
    </w:p>
    <w:p>
      <w:pPr>
        <w:jc w:val="center"/>
        <w:rPr>
          <w:rFonts w:ascii="黑体" w:eastAsia="黑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（项目名称）</w:t>
      </w:r>
      <w:r>
        <w:rPr>
          <w:rFonts w:hint="eastAsia" w:ascii="黑体" w:eastAsia="黑体"/>
          <w:color w:val="000000" w:themeColor="text1"/>
          <w:sz w:val="28"/>
          <w:szCs w:val="28"/>
          <w14:textFill>
            <w14:solidFill>
              <w14:schemeClr w14:val="tx1"/>
            </w14:solidFill>
          </w14:textFill>
        </w:rPr>
        <w:t>标段招标</w:t>
      </w:r>
    </w:p>
    <w:p>
      <w:pPr>
        <w:jc w:val="center"/>
        <w:rPr>
          <w:rFonts w:ascii="黑体" w:eastAsia="黑体"/>
          <w:color w:val="000000" w:themeColor="text1"/>
          <w:sz w:val="28"/>
          <w:szCs w:val="28"/>
          <w14:textFill>
            <w14:solidFill>
              <w14:schemeClr w14:val="tx1"/>
            </w14:solidFill>
          </w14:textFill>
        </w:rPr>
      </w:pPr>
    </w:p>
    <w:p>
      <w:pPr>
        <w:jc w:val="center"/>
        <w:rPr>
          <w:rFonts w:ascii="黑体" w:eastAsia="黑体"/>
          <w:color w:val="000000" w:themeColor="text1"/>
          <w:sz w:val="28"/>
          <w:szCs w:val="28"/>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keepNext/>
        <w:keepLines/>
        <w:spacing w:before="260" w:after="260" w:line="416" w:lineRule="auto"/>
        <w:jc w:val="center"/>
        <w:outlineLvl w:val="1"/>
        <w:rPr>
          <w:rFonts w:ascii="黑体" w:hAnsi="黑体" w:eastAsia="黑体"/>
          <w:bCs/>
          <w:color w:val="000000" w:themeColor="text1"/>
          <w:sz w:val="32"/>
          <w:szCs w:val="32"/>
          <w:lang w:val="zh-CN"/>
          <w14:textFill>
            <w14:solidFill>
              <w14:schemeClr w14:val="tx1"/>
            </w14:solidFill>
          </w14:textFill>
        </w:rPr>
      </w:pPr>
      <w:bookmarkStart w:id="59" w:name="_Toc50651773"/>
      <w:r>
        <w:rPr>
          <w:rFonts w:hint="eastAsia" w:ascii="黑体" w:hAnsi="黑体" w:eastAsia="黑体"/>
          <w:bCs/>
          <w:color w:val="000000" w:themeColor="text1"/>
          <w:sz w:val="44"/>
          <w:szCs w:val="44"/>
          <w:lang w:val="zh-CN"/>
          <w14:textFill>
            <w14:solidFill>
              <w14:schemeClr w14:val="tx1"/>
            </w14:solidFill>
          </w14:textFill>
        </w:rPr>
        <w:t>投标文件</w:t>
      </w:r>
      <w:r>
        <w:rPr>
          <w:rFonts w:ascii="Cambria" w:hAnsi="Cambria"/>
          <w:bCs/>
          <w:color w:val="000000" w:themeColor="text1"/>
          <w:sz w:val="44"/>
          <w:szCs w:val="44"/>
          <w:lang w:val="zh-CN"/>
          <w14:textFill>
            <w14:solidFill>
              <w14:schemeClr w14:val="tx1"/>
            </w14:solidFill>
          </w14:textFill>
        </w:rPr>
        <w:br w:type="textWrapping"/>
      </w:r>
      <w:bookmarkEnd w:id="59"/>
    </w:p>
    <w:p>
      <w:pPr>
        <w:pStyle w:val="2"/>
        <w:rPr>
          <w:color w:val="000000" w:themeColor="text1"/>
          <w:lang w:val="zh-CN"/>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spacing w:line="360" w:lineRule="auto"/>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投标人：（盖单位章）</w:t>
      </w:r>
    </w:p>
    <w:p>
      <w:pPr>
        <w:spacing w:line="360" w:lineRule="auto"/>
        <w:jc w:val="center"/>
        <w:rPr>
          <w:rFonts w:ascii="黑体" w:eastAsia="黑体"/>
          <w:color w:val="000000" w:themeColor="text1"/>
          <w:sz w:val="28"/>
          <w:szCs w:val="28"/>
          <w14:textFill>
            <w14:solidFill>
              <w14:schemeClr w14:val="tx1"/>
            </w14:solidFill>
          </w14:textFill>
        </w:rPr>
      </w:pPr>
    </w:p>
    <w:p>
      <w:pPr>
        <w:jc w:val="center"/>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年月日</w:t>
      </w:r>
    </w:p>
    <w:p>
      <w:pPr>
        <w:keepNext/>
        <w:keepLines/>
        <w:spacing w:before="120" w:after="120" w:line="400" w:lineRule="exact"/>
        <w:jc w:val="center"/>
        <w:outlineLvl w:val="1"/>
        <w:rPr>
          <w:rFonts w:ascii="Arial" w:hAnsi="Arial" w:cs="Calibri"/>
          <w:b/>
          <w:bCs/>
          <w:color w:val="000000" w:themeColor="text1"/>
          <w:sz w:val="32"/>
          <w:szCs w:val="32"/>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ind w:left="0" w:leftChars="0" w:firstLine="0" w:firstLineChars="0"/>
        <w:rPr>
          <w:color w:val="000000" w:themeColor="text1"/>
          <w14:textFill>
            <w14:solidFill>
              <w14:schemeClr w14:val="tx1"/>
            </w14:solidFill>
          </w14:textFill>
        </w:rPr>
      </w:pPr>
    </w:p>
    <w:p>
      <w:pPr>
        <w:keepNext/>
        <w:keepLines/>
        <w:spacing w:before="120" w:after="120" w:line="400" w:lineRule="exact"/>
        <w:jc w:val="center"/>
        <w:outlineLvl w:val="1"/>
        <w:rPr>
          <w:rFonts w:ascii="Arial" w:hAnsi="Arial" w:cs="Calibri"/>
          <w:b/>
          <w:bCs/>
          <w:color w:val="000000" w:themeColor="text1"/>
          <w:sz w:val="32"/>
          <w:szCs w:val="32"/>
          <w14:textFill>
            <w14:solidFill>
              <w14:schemeClr w14:val="tx1"/>
            </w14:solidFill>
          </w14:textFill>
        </w:rPr>
      </w:pPr>
      <w:r>
        <w:rPr>
          <w:rFonts w:hint="eastAsia" w:ascii="Arial" w:hAnsi="Arial" w:cs="Calibri"/>
          <w:b/>
          <w:bCs/>
          <w:color w:val="000000" w:themeColor="text1"/>
          <w:sz w:val="32"/>
          <w:szCs w:val="32"/>
          <w14:textFill>
            <w14:solidFill>
              <w14:schemeClr w14:val="tx1"/>
            </w14:solidFill>
          </w14:textFill>
        </w:rPr>
        <w:t>评审因素索引表</w:t>
      </w:r>
      <w:bookmarkEnd w:id="53"/>
      <w:bookmarkEnd w:id="54"/>
      <w:bookmarkEnd w:id="55"/>
      <w:bookmarkEnd w:id="56"/>
      <w:bookmarkEnd w:id="57"/>
      <w:bookmarkEnd w:id="58"/>
    </w:p>
    <w:p>
      <w:pPr>
        <w:jc w:val="center"/>
        <w:rPr>
          <w:rFonts w:ascii="Calibri" w:hAnsi="Calibri"/>
          <w:color w:val="000000" w:themeColor="text1"/>
          <w:sz w:val="24"/>
          <w14:textFill>
            <w14:solidFill>
              <w14:schemeClr w14:val="tx1"/>
            </w14:solidFill>
          </w14:textFill>
        </w:rPr>
      </w:pPr>
    </w:p>
    <w:tbl>
      <w:tblPr>
        <w:tblStyle w:val="66"/>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820"/>
        <w:gridCol w:w="3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b/>
                <w:color w:val="000000" w:themeColor="text1"/>
                <w:sz w:val="24"/>
                <w14:textFill>
                  <w14:solidFill>
                    <w14:schemeClr w14:val="tx1"/>
                  </w14:solidFill>
                </w14:textFill>
              </w:rPr>
            </w:pPr>
            <w:bookmarkStart w:id="60" w:name="_Toc256695443"/>
            <w:bookmarkStart w:id="61" w:name="_Toc256691567"/>
            <w:r>
              <w:rPr>
                <w:rFonts w:hint="eastAsia" w:ascii="Calibri" w:hAnsi="Calibri"/>
                <w:b/>
                <w:color w:val="000000" w:themeColor="text1"/>
                <w:sz w:val="24"/>
                <w14:textFill>
                  <w14:solidFill>
                    <w14:schemeClr w14:val="tx1"/>
                  </w14:solidFill>
                </w14:textFill>
              </w:rPr>
              <w:t>序号</w:t>
            </w:r>
            <w:bookmarkEnd w:id="60"/>
            <w:bookmarkEnd w:id="61"/>
          </w:p>
        </w:tc>
        <w:tc>
          <w:tcPr>
            <w:tcW w:w="4820" w:type="dxa"/>
            <w:vAlign w:val="center"/>
          </w:tcPr>
          <w:p>
            <w:pPr>
              <w:jc w:val="center"/>
              <w:rPr>
                <w:rFonts w:ascii="Calibri" w:hAnsi="Calibri"/>
                <w:b/>
                <w:color w:val="000000" w:themeColor="text1"/>
                <w:sz w:val="24"/>
                <w14:textFill>
                  <w14:solidFill>
                    <w14:schemeClr w14:val="tx1"/>
                  </w14:solidFill>
                </w14:textFill>
              </w:rPr>
            </w:pPr>
            <w:bookmarkStart w:id="62" w:name="_Toc256695444"/>
            <w:bookmarkStart w:id="63" w:name="_Toc256691568"/>
            <w:r>
              <w:rPr>
                <w:rFonts w:hint="eastAsia" w:ascii="Calibri" w:hAnsi="Calibri"/>
                <w:b/>
                <w:color w:val="000000" w:themeColor="text1"/>
                <w:sz w:val="24"/>
                <w14:textFill>
                  <w14:solidFill>
                    <w14:schemeClr w14:val="tx1"/>
                  </w14:solidFill>
                </w14:textFill>
              </w:rPr>
              <w:t>评审因素</w:t>
            </w:r>
            <w:bookmarkEnd w:id="62"/>
            <w:bookmarkEnd w:id="63"/>
          </w:p>
        </w:tc>
        <w:tc>
          <w:tcPr>
            <w:tcW w:w="3649" w:type="dxa"/>
            <w:vAlign w:val="center"/>
          </w:tcPr>
          <w:p>
            <w:pPr>
              <w:jc w:val="center"/>
              <w:rPr>
                <w:rFonts w:ascii="Calibri" w:hAnsi="Calibri"/>
                <w:b/>
                <w:color w:val="000000" w:themeColor="text1"/>
                <w:sz w:val="24"/>
                <w14:textFill>
                  <w14:solidFill>
                    <w14:schemeClr w14:val="tx1"/>
                  </w14:solidFill>
                </w14:textFill>
              </w:rPr>
            </w:pPr>
            <w:bookmarkStart w:id="64" w:name="_Toc256691569"/>
            <w:bookmarkStart w:id="65" w:name="_Toc256695445"/>
            <w:r>
              <w:rPr>
                <w:rFonts w:hint="eastAsia" w:ascii="Calibri" w:hAnsi="Calibri"/>
                <w:b/>
                <w:color w:val="000000" w:themeColor="text1"/>
                <w:sz w:val="24"/>
                <w14:textFill>
                  <w14:solidFill>
                    <w14:schemeClr w14:val="tx1"/>
                  </w14:solidFill>
                </w14:textFill>
              </w:rPr>
              <w:t>投标文件页码范围</w:t>
            </w:r>
            <w:bookmarkEnd w:id="64"/>
            <w:bookmarkEnd w:id="6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4"/>
                <w14:textFill>
                  <w14:solidFill>
                    <w14:schemeClr w14:val="tx1"/>
                  </w14:solidFill>
                </w14:textFill>
              </w:rPr>
            </w:pPr>
          </w:p>
        </w:tc>
        <w:tc>
          <w:tcPr>
            <w:tcW w:w="4820" w:type="dxa"/>
            <w:vAlign w:val="center"/>
          </w:tcPr>
          <w:p>
            <w:pPr>
              <w:jc w:val="center"/>
              <w:rPr>
                <w:rFonts w:ascii="Calibri" w:hAnsi="Calibri"/>
                <w:color w:val="000000" w:themeColor="text1"/>
                <w:sz w:val="24"/>
                <w14:textFill>
                  <w14:solidFill>
                    <w14:schemeClr w14:val="tx1"/>
                  </w14:solidFill>
                </w14:textFill>
              </w:rPr>
            </w:pPr>
          </w:p>
        </w:tc>
        <w:tc>
          <w:tcPr>
            <w:tcW w:w="3649" w:type="dxa"/>
            <w:vAlign w:val="center"/>
          </w:tcPr>
          <w:p>
            <w:pPr>
              <w:jc w:val="center"/>
              <w:rPr>
                <w:rFonts w:ascii="Calibri" w:hAnsi="Calibri"/>
                <w:color w:val="000000" w:themeColor="text1"/>
                <w:sz w:val="24"/>
                <w14:textFill>
                  <w14:solidFill>
                    <w14:schemeClr w14:val="tx1"/>
                  </w14:solidFill>
                </w14:textFill>
              </w:rPr>
            </w:pPr>
            <w:bookmarkStart w:id="66" w:name="_Toc256691570"/>
            <w:bookmarkStart w:id="67" w:name="_Toc256695446"/>
            <w:r>
              <w:rPr>
                <w:rFonts w:hint="eastAsia" w:ascii="Calibri" w:hAnsi="Calibri"/>
                <w:color w:val="000000" w:themeColor="text1"/>
                <w:sz w:val="24"/>
                <w14:textFill>
                  <w14:solidFill>
                    <w14:schemeClr w14:val="tx1"/>
                  </w14:solidFill>
                </w14:textFill>
              </w:rPr>
              <w:t>P---  P</w:t>
            </w:r>
            <w:bookmarkEnd w:id="66"/>
            <w:bookmarkEnd w:id="6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4"/>
                <w14:textFill>
                  <w14:solidFill>
                    <w14:schemeClr w14:val="tx1"/>
                  </w14:solidFill>
                </w14:textFill>
              </w:rPr>
            </w:pPr>
            <w:bookmarkStart w:id="68" w:name="_Toc256695447"/>
            <w:bookmarkStart w:id="69" w:name="_Toc256691571"/>
            <w:r>
              <w:rPr>
                <w:rFonts w:hint="eastAsia" w:ascii="Calibri" w:hAnsi="Calibri"/>
                <w:color w:val="000000" w:themeColor="text1"/>
                <w:sz w:val="24"/>
                <w14:textFill>
                  <w14:solidFill>
                    <w14:schemeClr w14:val="tx1"/>
                  </w14:solidFill>
                </w14:textFill>
              </w:rPr>
              <w:t>P---  P</w:t>
            </w:r>
            <w:bookmarkEnd w:id="68"/>
            <w:bookmarkEnd w:id="6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4"/>
                <w14:textFill>
                  <w14:solidFill>
                    <w14:schemeClr w14:val="tx1"/>
                  </w14:solidFill>
                </w14:textFill>
              </w:rPr>
            </w:pPr>
            <w:bookmarkStart w:id="70" w:name="_Toc256691572"/>
            <w:bookmarkStart w:id="71" w:name="_Toc256695448"/>
            <w:r>
              <w:rPr>
                <w:rFonts w:hint="eastAsia" w:ascii="Calibri" w:hAnsi="Calibri"/>
                <w:color w:val="000000" w:themeColor="text1"/>
                <w:sz w:val="24"/>
                <w14:textFill>
                  <w14:solidFill>
                    <w14:schemeClr w14:val="tx1"/>
                  </w14:solidFill>
                </w14:textFill>
              </w:rPr>
              <w:t>P---  P</w:t>
            </w:r>
            <w:bookmarkEnd w:id="70"/>
            <w:bookmarkEnd w:id="7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4"/>
                <w14:textFill>
                  <w14:solidFill>
                    <w14:schemeClr w14:val="tx1"/>
                  </w14:solidFill>
                </w14:textFill>
              </w:rPr>
            </w:pPr>
            <w:bookmarkStart w:id="72" w:name="_Toc256691573"/>
            <w:bookmarkStart w:id="73" w:name="_Toc256695449"/>
            <w:r>
              <w:rPr>
                <w:rFonts w:hint="eastAsia" w:ascii="Calibri" w:hAnsi="Calibri"/>
                <w:color w:val="000000" w:themeColor="text1"/>
                <w:sz w:val="24"/>
                <w14:textFill>
                  <w14:solidFill>
                    <w14:schemeClr w14:val="tx1"/>
                  </w14:solidFill>
                </w14:textFill>
              </w:rPr>
              <w:t>P---  P</w:t>
            </w:r>
            <w:bookmarkEnd w:id="72"/>
            <w:bookmarkEnd w:id="7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4"/>
                <w14:textFill>
                  <w14:solidFill>
                    <w14:schemeClr w14:val="tx1"/>
                  </w14:solidFill>
                </w14:textFill>
              </w:rPr>
            </w:pPr>
            <w:bookmarkStart w:id="74" w:name="_Toc256691574"/>
            <w:bookmarkStart w:id="75" w:name="_Toc256695450"/>
            <w:r>
              <w:rPr>
                <w:rFonts w:hint="eastAsia" w:ascii="Calibri" w:hAnsi="Calibri"/>
                <w:color w:val="000000" w:themeColor="text1"/>
                <w:sz w:val="24"/>
                <w14:textFill>
                  <w14:solidFill>
                    <w14:schemeClr w14:val="tx1"/>
                  </w14:solidFill>
                </w14:textFill>
              </w:rPr>
              <w:t>P---  P</w:t>
            </w:r>
            <w:bookmarkEnd w:id="74"/>
            <w:bookmarkEnd w:id="7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4"/>
                <w14:textFill>
                  <w14:solidFill>
                    <w14:schemeClr w14:val="tx1"/>
                  </w14:solidFill>
                </w14:textFill>
              </w:rPr>
            </w:pPr>
            <w:bookmarkStart w:id="76" w:name="_Toc256695451"/>
            <w:bookmarkStart w:id="77" w:name="_Toc256691575"/>
            <w:r>
              <w:rPr>
                <w:rFonts w:hint="eastAsia" w:ascii="Calibri" w:hAnsi="Calibri"/>
                <w:color w:val="000000" w:themeColor="text1"/>
                <w:sz w:val="24"/>
                <w14:textFill>
                  <w14:solidFill>
                    <w14:schemeClr w14:val="tx1"/>
                  </w14:solidFill>
                </w14:textFill>
              </w:rPr>
              <w:t>P---  P</w:t>
            </w:r>
            <w:bookmarkEnd w:id="76"/>
            <w:bookmarkEnd w:id="7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4"/>
                <w14:textFill>
                  <w14:solidFill>
                    <w14:schemeClr w14:val="tx1"/>
                  </w14:solidFill>
                </w14:textFill>
              </w:rPr>
            </w:pPr>
            <w:bookmarkStart w:id="78" w:name="_Toc256691576"/>
            <w:bookmarkStart w:id="79" w:name="_Toc256695452"/>
            <w:r>
              <w:rPr>
                <w:rFonts w:hint="eastAsia" w:ascii="Calibri" w:hAnsi="Calibri"/>
                <w:color w:val="000000" w:themeColor="text1"/>
                <w:sz w:val="24"/>
                <w14:textFill>
                  <w14:solidFill>
                    <w14:schemeClr w14:val="tx1"/>
                  </w14:solidFill>
                </w14:textFill>
              </w:rPr>
              <w:t>P---  P</w:t>
            </w:r>
            <w:bookmarkEnd w:id="78"/>
            <w:bookmarkEnd w:id="7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4"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4"/>
                <w14:textFill>
                  <w14:solidFill>
                    <w14:schemeClr w14:val="tx1"/>
                  </w14:solidFill>
                </w14:textFill>
              </w:rPr>
            </w:pPr>
            <w:bookmarkStart w:id="80" w:name="_Toc256691577"/>
            <w:bookmarkStart w:id="81" w:name="_Toc256695453"/>
            <w:r>
              <w:rPr>
                <w:rFonts w:hint="eastAsia" w:ascii="Calibri" w:hAnsi="Calibri"/>
                <w:color w:val="000000" w:themeColor="text1"/>
                <w:sz w:val="24"/>
                <w14:textFill>
                  <w14:solidFill>
                    <w14:schemeClr w14:val="tx1"/>
                  </w14:solidFill>
                </w14:textFill>
              </w:rPr>
              <w:t>P---  P</w:t>
            </w:r>
            <w:bookmarkEnd w:id="80"/>
            <w:bookmarkEnd w:id="8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4"/>
                <w14:textFill>
                  <w14:solidFill>
                    <w14:schemeClr w14:val="tx1"/>
                  </w14:solidFill>
                </w14:textFill>
              </w:rPr>
            </w:pPr>
            <w:bookmarkStart w:id="82" w:name="_Toc256695454"/>
            <w:bookmarkStart w:id="83" w:name="_Toc256691578"/>
            <w:r>
              <w:rPr>
                <w:rFonts w:hint="eastAsia" w:ascii="Calibri" w:hAnsi="Calibri"/>
                <w:color w:val="000000" w:themeColor="text1"/>
                <w:sz w:val="24"/>
                <w14:textFill>
                  <w14:solidFill>
                    <w14:schemeClr w14:val="tx1"/>
                  </w14:solidFill>
                </w14:textFill>
              </w:rPr>
              <w:t>P---  P</w:t>
            </w:r>
            <w:bookmarkEnd w:id="82"/>
            <w:bookmarkEnd w:id="8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4"/>
                <w14:textFill>
                  <w14:solidFill>
                    <w14:schemeClr w14:val="tx1"/>
                  </w14:solidFill>
                </w14:textFill>
              </w:rPr>
            </w:pPr>
            <w:bookmarkStart w:id="84" w:name="_Toc256691579"/>
            <w:bookmarkStart w:id="85" w:name="_Toc256695455"/>
            <w:r>
              <w:rPr>
                <w:rFonts w:hint="eastAsia" w:ascii="Calibri" w:hAnsi="Calibri"/>
                <w:color w:val="000000" w:themeColor="text1"/>
                <w:sz w:val="24"/>
                <w14:textFill>
                  <w14:solidFill>
                    <w14:schemeClr w14:val="tx1"/>
                  </w14:solidFill>
                </w14:textFill>
              </w:rPr>
              <w:t>P---  P</w:t>
            </w:r>
            <w:bookmarkEnd w:id="84"/>
            <w:bookmarkEnd w:id="8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8"/>
                <w:szCs w:val="28"/>
                <w14:textFill>
                  <w14:solidFill>
                    <w14:schemeClr w14:val="tx1"/>
                  </w14:solidFill>
                </w14:textFill>
              </w:rPr>
            </w:pPr>
            <w:bookmarkStart w:id="86" w:name="_Toc256695456"/>
            <w:bookmarkStart w:id="87" w:name="_Toc256691580"/>
            <w:r>
              <w:rPr>
                <w:rFonts w:hint="eastAsia" w:ascii="Calibri" w:hAnsi="Calibri"/>
                <w:color w:val="000000" w:themeColor="text1"/>
                <w:sz w:val="24"/>
                <w14:textFill>
                  <w14:solidFill>
                    <w14:schemeClr w14:val="tx1"/>
                  </w14:solidFill>
                </w14:textFill>
              </w:rPr>
              <w:t>P---  P</w:t>
            </w:r>
            <w:bookmarkEnd w:id="86"/>
            <w:bookmarkEnd w:id="8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4"/>
                <w14:textFill>
                  <w14:solidFill>
                    <w14:schemeClr w14:val="tx1"/>
                  </w14:solidFill>
                </w14:textFill>
              </w:rPr>
            </w:pPr>
            <w:bookmarkStart w:id="88" w:name="_Toc256691581"/>
            <w:bookmarkStart w:id="89" w:name="_Toc256695457"/>
            <w:r>
              <w:rPr>
                <w:rFonts w:hint="eastAsia" w:ascii="Calibri" w:hAnsi="Calibri"/>
                <w:color w:val="000000" w:themeColor="text1"/>
                <w:sz w:val="24"/>
                <w14:textFill>
                  <w14:solidFill>
                    <w14:schemeClr w14:val="tx1"/>
                  </w14:solidFill>
                </w14:textFill>
              </w:rPr>
              <w:t>P---  P</w:t>
            </w:r>
            <w:bookmarkEnd w:id="88"/>
            <w:bookmarkEnd w:id="8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8"/>
                <w:szCs w:val="28"/>
                <w14:textFill>
                  <w14:solidFill>
                    <w14:schemeClr w14:val="tx1"/>
                  </w14:solidFill>
                </w14:textFill>
              </w:rPr>
            </w:pPr>
            <w:bookmarkStart w:id="90" w:name="_Toc256691582"/>
            <w:bookmarkStart w:id="91" w:name="_Toc256695458"/>
            <w:r>
              <w:rPr>
                <w:rFonts w:hint="eastAsia" w:ascii="Calibri" w:hAnsi="Calibri"/>
                <w:color w:val="000000" w:themeColor="text1"/>
                <w:sz w:val="24"/>
                <w14:textFill>
                  <w14:solidFill>
                    <w14:schemeClr w14:val="tx1"/>
                  </w14:solidFill>
                </w14:textFill>
              </w:rPr>
              <w:t>P---  P</w:t>
            </w:r>
            <w:bookmarkEnd w:id="90"/>
            <w:bookmarkEnd w:id="9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bookmarkStart w:id="92" w:name="_Toc256695459"/>
            <w:bookmarkStart w:id="93" w:name="_Toc256691583"/>
            <w:r>
              <w:rPr>
                <w:rFonts w:hint="eastAsia" w:ascii="Calibri" w:hAnsi="Calibri"/>
                <w:color w:val="000000" w:themeColor="text1"/>
                <w:sz w:val="28"/>
                <w:szCs w:val="28"/>
                <w14:textFill>
                  <w14:solidFill>
                    <w14:schemeClr w14:val="tx1"/>
                  </w14:solidFill>
                </w14:textFill>
              </w:rPr>
              <w:t>……</w:t>
            </w:r>
            <w:bookmarkEnd w:id="92"/>
            <w:bookmarkEnd w:id="93"/>
          </w:p>
        </w:tc>
        <w:tc>
          <w:tcPr>
            <w:tcW w:w="3649" w:type="dxa"/>
            <w:vAlign w:val="center"/>
          </w:tcPr>
          <w:p>
            <w:pPr>
              <w:jc w:val="center"/>
              <w:rPr>
                <w:rFonts w:ascii="Calibri" w:hAnsi="Calibri"/>
                <w:color w:val="000000" w:themeColor="text1"/>
                <w:sz w:val="24"/>
                <w14:textFill>
                  <w14:solidFill>
                    <w14:schemeClr w14:val="tx1"/>
                  </w14:solidFill>
                </w14:textFill>
              </w:rPr>
            </w:pPr>
            <w:bookmarkStart w:id="94" w:name="_Toc256695460"/>
            <w:bookmarkStart w:id="95" w:name="_Toc256691584"/>
            <w:r>
              <w:rPr>
                <w:rFonts w:hint="eastAsia" w:ascii="Calibri" w:hAnsi="Calibri"/>
                <w:color w:val="000000" w:themeColor="text1"/>
                <w:sz w:val="28"/>
                <w:szCs w:val="28"/>
                <w14:textFill>
                  <w14:solidFill>
                    <w14:schemeClr w14:val="tx1"/>
                  </w14:solidFill>
                </w14:textFill>
              </w:rPr>
              <w:t>……</w:t>
            </w:r>
            <w:bookmarkEnd w:id="94"/>
            <w:bookmarkEnd w:id="9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817" w:type="dxa"/>
            <w:vAlign w:val="center"/>
          </w:tcPr>
          <w:p>
            <w:pPr>
              <w:jc w:val="center"/>
              <w:rPr>
                <w:rFonts w:ascii="Calibri" w:hAnsi="Calibri"/>
                <w:color w:val="000000" w:themeColor="text1"/>
                <w:sz w:val="28"/>
                <w:szCs w:val="28"/>
                <w14:textFill>
                  <w14:solidFill>
                    <w14:schemeClr w14:val="tx1"/>
                  </w14:solidFill>
                </w14:textFill>
              </w:rPr>
            </w:pPr>
          </w:p>
        </w:tc>
        <w:tc>
          <w:tcPr>
            <w:tcW w:w="4820" w:type="dxa"/>
            <w:vAlign w:val="center"/>
          </w:tcPr>
          <w:p>
            <w:pPr>
              <w:jc w:val="center"/>
              <w:rPr>
                <w:rFonts w:ascii="Calibri" w:hAnsi="Calibri"/>
                <w:color w:val="000000" w:themeColor="text1"/>
                <w:sz w:val="28"/>
                <w:szCs w:val="28"/>
                <w14:textFill>
                  <w14:solidFill>
                    <w14:schemeClr w14:val="tx1"/>
                  </w14:solidFill>
                </w14:textFill>
              </w:rPr>
            </w:pPr>
          </w:p>
        </w:tc>
        <w:tc>
          <w:tcPr>
            <w:tcW w:w="3649" w:type="dxa"/>
            <w:vAlign w:val="center"/>
          </w:tcPr>
          <w:p>
            <w:pPr>
              <w:jc w:val="center"/>
              <w:rPr>
                <w:rFonts w:ascii="Calibri" w:hAnsi="Calibri"/>
                <w:color w:val="000000" w:themeColor="text1"/>
                <w:sz w:val="28"/>
                <w:szCs w:val="28"/>
                <w14:textFill>
                  <w14:solidFill>
                    <w14:schemeClr w14:val="tx1"/>
                  </w14:solidFill>
                </w14:textFill>
              </w:rPr>
            </w:pPr>
          </w:p>
        </w:tc>
      </w:tr>
    </w:tbl>
    <w:p>
      <w:pPr>
        <w:spacing w:line="500" w:lineRule="exact"/>
        <w:jc w:val="center"/>
        <w:rPr>
          <w:rFonts w:ascii="宋体" w:hAnsi="宋体"/>
          <w:b/>
          <w:color w:val="000000" w:themeColor="text1"/>
          <w:sz w:val="24"/>
          <w:szCs w:val="24"/>
          <w14:textFill>
            <w14:solidFill>
              <w14:schemeClr w14:val="tx1"/>
            </w14:solidFill>
          </w14:textFill>
        </w:rPr>
      </w:pPr>
      <w:r>
        <w:rPr>
          <w:rFonts w:ascii="黑体" w:eastAsia="黑体"/>
          <w:color w:val="000000" w:themeColor="text1"/>
          <w:sz w:val="28"/>
          <w:szCs w:val="28"/>
          <w14:textFill>
            <w14:solidFill>
              <w14:schemeClr w14:val="tx1"/>
            </w14:solidFill>
          </w14:textFill>
        </w:rPr>
        <w:br w:type="page"/>
      </w:r>
    </w:p>
    <w:p>
      <w:pPr>
        <w:spacing w:line="50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投标文件资料目录</w:t>
      </w:r>
    </w:p>
    <w:tbl>
      <w:tblPr>
        <w:tblStyle w:val="66"/>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5376"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资料名称</w:t>
            </w:r>
          </w:p>
        </w:tc>
        <w:tc>
          <w:tcPr>
            <w:tcW w:w="2625"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Calibri" w:hAnsi="Calibri"/>
                <w:b/>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w:t>
            </w:r>
          </w:p>
        </w:tc>
        <w:tc>
          <w:tcPr>
            <w:tcW w:w="5376" w:type="dxa"/>
            <w:vAlign w:val="center"/>
          </w:tcPr>
          <w:p>
            <w:pPr>
              <w:rPr>
                <w:rFonts w:ascii="宋体" w:hAnsi="宋体" w:cs="宋体"/>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投标函</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投标人情况综合简介</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开标一览表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分项报价一览表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w:t>
            </w:r>
          </w:p>
        </w:tc>
        <w:tc>
          <w:tcPr>
            <w:tcW w:w="5376" w:type="dxa"/>
            <w:vAlign w:val="center"/>
          </w:tcPr>
          <w:p>
            <w:pPr>
              <w:pStyle w:val="122"/>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常用配件价格报价表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投标授权书</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w:t>
            </w:r>
          </w:p>
        </w:tc>
        <w:tc>
          <w:tcPr>
            <w:tcW w:w="5376" w:type="dxa"/>
            <w:vAlign w:val="center"/>
          </w:tcPr>
          <w:p>
            <w:pPr>
              <w:pStyle w:val="122"/>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投标人信用承诺</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投标业绩</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九</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有关证明文件</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十</w:t>
            </w:r>
          </w:p>
        </w:tc>
        <w:tc>
          <w:tcPr>
            <w:tcW w:w="5376" w:type="dxa"/>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项目人员配备</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十一</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服务体系与维保方案</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十二</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投标保证金退还声明</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p>
        </w:tc>
        <w:tc>
          <w:tcPr>
            <w:tcW w:w="5376" w:type="dxa"/>
            <w:vAlign w:val="center"/>
          </w:tcPr>
          <w:p>
            <w:pPr>
              <w:rPr>
                <w:rFonts w:ascii="宋体" w:hAnsi="宋体" w:cs="宋体"/>
                <w:color w:val="000000" w:themeColor="text1"/>
                <w:sz w:val="24"/>
                <w:szCs w:val="24"/>
                <w14:textFill>
                  <w14:solidFill>
                    <w14:schemeClr w14:val="tx1"/>
                  </w14:solidFill>
                </w14:textFill>
              </w:rPr>
            </w:pP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p>
        </w:tc>
        <w:tc>
          <w:tcPr>
            <w:tcW w:w="5376" w:type="dxa"/>
            <w:vAlign w:val="center"/>
          </w:tcPr>
          <w:p>
            <w:pPr>
              <w:rPr>
                <w:rFonts w:ascii="宋体" w:hAnsi="宋体" w:cs="宋体"/>
                <w:color w:val="000000" w:themeColor="text1"/>
                <w:sz w:val="24"/>
                <w:szCs w:val="24"/>
                <w14:textFill>
                  <w14:solidFill>
                    <w14:schemeClr w14:val="tx1"/>
                  </w14:solidFill>
                </w14:textFill>
              </w:rPr>
            </w:pP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p>
        </w:tc>
        <w:tc>
          <w:tcPr>
            <w:tcW w:w="5376" w:type="dxa"/>
            <w:vAlign w:val="center"/>
          </w:tcPr>
          <w:p>
            <w:pPr>
              <w:rPr>
                <w:rFonts w:ascii="宋体" w:hAnsi="宋体" w:cs="宋体"/>
                <w:color w:val="000000" w:themeColor="text1"/>
                <w:sz w:val="24"/>
                <w:szCs w:val="24"/>
                <w14:textFill>
                  <w14:solidFill>
                    <w14:schemeClr w14:val="tx1"/>
                  </w14:solidFill>
                </w14:textFill>
              </w:rPr>
            </w:pP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p>
        </w:tc>
        <w:tc>
          <w:tcPr>
            <w:tcW w:w="5376" w:type="dxa"/>
            <w:vAlign w:val="center"/>
          </w:tcPr>
          <w:p>
            <w:pPr>
              <w:rPr>
                <w:rFonts w:ascii="宋体" w:hAnsi="宋体" w:cs="宋体"/>
                <w:color w:val="000000" w:themeColor="text1"/>
                <w:sz w:val="24"/>
                <w:szCs w:val="24"/>
                <w14:textFill>
                  <w14:solidFill>
                    <w14:schemeClr w14:val="tx1"/>
                  </w14:solidFill>
                </w14:textFill>
              </w:rPr>
            </w:pPr>
          </w:p>
        </w:tc>
        <w:tc>
          <w:tcPr>
            <w:tcW w:w="2625" w:type="dxa"/>
            <w:vAlign w:val="center"/>
          </w:tcPr>
          <w:p>
            <w:pPr>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p>
        </w:tc>
        <w:tc>
          <w:tcPr>
            <w:tcW w:w="5376" w:type="dxa"/>
            <w:vAlign w:val="center"/>
          </w:tcPr>
          <w:p>
            <w:pPr>
              <w:rPr>
                <w:rFonts w:ascii="宋体" w:hAnsi="宋体" w:cs="宋体"/>
                <w:color w:val="000000" w:themeColor="text1"/>
                <w:sz w:val="24"/>
                <w:szCs w:val="24"/>
                <w14:textFill>
                  <w14:solidFill>
                    <w14:schemeClr w14:val="tx1"/>
                  </w14:solidFill>
                </w14:textFill>
              </w:rPr>
            </w:pPr>
          </w:p>
        </w:tc>
        <w:tc>
          <w:tcPr>
            <w:tcW w:w="2625" w:type="dxa"/>
            <w:vAlign w:val="center"/>
          </w:tcPr>
          <w:p>
            <w:pPr>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p>
        </w:tc>
        <w:tc>
          <w:tcPr>
            <w:tcW w:w="5376" w:type="dxa"/>
            <w:vAlign w:val="center"/>
          </w:tcPr>
          <w:p>
            <w:pPr>
              <w:rPr>
                <w:rFonts w:ascii="宋体" w:hAnsi="宋体" w:cs="宋体"/>
                <w:color w:val="000000" w:themeColor="text1"/>
                <w:sz w:val="24"/>
                <w:szCs w:val="24"/>
                <w14:textFill>
                  <w14:solidFill>
                    <w14:schemeClr w14:val="tx1"/>
                  </w14:solidFill>
                </w14:textFill>
              </w:rPr>
            </w:pPr>
          </w:p>
        </w:tc>
        <w:tc>
          <w:tcPr>
            <w:tcW w:w="2625" w:type="dxa"/>
            <w:vAlign w:val="center"/>
          </w:tcPr>
          <w:p>
            <w:pPr>
              <w:spacing w:line="500" w:lineRule="exact"/>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p>
        </w:tc>
        <w:tc>
          <w:tcPr>
            <w:tcW w:w="5376" w:type="dxa"/>
            <w:vAlign w:val="center"/>
          </w:tcPr>
          <w:p>
            <w:pPr>
              <w:rPr>
                <w:rFonts w:ascii="宋体" w:hAnsi="宋体" w:cs="宋体"/>
                <w:color w:val="000000" w:themeColor="text1"/>
                <w:sz w:val="24"/>
                <w:szCs w:val="24"/>
                <w14:textFill>
                  <w14:solidFill>
                    <w14:schemeClr w14:val="tx1"/>
                  </w14:solidFill>
                </w14:textFill>
              </w:rPr>
            </w:pPr>
          </w:p>
        </w:tc>
        <w:tc>
          <w:tcPr>
            <w:tcW w:w="2625" w:type="dxa"/>
            <w:vAlign w:val="center"/>
          </w:tcPr>
          <w:p>
            <w:pPr>
              <w:spacing w:line="500" w:lineRule="exact"/>
              <w:rPr>
                <w:rFonts w:ascii="宋体" w:hAnsi="宋体" w:cs="宋体"/>
                <w:b/>
                <w:color w:val="000000" w:themeColor="text1"/>
                <w:sz w:val="24"/>
                <w:szCs w:val="24"/>
                <w14:textFill>
                  <w14:solidFill>
                    <w14:schemeClr w14:val="tx1"/>
                  </w14:solidFill>
                </w14:textFill>
              </w:rPr>
            </w:pPr>
          </w:p>
        </w:tc>
      </w:tr>
    </w:tbl>
    <w:p>
      <w:pPr>
        <w:pStyle w:val="7"/>
        <w:jc w:val="both"/>
        <w:rPr>
          <w:rFonts w:hAnsi="宋体"/>
          <w:color w:val="000000" w:themeColor="text1"/>
          <w:sz w:val="28"/>
          <w14:textFill>
            <w14:solidFill>
              <w14:schemeClr w14:val="tx1"/>
            </w14:solidFill>
          </w14:textFill>
        </w:rPr>
      </w:pPr>
      <w:bookmarkStart w:id="96" w:name="_Toc536542354"/>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97" w:name="_Toc20310"/>
      <w:r>
        <w:rPr>
          <w:rFonts w:hint="eastAsia" w:hAnsi="宋体"/>
          <w:color w:val="000000" w:themeColor="text1"/>
          <w:sz w:val="28"/>
          <w14:textFill>
            <w14:solidFill>
              <w14:schemeClr w14:val="tx1"/>
            </w14:solidFill>
          </w14:textFill>
        </w:rPr>
        <w:t>一．投标函</w:t>
      </w:r>
      <w:bookmarkEnd w:id="96"/>
      <w:bookmarkEnd w:id="97"/>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致：合肥文旅博览集团有限公司</w:t>
      </w:r>
    </w:p>
    <w:p>
      <w:pPr>
        <w:spacing w:line="360" w:lineRule="auto"/>
        <w:ind w:left="101" w:leftChars="48" w:firstLine="480" w:firstLineChars="200"/>
        <w:jc w:val="left"/>
        <w:rPr>
          <w:rFonts w:ascii="宋体" w:hAnsi="宋体" w:cs="宋体"/>
          <w:dstrike/>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根据贵方“</w:t>
      </w:r>
      <w:r>
        <w:rPr>
          <w:rFonts w:hint="eastAsia" w:ascii="宋体" w:hAnsi="宋体" w:cs="宋体"/>
          <w:b/>
          <w:bCs/>
          <w:color w:val="000000" w:themeColor="text1"/>
          <w:sz w:val="24"/>
          <w:szCs w:val="24"/>
          <w:u w:val="single"/>
          <w14:textFill>
            <w14:solidFill>
              <w14:schemeClr w14:val="tx1"/>
            </w14:solidFill>
          </w14:textFill>
        </w:rPr>
        <w:t xml:space="preserve">                   项目</w:t>
      </w:r>
      <w:r>
        <w:rPr>
          <w:rFonts w:hint="eastAsia" w:ascii="宋体" w:hAnsi="宋体" w:cs="宋体"/>
          <w:color w:val="000000" w:themeColor="text1"/>
          <w:sz w:val="24"/>
          <w:szCs w:val="24"/>
          <w14:textFill>
            <w14:solidFill>
              <w14:schemeClr w14:val="tx1"/>
            </w14:solidFill>
          </w14:textFill>
        </w:rPr>
        <w:t>”的第</w:t>
      </w:r>
      <w:r>
        <w:rPr>
          <w:rFonts w:hint="eastAsia" w:ascii="宋体" w:hAnsi="宋体" w:cs="宋体"/>
          <w:b/>
          <w:color w:val="000000" w:themeColor="text1"/>
          <w:kern w:val="0"/>
          <w:sz w:val="24"/>
          <w:szCs w:val="24"/>
          <w:u w:val="single"/>
          <w:lang w:val="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号招标邀请书，正式授权</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（姓名、身份证号）代表投标人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（投标人全称），提交规定形式的投标文件。</w:t>
      </w:r>
    </w:p>
    <w:p>
      <w:pPr>
        <w:spacing w:line="480" w:lineRule="exact"/>
        <w:ind w:firstLine="480" w:firstLineChars="200"/>
        <w:rPr>
          <w:rFonts w:ascii="宋体" w:hAnsi="宋体"/>
          <w:color w:val="000000" w:themeColor="text1"/>
          <w:sz w:val="24"/>
          <w14:textFill>
            <w14:solidFill>
              <w14:schemeClr w14:val="tx1"/>
            </w14:solidFill>
          </w14:textFill>
        </w:rPr>
      </w:pPr>
      <w:bookmarkStart w:id="98" w:name="_Toc536542355"/>
      <w:bookmarkStart w:id="99" w:name="_Toc516969097"/>
      <w:bookmarkStart w:id="100" w:name="_Toc471736409"/>
      <w:r>
        <w:rPr>
          <w:rFonts w:hint="eastAsia" w:ascii="宋体" w:hAnsi="宋体"/>
          <w:color w:val="000000" w:themeColor="text1"/>
          <w:sz w:val="24"/>
          <w14:textFill>
            <w14:solidFill>
              <w14:schemeClr w14:val="tx1"/>
            </w14:solidFill>
          </w14:textFill>
        </w:rPr>
        <w:t>据此函，我方兹宣布同意如下：</w:t>
      </w:r>
    </w:p>
    <w:p>
      <w:pPr>
        <w:spacing w:line="360" w:lineRule="auto"/>
        <w:ind w:firstLine="628" w:firstLineChars="26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（1）我方按招标文件规定提供服务的最终投标报价详见开标一览表，我方完全响应招标文件规定的服务期限及付款方式。如我公司中标，我公司承诺愿意按招标文件规定交纳履约保证金。</w:t>
      </w:r>
    </w:p>
    <w:p>
      <w:pPr>
        <w:spacing w:line="360" w:lineRule="auto"/>
        <w:ind w:firstLine="63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（2）我方根据招标文件的规定，严格履行合同的责任和义务</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并保证于买方要求的日期内完成服务，并通过买方验收。</w:t>
      </w:r>
    </w:p>
    <w:p>
      <w:pPr>
        <w:spacing w:line="360" w:lineRule="auto"/>
        <w:ind w:firstLine="63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（3）我方承诺报价低于</w:t>
      </w:r>
      <w:r>
        <w:rPr>
          <w:rFonts w:ascii="宋体" w:hAnsi="宋体"/>
          <w:color w:val="000000" w:themeColor="text1"/>
          <w:sz w:val="24"/>
          <w14:textFill>
            <w14:solidFill>
              <w14:schemeClr w14:val="tx1"/>
            </w14:solidFill>
          </w14:textFill>
        </w:rPr>
        <w:t>同类服务的市场平均价格。</w:t>
      </w:r>
    </w:p>
    <w:p>
      <w:pPr>
        <w:spacing w:line="480" w:lineRule="exact"/>
        <w:ind w:left="101" w:leftChars="48"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480" w:lineRule="exact"/>
        <w:ind w:left="101" w:leftChars="48"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（5）我方同意从招标文件规定的开标日期起遵循本投标文件，并在招标文件规定的投标有效期之前均具有约束力。</w:t>
      </w:r>
    </w:p>
    <w:p>
      <w:pPr>
        <w:spacing w:line="480" w:lineRule="exact"/>
        <w:ind w:left="101" w:leftChars="48"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（6）我方声明投标文件所提供的一切资料均真实无误、及时、有效。企业运营正常（</w:t>
      </w:r>
      <w:r>
        <w:rPr>
          <w:rFonts w:ascii="宋体" w:hAnsi="宋体"/>
          <w:color w:val="000000" w:themeColor="text1"/>
          <w:sz w:val="24"/>
          <w14:textFill>
            <w14:solidFill>
              <w14:schemeClr w14:val="tx1"/>
            </w14:solidFill>
          </w14:textFill>
        </w:rPr>
        <w:t>注册登记信息、年报信息</w:t>
      </w:r>
      <w:r>
        <w:rPr>
          <w:rFonts w:hint="eastAsia" w:ascii="宋体" w:hAnsi="宋体"/>
          <w:color w:val="000000" w:themeColor="text1"/>
          <w:sz w:val="24"/>
          <w14:textFill>
            <w14:solidFill>
              <w14:schemeClr w14:val="tx1"/>
            </w14:solidFill>
          </w14:textFill>
        </w:rPr>
        <w:t>可查）。由于我方提供资料不实而造成的责任和后果由我方承担。我方同意按照贵方提出的要求，提供与投标有关的任何证据、数据或资料。</w:t>
      </w:r>
    </w:p>
    <w:p>
      <w:pPr>
        <w:spacing w:line="480" w:lineRule="exact"/>
        <w:ind w:left="101" w:leftChars="48"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（7）我方完全理解贵方不一定接受最低报价的投标。</w:t>
      </w:r>
    </w:p>
    <w:p>
      <w:pPr>
        <w:spacing w:line="480" w:lineRule="exact"/>
        <w:ind w:left="101" w:leftChars="48"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（8）我方承诺若中标，按招标文件要求提供本地化服务。</w:t>
      </w:r>
    </w:p>
    <w:p>
      <w:pPr>
        <w:spacing w:line="480" w:lineRule="exact"/>
        <w:ind w:left="101" w:leftChars="48"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（9）我方同意招标文件规定的付款方式。</w:t>
      </w:r>
    </w:p>
    <w:p>
      <w:pPr>
        <w:spacing w:line="360" w:lineRule="auto"/>
        <w:ind w:firstLine="63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（10）与本投标有关的通讯地址：</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63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电    话：</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传    真：</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63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投标人基本账户开户名：</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账号：</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开户行：</w:t>
      </w:r>
      <w:r>
        <w:rPr>
          <w:rFonts w:hint="eastAsia" w:ascii="宋体" w:hAnsi="宋体"/>
          <w:color w:val="000000" w:themeColor="text1"/>
          <w:sz w:val="24"/>
          <w:u w:val="single"/>
          <w14:textFill>
            <w14:solidFill>
              <w14:schemeClr w14:val="tx1"/>
            </w14:solidFill>
          </w14:textFill>
        </w:rPr>
        <w:t xml:space="preserve">            </w:t>
      </w:r>
    </w:p>
    <w:p>
      <w:pPr>
        <w:spacing w:line="360" w:lineRule="auto"/>
        <w:ind w:firstLine="63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投标人章：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    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bookmarkStart w:id="101" w:name="_Hlt514495724"/>
      <w:bookmarkEnd w:id="101"/>
      <w:bookmarkStart w:id="102" w:name="_Hlt533408944"/>
      <w:bookmarkEnd w:id="102"/>
    </w:p>
    <w:p>
      <w:pPr>
        <w:widowControl/>
        <w:spacing w:line="480" w:lineRule="exact"/>
        <w:ind w:firstLine="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特此承诺</w:t>
      </w:r>
    </w:p>
    <w:p>
      <w:pPr>
        <w:widowControl/>
        <w:spacing w:line="480" w:lineRule="exact"/>
        <w:ind w:left="840" w:leftChars="400"/>
        <w:jc w:val="left"/>
        <w:rPr>
          <w:rFonts w:ascii="宋体" w:hAnsi="宋体" w:cs="宋体"/>
          <w:color w:val="000000" w:themeColor="text1"/>
          <w:kern w:val="0"/>
          <w:sz w:val="24"/>
          <w14:textFill>
            <w14:solidFill>
              <w14:schemeClr w14:val="tx1"/>
            </w14:solidFill>
          </w14:textFill>
        </w:rPr>
      </w:pPr>
    </w:p>
    <w:p>
      <w:pPr>
        <w:widowControl/>
        <w:spacing w:line="520" w:lineRule="exact"/>
        <w:ind w:left="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投标人（公章）：</w:t>
      </w:r>
    </w:p>
    <w:p>
      <w:pPr>
        <w:widowControl/>
        <w:spacing w:line="520" w:lineRule="exact"/>
        <w:ind w:left="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企业法人（签字）：</w:t>
      </w:r>
    </w:p>
    <w:p>
      <w:pPr>
        <w:widowControl/>
        <w:spacing w:line="520" w:lineRule="exact"/>
        <w:ind w:left="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授权代表（签字）：</w:t>
      </w:r>
    </w:p>
    <w:p>
      <w:pPr>
        <w:widowControl/>
        <w:spacing w:line="520" w:lineRule="exact"/>
        <w:ind w:left="48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年</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日</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rFonts w:hAnsi="宋体"/>
          <w:color w:val="000000" w:themeColor="text1"/>
          <w:sz w:val="28"/>
          <w14:textFill>
            <w14:solidFill>
              <w14:schemeClr w14:val="tx1"/>
            </w14:solidFill>
          </w14:textFill>
        </w:rPr>
      </w:pPr>
    </w:p>
    <w:p>
      <w:pPr>
        <w:pStyle w:val="7"/>
        <w:rPr>
          <w:rFonts w:hAnsi="宋体"/>
          <w:color w:val="000000" w:themeColor="text1"/>
          <w:sz w:val="28"/>
          <w14:textFill>
            <w14:solidFill>
              <w14:schemeClr w14:val="tx1"/>
            </w14:solidFill>
          </w14:textFill>
        </w:rPr>
      </w:pPr>
    </w:p>
    <w:p>
      <w:pPr>
        <w:pStyle w:val="7"/>
        <w:rPr>
          <w:rFonts w:hAnsi="宋体"/>
          <w:color w:val="000000" w:themeColor="text1"/>
          <w:sz w:val="28"/>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103" w:name="_Toc9115"/>
      <w:r>
        <w:rPr>
          <w:rFonts w:hint="eastAsia" w:hAnsi="宋体"/>
          <w:color w:val="000000" w:themeColor="text1"/>
          <w:sz w:val="28"/>
          <w14:textFill>
            <w14:solidFill>
              <w14:schemeClr w14:val="tx1"/>
            </w14:solidFill>
          </w14:textFill>
        </w:rPr>
        <w:t>二．投标人情况综合简介</w:t>
      </w:r>
      <w:bookmarkEnd w:id="98"/>
      <w:bookmarkEnd w:id="99"/>
      <w:bookmarkEnd w:id="100"/>
      <w:bookmarkEnd w:id="103"/>
    </w:p>
    <w:p>
      <w:pPr>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(投标人可自行制作格式</w:t>
      </w:r>
      <w:bookmarkStart w:id="104" w:name="_Toc536542356"/>
      <w:r>
        <w:rPr>
          <w:rFonts w:hint="eastAsia" w:ascii="宋体" w:hAnsi="宋体" w:cs="宋体"/>
          <w:color w:val="000000" w:themeColor="text1"/>
          <w:sz w:val="24"/>
          <w:szCs w:val="24"/>
          <w14:textFill>
            <w14:solidFill>
              <w14:schemeClr w14:val="tx1"/>
            </w14:solidFill>
          </w14:textFill>
        </w:rPr>
        <w:t>)</w:t>
      </w:r>
    </w:p>
    <w:p>
      <w:pPr>
        <w:pStyle w:val="7"/>
        <w:rPr>
          <w:rFonts w:hAnsi="宋体"/>
          <w:color w:val="000000" w:themeColor="text1"/>
          <w:sz w:val="28"/>
          <w14:textFill>
            <w14:solidFill>
              <w14:schemeClr w14:val="tx1"/>
            </w14:solidFill>
          </w14:textFill>
        </w:rPr>
      </w:pPr>
      <w:bookmarkStart w:id="105" w:name="_Toc29131"/>
      <w:r>
        <w:rPr>
          <w:rFonts w:hint="eastAsia" w:hAnsi="宋体"/>
          <w:color w:val="000000" w:themeColor="text1"/>
          <w:sz w:val="28"/>
          <w14:textFill>
            <w14:solidFill>
              <w14:schemeClr w14:val="tx1"/>
            </w14:solidFill>
          </w14:textFill>
        </w:rPr>
        <w:t>三．开标一览表</w:t>
      </w:r>
      <w:bookmarkEnd w:id="104"/>
      <w:bookmarkEnd w:id="105"/>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000000" w:themeColor="text1"/>
                <w:sz w:val="24"/>
                <w:szCs w:val="2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投标人全称</w:t>
            </w:r>
          </w:p>
        </w:tc>
        <w:tc>
          <w:tcPr>
            <w:tcW w:w="6667" w:type="dxa"/>
            <w:tcBorders>
              <w:top w:val="nil"/>
            </w:tcBorders>
            <w:vAlign w:val="center"/>
          </w:tcPr>
          <w:p>
            <w:pPr>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投标范围</w:t>
            </w:r>
          </w:p>
        </w:tc>
        <w:tc>
          <w:tcPr>
            <w:tcW w:w="6667" w:type="dxa"/>
            <w:tcBorders>
              <w:top w:val="nil"/>
            </w:tcBorders>
            <w:vAlign w:val="center"/>
          </w:tcPr>
          <w:p>
            <w:pPr>
              <w:widowControl/>
              <w:spacing w:line="360" w:lineRule="exact"/>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最终投标报价</w:t>
            </w:r>
          </w:p>
          <w:p>
            <w:pPr>
              <w:spacing w:line="36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（人民币）</w:t>
            </w:r>
          </w:p>
        </w:tc>
        <w:tc>
          <w:tcPr>
            <w:tcW w:w="6667" w:type="dxa"/>
            <w:tcBorders>
              <w:top w:val="nil"/>
            </w:tcBorders>
            <w:vAlign w:val="center"/>
          </w:tcPr>
          <w:p>
            <w:pPr>
              <w:spacing w:line="360" w:lineRule="auto"/>
              <w:ind w:right="-67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w:t>
            </w:r>
          </w:p>
        </w:tc>
        <w:tc>
          <w:tcPr>
            <w:tcW w:w="6667" w:type="dxa"/>
            <w:tcBorders>
              <w:top w:val="nil"/>
            </w:tcBorders>
            <w:vAlign w:val="center"/>
          </w:tcPr>
          <w:p>
            <w:pPr>
              <w:spacing w:line="360" w:lineRule="auto"/>
              <w:jc w:val="left"/>
              <w:rPr>
                <w:rFonts w:ascii="宋体" w:hAnsi="宋体" w:cs="宋体"/>
                <w:color w:val="000000" w:themeColor="text1"/>
                <w:sz w:val="24"/>
                <w:szCs w:val="24"/>
                <w14:textFill>
                  <w14:solidFill>
                    <w14:schemeClr w14:val="tx1"/>
                  </w14:solidFill>
                </w14:textFill>
              </w:rPr>
            </w:pPr>
          </w:p>
        </w:tc>
      </w:tr>
    </w:tbl>
    <w:p>
      <w:pPr>
        <w:spacing w:before="100" w:beforeAutospacing="1" w:after="100" w:afterAutospacing="1"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投标人(公章)：                                           </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备注：表中最终投标报价即为优惠后报价，并作为评审及定标依据。任何有选择或有条件的最终投标报价，或者表中某一标段填写多个报价，均为无效报价</w:t>
      </w:r>
    </w:p>
    <w:p>
      <w:pPr>
        <w:pStyle w:val="7"/>
        <w:jc w:val="both"/>
        <w:rPr>
          <w:rFonts w:hAnsi="宋体" w:cs="宋体"/>
          <w:bCs w:val="0"/>
          <w:color w:val="000000" w:themeColor="text1"/>
          <w:sz w:val="24"/>
          <w:szCs w:val="24"/>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106" w:name="_Toc1715"/>
      <w:r>
        <w:rPr>
          <w:rFonts w:hint="eastAsia" w:hAnsi="宋体"/>
          <w:color w:val="000000" w:themeColor="text1"/>
          <w:sz w:val="28"/>
          <w14:textFill>
            <w14:solidFill>
              <w14:schemeClr w14:val="tx1"/>
            </w14:solidFill>
          </w14:textFill>
        </w:rPr>
        <w:t>四、分项报价一览表</w:t>
      </w:r>
      <w:bookmarkEnd w:id="106"/>
    </w:p>
    <w:tbl>
      <w:tblPr>
        <w:tblStyle w:val="66"/>
        <w:tblpPr w:leftFromText="180" w:rightFromText="180" w:vertAnchor="text" w:horzAnchor="margin" w:tblpY="15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1858"/>
        <w:gridCol w:w="1668"/>
        <w:gridCol w:w="1100"/>
        <w:gridCol w:w="1288"/>
        <w:gridCol w:w="2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b/>
                <w:color w:val="000000" w:themeColor="text1"/>
                <w:sz w:val="24"/>
                <w:szCs w:val="24"/>
                <w14:textFill>
                  <w14:solidFill>
                    <w14:schemeClr w14:val="tx1"/>
                  </w14:solidFill>
                </w14:textFill>
              </w:rPr>
            </w:pPr>
            <w:bookmarkStart w:id="107" w:name="_Hlt509739007"/>
            <w:bookmarkEnd w:id="107"/>
            <w:bookmarkStart w:id="108" w:name="_Toc39159032"/>
            <w:bookmarkStart w:id="109" w:name="_Toc461103234"/>
            <w:bookmarkStart w:id="110" w:name="_Toc471736411"/>
            <w:bookmarkStart w:id="111" w:name="_Toc197934563"/>
            <w:r>
              <w:rPr>
                <w:rFonts w:hint="eastAsia" w:ascii="宋体" w:hAnsi="宋体" w:cs="仿宋"/>
                <w:b/>
                <w:color w:val="000000" w:themeColor="text1"/>
                <w:sz w:val="24"/>
                <w:szCs w:val="24"/>
                <w14:textFill>
                  <w14:solidFill>
                    <w14:schemeClr w14:val="tx1"/>
                  </w14:solidFill>
                </w14:textFill>
              </w:rPr>
              <w:t>序号</w:t>
            </w:r>
          </w:p>
        </w:tc>
        <w:tc>
          <w:tcPr>
            <w:tcW w:w="1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b/>
                <w:color w:val="000000" w:themeColor="text1"/>
                <w:sz w:val="24"/>
                <w:szCs w:val="24"/>
                <w14:textFill>
                  <w14:solidFill>
                    <w14:schemeClr w14:val="tx1"/>
                  </w14:solidFill>
                </w14:textFill>
              </w:rPr>
            </w:pPr>
            <w:r>
              <w:rPr>
                <w:rFonts w:hint="eastAsia" w:ascii="宋体" w:hAnsi="宋体" w:cs="仿宋"/>
                <w:b/>
                <w:color w:val="000000" w:themeColor="text1"/>
                <w:sz w:val="24"/>
                <w:szCs w:val="24"/>
                <w14:textFill>
                  <w14:solidFill>
                    <w14:schemeClr w14:val="tx1"/>
                  </w14:solidFill>
                </w14:textFill>
              </w:rPr>
              <w:t>设备名称</w:t>
            </w:r>
          </w:p>
        </w:tc>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b/>
                <w:color w:val="000000" w:themeColor="text1"/>
                <w:sz w:val="24"/>
                <w:szCs w:val="24"/>
                <w14:textFill>
                  <w14:solidFill>
                    <w14:schemeClr w14:val="tx1"/>
                  </w14:solidFill>
                </w14:textFill>
              </w:rPr>
            </w:pPr>
            <w:r>
              <w:rPr>
                <w:rFonts w:hint="eastAsia" w:ascii="宋体" w:hAnsi="宋体" w:cs="仿宋"/>
                <w:b/>
                <w:color w:val="000000" w:themeColor="text1"/>
                <w:sz w:val="24"/>
                <w:szCs w:val="24"/>
                <w14:textFill>
                  <w14:solidFill>
                    <w14:schemeClr w14:val="tx1"/>
                  </w14:solidFill>
                </w14:textFill>
              </w:rPr>
              <w:t>数量/台</w:t>
            </w:r>
          </w:p>
        </w:tc>
        <w:tc>
          <w:tcPr>
            <w:tcW w:w="11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b/>
                <w:color w:val="000000" w:themeColor="text1"/>
                <w:sz w:val="24"/>
                <w:szCs w:val="24"/>
                <w14:textFill>
                  <w14:solidFill>
                    <w14:schemeClr w14:val="tx1"/>
                  </w14:solidFill>
                </w14:textFill>
              </w:rPr>
            </w:pPr>
            <w:r>
              <w:rPr>
                <w:rFonts w:hint="eastAsia" w:ascii="宋体" w:hAnsi="宋体" w:cs="仿宋"/>
                <w:b/>
                <w:color w:val="000000" w:themeColor="text1"/>
                <w:sz w:val="24"/>
                <w:szCs w:val="24"/>
                <w14:textFill>
                  <w14:solidFill>
                    <w14:schemeClr w14:val="tx1"/>
                  </w14:solidFill>
                </w14:textFill>
              </w:rPr>
              <w:t>单价</w:t>
            </w:r>
          </w:p>
        </w:tc>
        <w:tc>
          <w:tcPr>
            <w:tcW w:w="1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b/>
                <w:color w:val="000000" w:themeColor="text1"/>
                <w:sz w:val="24"/>
                <w:szCs w:val="24"/>
                <w14:textFill>
                  <w14:solidFill>
                    <w14:schemeClr w14:val="tx1"/>
                  </w14:solidFill>
                </w14:textFill>
              </w:rPr>
            </w:pPr>
            <w:r>
              <w:rPr>
                <w:rFonts w:hint="eastAsia" w:ascii="宋体" w:hAnsi="宋体" w:cs="仿宋"/>
                <w:b/>
                <w:color w:val="000000" w:themeColor="text1"/>
                <w:sz w:val="24"/>
                <w:szCs w:val="24"/>
                <w14:textFill>
                  <w14:solidFill>
                    <w14:schemeClr w14:val="tx1"/>
                  </w14:solidFill>
                </w14:textFill>
              </w:rPr>
              <w:t>金额</w:t>
            </w:r>
          </w:p>
        </w:tc>
        <w:tc>
          <w:tcPr>
            <w:tcW w:w="26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b/>
                <w:color w:val="000000" w:themeColor="text1"/>
                <w:sz w:val="24"/>
                <w:szCs w:val="24"/>
                <w14:textFill>
                  <w14:solidFill>
                    <w14:schemeClr w14:val="tx1"/>
                  </w14:solidFill>
                </w14:textFill>
              </w:rPr>
            </w:pPr>
            <w:r>
              <w:rPr>
                <w:rFonts w:hint="eastAsia" w:ascii="宋体" w:hAnsi="宋体" w:cs="仿宋"/>
                <w:b/>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26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1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26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trPr>
        <w:tc>
          <w:tcPr>
            <w:tcW w:w="11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26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26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 w:hRule="atLeast"/>
        </w:trPr>
        <w:tc>
          <w:tcPr>
            <w:tcW w:w="11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26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26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1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
                <w:color w:val="000000" w:themeColor="text1"/>
                <w:sz w:val="24"/>
                <w:szCs w:val="24"/>
                <w14:textFill>
                  <w14:solidFill>
                    <w14:schemeClr w14:val="tx1"/>
                  </w14:solidFill>
                </w14:textFill>
              </w:rPr>
            </w:pPr>
          </w:p>
        </w:tc>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26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1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26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1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26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1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6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c>
          <w:tcPr>
            <w:tcW w:w="26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color w:val="000000" w:themeColor="text1"/>
                <w:sz w:val="24"/>
                <w:szCs w:val="24"/>
                <w14:textFill>
                  <w14:solidFill>
                    <w14:schemeClr w14:val="tx1"/>
                  </w14:solidFill>
                </w14:textFill>
              </w:rPr>
            </w:pPr>
          </w:p>
        </w:tc>
      </w:tr>
    </w:tbl>
    <w:p>
      <w:pPr>
        <w:rPr>
          <w:color w:val="000000" w:themeColor="text1"/>
          <w14:textFill>
            <w14:solidFill>
              <w14:schemeClr w14:val="tx1"/>
            </w14:solidFill>
          </w14:textFill>
        </w:rPr>
      </w:pPr>
    </w:p>
    <w:p>
      <w:pPr>
        <w:pStyle w:val="7"/>
        <w:rPr>
          <w:rFonts w:hint="eastAsia" w:hAnsi="宋体"/>
          <w:color w:val="000000" w:themeColor="text1"/>
          <w:sz w:val="28"/>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112" w:name="_Toc26690"/>
      <w:r>
        <w:rPr>
          <w:rFonts w:hint="eastAsia" w:hAnsi="宋体"/>
          <w:color w:val="000000" w:themeColor="text1"/>
          <w:sz w:val="28"/>
          <w14:textFill>
            <w14:solidFill>
              <w14:schemeClr w14:val="tx1"/>
            </w14:solidFill>
          </w14:textFill>
        </w:rPr>
        <w:t>五、常用配件价格</w:t>
      </w:r>
      <w:bookmarkEnd w:id="108"/>
      <w:r>
        <w:rPr>
          <w:rFonts w:hint="eastAsia" w:hAnsi="宋体"/>
          <w:color w:val="000000" w:themeColor="text1"/>
          <w:sz w:val="28"/>
          <w14:textFill>
            <w14:solidFill>
              <w14:schemeClr w14:val="tx1"/>
            </w14:solidFill>
          </w14:textFill>
        </w:rPr>
        <w:t>报价表</w:t>
      </w:r>
      <w:bookmarkEnd w:id="112"/>
    </w:p>
    <w:p>
      <w:pPr>
        <w:ind w:firstLine="413" w:firstLineChars="196"/>
        <w:rPr>
          <w:b/>
          <w:color w:val="000000" w:themeColor="text1"/>
          <w14:textFill>
            <w14:solidFill>
              <w14:schemeClr w14:val="tx1"/>
            </w14:solidFill>
          </w14:textFill>
        </w:rPr>
      </w:pPr>
      <w:r>
        <w:rPr>
          <w:rFonts w:hint="eastAsia"/>
          <w:b/>
          <w:color w:val="000000" w:themeColor="text1"/>
          <w14:textFill>
            <w14:solidFill>
              <w14:schemeClr w14:val="tx1"/>
            </w14:solidFill>
          </w14:textFill>
        </w:rPr>
        <w:t>一、合肥体育中心及天鹅湖全民健身中心消防系统设施设备(主机、管网至末端)</w:t>
      </w:r>
    </w:p>
    <w:p>
      <w:pPr>
        <w:ind w:firstLine="413" w:firstLineChars="196"/>
        <w:rPr>
          <w:b/>
          <w:color w:val="000000" w:themeColor="text1"/>
          <w14:textFill>
            <w14:solidFill>
              <w14:schemeClr w14:val="tx1"/>
            </w14:solidFill>
          </w14:textFill>
        </w:rPr>
      </w:pPr>
    </w:p>
    <w:tbl>
      <w:tblPr>
        <w:tblStyle w:val="66"/>
        <w:tblpPr w:leftFromText="180" w:rightFromText="180" w:vertAnchor="text" w:horzAnchor="page" w:tblpXSpec="center" w:tblpY="4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268"/>
        <w:gridCol w:w="2126"/>
        <w:gridCol w:w="1134"/>
        <w:gridCol w:w="1985"/>
        <w:gridCol w:w="10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exact"/>
        </w:trPr>
        <w:tc>
          <w:tcPr>
            <w:tcW w:w="817" w:type="dxa"/>
            <w:tcBorders>
              <w:bottom w:val="single" w:color="auto" w:sz="4" w:space="0"/>
            </w:tcBorders>
            <w:vAlign w:val="center"/>
          </w:tcPr>
          <w:p>
            <w:pPr>
              <w:pStyle w:val="394"/>
              <w:shd w:val="clear" w:color="auto" w:fill="FFFFFF"/>
              <w:spacing w:line="345" w:lineRule="atLeast"/>
              <w:ind w:firstLine="0" w:firstLineChars="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序号</w:t>
            </w:r>
          </w:p>
        </w:tc>
        <w:tc>
          <w:tcPr>
            <w:tcW w:w="2268" w:type="dxa"/>
            <w:tcBorders>
              <w:bottom w:val="single" w:color="auto" w:sz="4" w:space="0"/>
            </w:tcBorders>
            <w:vAlign w:val="center"/>
          </w:tcPr>
          <w:p>
            <w:pPr>
              <w:ind w:right="640"/>
              <w:jc w:val="center"/>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配件名称</w:t>
            </w:r>
          </w:p>
        </w:tc>
        <w:tc>
          <w:tcPr>
            <w:tcW w:w="2126" w:type="dxa"/>
            <w:tcBorders>
              <w:bottom w:val="single" w:color="auto" w:sz="4" w:space="0"/>
              <w:right w:val="single" w:color="auto" w:sz="4" w:space="0"/>
            </w:tcBorders>
            <w:vAlign w:val="center"/>
          </w:tcPr>
          <w:p>
            <w:pPr>
              <w:ind w:right="459"/>
              <w:jc w:val="right"/>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品牌／型号</w:t>
            </w:r>
          </w:p>
        </w:tc>
        <w:tc>
          <w:tcPr>
            <w:tcW w:w="1134" w:type="dxa"/>
            <w:tcBorders>
              <w:bottom w:val="single" w:color="auto" w:sz="4" w:space="0"/>
              <w:right w:val="single" w:color="auto" w:sz="4" w:space="0"/>
            </w:tcBorders>
            <w:vAlign w:val="center"/>
          </w:tcPr>
          <w:p>
            <w:pPr>
              <w:ind w:right="176"/>
              <w:jc w:val="right"/>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单位</w:t>
            </w:r>
          </w:p>
        </w:tc>
        <w:tc>
          <w:tcPr>
            <w:tcW w:w="1985" w:type="dxa"/>
            <w:tcBorders>
              <w:bottom w:val="single" w:color="auto" w:sz="4" w:space="0"/>
              <w:right w:val="single" w:color="auto" w:sz="4" w:space="0"/>
            </w:tcBorders>
            <w:vAlign w:val="center"/>
          </w:tcPr>
          <w:p>
            <w:pPr>
              <w:ind w:right="640"/>
              <w:jc w:val="left"/>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单价（元）</w:t>
            </w:r>
          </w:p>
        </w:tc>
        <w:tc>
          <w:tcPr>
            <w:tcW w:w="1038" w:type="dxa"/>
            <w:tcBorders>
              <w:left w:val="single" w:color="auto" w:sz="4" w:space="0"/>
              <w:bottom w:val="single" w:color="auto" w:sz="4" w:space="0"/>
            </w:tcBorders>
            <w:vAlign w:val="center"/>
          </w:tcPr>
          <w:p>
            <w:pPr>
              <w:ind w:right="71"/>
              <w:jc w:val="center"/>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exact"/>
        </w:trPr>
        <w:tc>
          <w:tcPr>
            <w:tcW w:w="817" w:type="dxa"/>
            <w:tcBorders>
              <w:top w:val="single" w:color="auto" w:sz="4" w:space="0"/>
              <w:bottom w:val="single" w:color="auto" w:sz="4" w:space="0"/>
            </w:tcBorders>
            <w:vAlign w:val="center"/>
          </w:tcPr>
          <w:p>
            <w:pPr>
              <w:ind w:right="640"/>
              <w:jc w:val="center"/>
              <w:rPr>
                <w:rFonts w:ascii="仿宋" w:hAnsi="仿宋" w:eastAsia="仿宋" w:cs="仿宋"/>
                <w:bCs/>
                <w:color w:val="000000" w:themeColor="text1"/>
                <w14:textFill>
                  <w14:solidFill>
                    <w14:schemeClr w14:val="tx1"/>
                  </w14:solidFill>
                </w14:textFill>
              </w:rPr>
            </w:pPr>
          </w:p>
        </w:tc>
        <w:tc>
          <w:tcPr>
            <w:tcW w:w="2268" w:type="dxa"/>
            <w:tcBorders>
              <w:top w:val="single" w:color="auto" w:sz="4" w:space="0"/>
              <w:bottom w:val="single" w:color="auto" w:sz="4" w:space="0"/>
            </w:tcBorders>
            <w:vAlign w:val="center"/>
          </w:tcPr>
          <w:p>
            <w:pPr>
              <w:widowControl/>
              <w:spacing w:line="360" w:lineRule="auto"/>
              <w:jc w:val="left"/>
              <w:rPr>
                <w:rFonts w:ascii="仿宋" w:hAnsi="仿宋" w:eastAsia="仿宋" w:cs="仿宋"/>
                <w:color w:val="000000" w:themeColor="text1"/>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ind w:right="640"/>
              <w:jc w:val="left"/>
              <w:rPr>
                <w:rFonts w:ascii="仿宋" w:hAnsi="仿宋" w:eastAsia="仿宋" w:cs="仿宋"/>
                <w:color w:val="000000" w:themeColor="text1"/>
                <w14:textFill>
                  <w14:solidFill>
                    <w14:schemeClr w14:val="tx1"/>
                  </w14:solidFill>
                </w14:textFill>
              </w:rPr>
            </w:pPr>
          </w:p>
        </w:tc>
        <w:tc>
          <w:tcPr>
            <w:tcW w:w="1134" w:type="dxa"/>
            <w:tcBorders>
              <w:top w:val="single" w:color="auto" w:sz="4" w:space="0"/>
              <w:bottom w:val="single" w:color="auto" w:sz="4" w:space="0"/>
              <w:right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c>
          <w:tcPr>
            <w:tcW w:w="1985" w:type="dxa"/>
            <w:tcBorders>
              <w:top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14:textFill>
                  <w14:solidFill>
                    <w14:schemeClr w14:val="tx1"/>
                  </w14:solidFill>
                </w14:textFill>
              </w:rPr>
            </w:pPr>
          </w:p>
        </w:tc>
        <w:tc>
          <w:tcPr>
            <w:tcW w:w="1038" w:type="dxa"/>
            <w:tcBorders>
              <w:top w:val="single" w:color="auto" w:sz="4" w:space="0"/>
              <w:left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17" w:type="dxa"/>
            <w:tcBorders>
              <w:top w:val="single" w:color="auto" w:sz="4" w:space="0"/>
              <w:bottom w:val="single" w:color="auto" w:sz="4" w:space="0"/>
            </w:tcBorders>
            <w:vAlign w:val="center"/>
          </w:tcPr>
          <w:p>
            <w:pPr>
              <w:ind w:right="640"/>
              <w:jc w:val="center"/>
              <w:rPr>
                <w:rFonts w:ascii="仿宋" w:hAnsi="仿宋" w:eastAsia="仿宋" w:cs="仿宋"/>
                <w:bCs/>
                <w:color w:val="000000" w:themeColor="text1"/>
                <w14:textFill>
                  <w14:solidFill>
                    <w14:schemeClr w14:val="tx1"/>
                  </w14:solidFill>
                </w14:textFill>
              </w:rPr>
            </w:pPr>
          </w:p>
        </w:tc>
        <w:tc>
          <w:tcPr>
            <w:tcW w:w="2268" w:type="dxa"/>
            <w:tcBorders>
              <w:top w:val="single" w:color="auto" w:sz="4" w:space="0"/>
              <w:bottom w:val="single" w:color="auto" w:sz="4" w:space="0"/>
            </w:tcBorders>
            <w:vAlign w:val="center"/>
          </w:tcPr>
          <w:p>
            <w:pPr>
              <w:widowControl/>
              <w:spacing w:line="360" w:lineRule="auto"/>
              <w:jc w:val="left"/>
              <w:rPr>
                <w:rFonts w:ascii="仿宋" w:hAnsi="仿宋" w:eastAsia="仿宋" w:cs="仿宋"/>
                <w:color w:val="000000" w:themeColor="text1"/>
                <w:kern w:val="0"/>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ind w:right="640"/>
              <w:jc w:val="left"/>
              <w:rPr>
                <w:rFonts w:ascii="仿宋" w:hAnsi="仿宋" w:eastAsia="仿宋" w:cs="仿宋"/>
                <w:color w:val="000000" w:themeColor="text1"/>
                <w14:textFill>
                  <w14:solidFill>
                    <w14:schemeClr w14:val="tx1"/>
                  </w14:solidFill>
                </w14:textFill>
              </w:rPr>
            </w:pPr>
          </w:p>
        </w:tc>
        <w:tc>
          <w:tcPr>
            <w:tcW w:w="1134" w:type="dxa"/>
            <w:tcBorders>
              <w:top w:val="single" w:color="auto" w:sz="4" w:space="0"/>
              <w:bottom w:val="single" w:color="auto" w:sz="4" w:space="0"/>
              <w:right w:val="single" w:color="auto" w:sz="4" w:space="0"/>
            </w:tcBorders>
            <w:vAlign w:val="center"/>
          </w:tcPr>
          <w:p>
            <w:pPr>
              <w:ind w:right="640"/>
              <w:rPr>
                <w:rFonts w:ascii="仿宋" w:hAnsi="仿宋" w:eastAsia="仿宋" w:cs="仿宋"/>
                <w:color w:val="000000" w:themeColor="text1"/>
                <w14:textFill>
                  <w14:solidFill>
                    <w14:schemeClr w14:val="tx1"/>
                  </w14:solidFill>
                </w14:textFill>
              </w:rPr>
            </w:pPr>
          </w:p>
        </w:tc>
        <w:tc>
          <w:tcPr>
            <w:tcW w:w="1985" w:type="dxa"/>
            <w:tcBorders>
              <w:top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14:textFill>
                  <w14:solidFill>
                    <w14:schemeClr w14:val="tx1"/>
                  </w14:solidFill>
                </w14:textFill>
              </w:rPr>
            </w:pPr>
          </w:p>
        </w:tc>
        <w:tc>
          <w:tcPr>
            <w:tcW w:w="1038" w:type="dxa"/>
            <w:tcBorders>
              <w:top w:val="single" w:color="auto" w:sz="4" w:space="0"/>
              <w:left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17" w:type="dxa"/>
            <w:tcBorders>
              <w:top w:val="single" w:color="auto" w:sz="4" w:space="0"/>
            </w:tcBorders>
            <w:vAlign w:val="center"/>
          </w:tcPr>
          <w:p>
            <w:pPr>
              <w:ind w:right="640"/>
              <w:jc w:val="center"/>
              <w:rPr>
                <w:rFonts w:ascii="仿宋" w:hAnsi="仿宋" w:eastAsia="仿宋" w:cs="仿宋"/>
                <w:bCs/>
                <w:color w:val="000000" w:themeColor="text1"/>
                <w14:textFill>
                  <w14:solidFill>
                    <w14:schemeClr w14:val="tx1"/>
                  </w14:solidFill>
                </w14:textFill>
              </w:rPr>
            </w:pPr>
          </w:p>
        </w:tc>
        <w:tc>
          <w:tcPr>
            <w:tcW w:w="2268" w:type="dxa"/>
            <w:tcBorders>
              <w:top w:val="single" w:color="auto" w:sz="4" w:space="0"/>
            </w:tcBorders>
            <w:vAlign w:val="center"/>
          </w:tcPr>
          <w:p>
            <w:pPr>
              <w:widowControl/>
              <w:spacing w:line="360" w:lineRule="auto"/>
              <w:jc w:val="left"/>
              <w:rPr>
                <w:rFonts w:ascii="仿宋" w:hAnsi="仿宋" w:eastAsia="仿宋" w:cs="仿宋"/>
                <w:color w:val="000000" w:themeColor="text1"/>
                <w14:textFill>
                  <w14:solidFill>
                    <w14:schemeClr w14:val="tx1"/>
                  </w14:solidFill>
                </w14:textFill>
              </w:rPr>
            </w:pPr>
          </w:p>
        </w:tc>
        <w:tc>
          <w:tcPr>
            <w:tcW w:w="2126" w:type="dxa"/>
            <w:tcBorders>
              <w:top w:val="single" w:color="auto" w:sz="4" w:space="0"/>
              <w:right w:val="single" w:color="auto" w:sz="4" w:space="0"/>
            </w:tcBorders>
            <w:vAlign w:val="center"/>
          </w:tcPr>
          <w:p>
            <w:pPr>
              <w:ind w:right="640"/>
              <w:jc w:val="left"/>
              <w:rPr>
                <w:rFonts w:ascii="仿宋" w:hAnsi="仿宋" w:eastAsia="仿宋" w:cs="仿宋"/>
                <w:color w:val="000000" w:themeColor="text1"/>
                <w14:textFill>
                  <w14:solidFill>
                    <w14:schemeClr w14:val="tx1"/>
                  </w14:solidFill>
                </w14:textFill>
              </w:rPr>
            </w:pPr>
          </w:p>
        </w:tc>
        <w:tc>
          <w:tcPr>
            <w:tcW w:w="1134" w:type="dxa"/>
            <w:tcBorders>
              <w:top w:val="single" w:color="auto" w:sz="4" w:space="0"/>
              <w:right w:val="single" w:color="auto" w:sz="4" w:space="0"/>
            </w:tcBorders>
            <w:vAlign w:val="center"/>
          </w:tcPr>
          <w:p>
            <w:pPr>
              <w:ind w:right="640"/>
              <w:rPr>
                <w:rFonts w:ascii="仿宋" w:hAnsi="仿宋" w:eastAsia="仿宋" w:cs="仿宋"/>
                <w:color w:val="000000" w:themeColor="text1"/>
                <w14:textFill>
                  <w14:solidFill>
                    <w14:schemeClr w14:val="tx1"/>
                  </w14:solidFill>
                </w14:textFill>
              </w:rPr>
            </w:pPr>
          </w:p>
        </w:tc>
        <w:tc>
          <w:tcPr>
            <w:tcW w:w="1985" w:type="dxa"/>
            <w:tcBorders>
              <w:top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14:textFill>
                  <w14:solidFill>
                    <w14:schemeClr w14:val="tx1"/>
                  </w14:solidFill>
                </w14:textFill>
              </w:rPr>
            </w:pPr>
          </w:p>
        </w:tc>
        <w:tc>
          <w:tcPr>
            <w:tcW w:w="1038" w:type="dxa"/>
            <w:tcBorders>
              <w:top w:val="single" w:color="auto" w:sz="4" w:space="0"/>
              <w:left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17" w:type="dxa"/>
            <w:tcBorders>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c>
          <w:tcPr>
            <w:tcW w:w="2268" w:type="dxa"/>
            <w:tcBorders>
              <w:bottom w:val="single" w:color="auto" w:sz="4" w:space="0"/>
            </w:tcBorders>
            <w:vAlign w:val="center"/>
          </w:tcPr>
          <w:p>
            <w:pPr>
              <w:widowControl/>
              <w:spacing w:line="360" w:lineRule="auto"/>
              <w:jc w:val="left"/>
              <w:rPr>
                <w:rFonts w:ascii="仿宋" w:hAnsi="仿宋" w:eastAsia="仿宋" w:cs="仿宋"/>
                <w:color w:val="000000" w:themeColor="text1"/>
                <w14:textFill>
                  <w14:solidFill>
                    <w14:schemeClr w14:val="tx1"/>
                  </w14:solidFill>
                </w14:textFill>
              </w:rPr>
            </w:pPr>
          </w:p>
        </w:tc>
        <w:tc>
          <w:tcPr>
            <w:tcW w:w="2126" w:type="dxa"/>
            <w:tcBorders>
              <w:bottom w:val="single" w:color="auto" w:sz="4" w:space="0"/>
              <w:right w:val="single" w:color="auto" w:sz="4" w:space="0"/>
            </w:tcBorders>
            <w:vAlign w:val="center"/>
          </w:tcPr>
          <w:p>
            <w:pPr>
              <w:ind w:right="640"/>
              <w:jc w:val="left"/>
              <w:rPr>
                <w:rFonts w:ascii="仿宋" w:hAnsi="仿宋" w:eastAsia="仿宋" w:cs="仿宋"/>
                <w:color w:val="000000" w:themeColor="text1"/>
                <w14:textFill>
                  <w14:solidFill>
                    <w14:schemeClr w14:val="tx1"/>
                  </w14:solidFill>
                </w14:textFill>
              </w:rPr>
            </w:pPr>
          </w:p>
        </w:tc>
        <w:tc>
          <w:tcPr>
            <w:tcW w:w="1134" w:type="dxa"/>
            <w:tcBorders>
              <w:bottom w:val="single" w:color="auto" w:sz="4" w:space="0"/>
              <w:right w:val="single" w:color="auto" w:sz="4" w:space="0"/>
            </w:tcBorders>
            <w:vAlign w:val="center"/>
          </w:tcPr>
          <w:p>
            <w:pPr>
              <w:ind w:right="640"/>
              <w:rPr>
                <w:rFonts w:ascii="仿宋" w:hAnsi="仿宋" w:eastAsia="仿宋" w:cs="仿宋"/>
                <w:color w:val="000000" w:themeColor="text1"/>
                <w14:textFill>
                  <w14:solidFill>
                    <w14:schemeClr w14:val="tx1"/>
                  </w14:solidFill>
                </w14:textFill>
              </w:rPr>
            </w:pPr>
          </w:p>
        </w:tc>
        <w:tc>
          <w:tcPr>
            <w:tcW w:w="1985" w:type="dxa"/>
            <w:tcBorders>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14:textFill>
                  <w14:solidFill>
                    <w14:schemeClr w14:val="tx1"/>
                  </w14:solidFill>
                </w14:textFill>
              </w:rPr>
            </w:pPr>
          </w:p>
        </w:tc>
        <w:tc>
          <w:tcPr>
            <w:tcW w:w="1038" w:type="dxa"/>
            <w:tcBorders>
              <w:left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17" w:type="dxa"/>
            <w:tcBorders>
              <w:top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c>
          <w:tcPr>
            <w:tcW w:w="2268" w:type="dxa"/>
            <w:tcBorders>
              <w:top w:val="single" w:color="auto" w:sz="4" w:space="0"/>
              <w:bottom w:val="single" w:color="auto" w:sz="4" w:space="0"/>
            </w:tcBorders>
            <w:vAlign w:val="center"/>
          </w:tcPr>
          <w:p>
            <w:pPr>
              <w:widowControl/>
              <w:spacing w:line="360" w:lineRule="auto"/>
              <w:jc w:val="left"/>
              <w:rPr>
                <w:rFonts w:ascii="仿宋" w:hAnsi="仿宋" w:eastAsia="仿宋" w:cs="仿宋"/>
                <w:color w:val="000000" w:themeColor="text1"/>
                <w:kern w:val="0"/>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ind w:right="640"/>
              <w:jc w:val="left"/>
              <w:rPr>
                <w:rFonts w:ascii="仿宋" w:hAnsi="仿宋" w:eastAsia="仿宋" w:cs="仿宋"/>
                <w:color w:val="000000" w:themeColor="text1"/>
                <w14:textFill>
                  <w14:solidFill>
                    <w14:schemeClr w14:val="tx1"/>
                  </w14:solidFill>
                </w14:textFill>
              </w:rPr>
            </w:pPr>
          </w:p>
        </w:tc>
        <w:tc>
          <w:tcPr>
            <w:tcW w:w="1134" w:type="dxa"/>
            <w:tcBorders>
              <w:top w:val="single" w:color="auto" w:sz="4" w:space="0"/>
              <w:bottom w:val="single" w:color="auto" w:sz="4" w:space="0"/>
              <w:right w:val="single" w:color="auto" w:sz="4" w:space="0"/>
            </w:tcBorders>
            <w:vAlign w:val="center"/>
          </w:tcPr>
          <w:p>
            <w:pPr>
              <w:ind w:right="640"/>
              <w:rPr>
                <w:rFonts w:ascii="仿宋" w:hAnsi="仿宋" w:eastAsia="仿宋" w:cs="仿宋"/>
                <w:color w:val="000000" w:themeColor="text1"/>
                <w14:textFill>
                  <w14:solidFill>
                    <w14:schemeClr w14:val="tx1"/>
                  </w14:solidFill>
                </w14:textFill>
              </w:rPr>
            </w:pPr>
          </w:p>
        </w:tc>
        <w:tc>
          <w:tcPr>
            <w:tcW w:w="1985" w:type="dxa"/>
            <w:tcBorders>
              <w:top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14:textFill>
                  <w14:solidFill>
                    <w14:schemeClr w14:val="tx1"/>
                  </w14:solidFill>
                </w14:textFill>
              </w:rPr>
            </w:pPr>
          </w:p>
        </w:tc>
        <w:tc>
          <w:tcPr>
            <w:tcW w:w="1038" w:type="dxa"/>
            <w:tcBorders>
              <w:top w:val="single" w:color="auto" w:sz="4" w:space="0"/>
              <w:left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17" w:type="dxa"/>
            <w:tcBorders>
              <w:top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c>
          <w:tcPr>
            <w:tcW w:w="2268" w:type="dxa"/>
            <w:tcBorders>
              <w:top w:val="single" w:color="auto" w:sz="4" w:space="0"/>
              <w:bottom w:val="single" w:color="auto" w:sz="4" w:space="0"/>
            </w:tcBorders>
            <w:vAlign w:val="center"/>
          </w:tcPr>
          <w:p>
            <w:pPr>
              <w:widowControl/>
              <w:spacing w:line="360" w:lineRule="auto"/>
              <w:jc w:val="left"/>
              <w:rPr>
                <w:rFonts w:ascii="仿宋" w:hAnsi="仿宋" w:eastAsia="仿宋" w:cs="仿宋"/>
                <w:color w:val="000000" w:themeColor="text1"/>
                <w:kern w:val="0"/>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ind w:right="640"/>
              <w:jc w:val="left"/>
              <w:rPr>
                <w:rFonts w:ascii="仿宋" w:hAnsi="仿宋" w:eastAsia="仿宋" w:cs="仿宋"/>
                <w:color w:val="000000" w:themeColor="text1"/>
                <w14:textFill>
                  <w14:solidFill>
                    <w14:schemeClr w14:val="tx1"/>
                  </w14:solidFill>
                </w14:textFill>
              </w:rPr>
            </w:pPr>
          </w:p>
        </w:tc>
        <w:tc>
          <w:tcPr>
            <w:tcW w:w="1134" w:type="dxa"/>
            <w:tcBorders>
              <w:top w:val="single" w:color="auto" w:sz="4" w:space="0"/>
              <w:bottom w:val="single" w:color="auto" w:sz="4" w:space="0"/>
              <w:right w:val="single" w:color="auto" w:sz="4" w:space="0"/>
            </w:tcBorders>
            <w:vAlign w:val="center"/>
          </w:tcPr>
          <w:p>
            <w:pPr>
              <w:ind w:right="640"/>
              <w:rPr>
                <w:rFonts w:ascii="仿宋" w:hAnsi="仿宋" w:eastAsia="仿宋" w:cs="仿宋"/>
                <w:color w:val="000000" w:themeColor="text1"/>
                <w14:textFill>
                  <w14:solidFill>
                    <w14:schemeClr w14:val="tx1"/>
                  </w14:solidFill>
                </w14:textFill>
              </w:rPr>
            </w:pPr>
          </w:p>
        </w:tc>
        <w:tc>
          <w:tcPr>
            <w:tcW w:w="1985" w:type="dxa"/>
            <w:tcBorders>
              <w:top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14:textFill>
                  <w14:solidFill>
                    <w14:schemeClr w14:val="tx1"/>
                  </w14:solidFill>
                </w14:textFill>
              </w:rPr>
            </w:pPr>
          </w:p>
        </w:tc>
        <w:tc>
          <w:tcPr>
            <w:tcW w:w="1038" w:type="dxa"/>
            <w:tcBorders>
              <w:top w:val="single" w:color="auto" w:sz="4" w:space="0"/>
              <w:left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17" w:type="dxa"/>
            <w:tcBorders>
              <w:top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c>
          <w:tcPr>
            <w:tcW w:w="2268" w:type="dxa"/>
            <w:tcBorders>
              <w:top w:val="single" w:color="auto" w:sz="4" w:space="0"/>
              <w:bottom w:val="single" w:color="auto" w:sz="4" w:space="0"/>
            </w:tcBorders>
            <w:vAlign w:val="center"/>
          </w:tcPr>
          <w:p>
            <w:pPr>
              <w:widowControl/>
              <w:spacing w:line="360" w:lineRule="auto"/>
              <w:jc w:val="left"/>
              <w:rPr>
                <w:rFonts w:ascii="仿宋" w:hAnsi="仿宋" w:eastAsia="仿宋" w:cs="仿宋"/>
                <w:color w:val="000000" w:themeColor="text1"/>
                <w:kern w:val="0"/>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ind w:right="640"/>
              <w:jc w:val="left"/>
              <w:rPr>
                <w:rFonts w:ascii="仿宋" w:hAnsi="仿宋" w:eastAsia="仿宋" w:cs="仿宋"/>
                <w:color w:val="000000" w:themeColor="text1"/>
                <w14:textFill>
                  <w14:solidFill>
                    <w14:schemeClr w14:val="tx1"/>
                  </w14:solidFill>
                </w14:textFill>
              </w:rPr>
            </w:pPr>
          </w:p>
        </w:tc>
        <w:tc>
          <w:tcPr>
            <w:tcW w:w="1134" w:type="dxa"/>
            <w:tcBorders>
              <w:top w:val="single" w:color="auto" w:sz="4" w:space="0"/>
              <w:bottom w:val="single" w:color="auto" w:sz="4" w:space="0"/>
              <w:right w:val="single" w:color="auto" w:sz="4" w:space="0"/>
            </w:tcBorders>
            <w:vAlign w:val="center"/>
          </w:tcPr>
          <w:p>
            <w:pPr>
              <w:ind w:right="640"/>
              <w:rPr>
                <w:rFonts w:ascii="仿宋" w:hAnsi="仿宋" w:eastAsia="仿宋" w:cs="仿宋"/>
                <w:color w:val="000000" w:themeColor="text1"/>
                <w14:textFill>
                  <w14:solidFill>
                    <w14:schemeClr w14:val="tx1"/>
                  </w14:solidFill>
                </w14:textFill>
              </w:rPr>
            </w:pPr>
          </w:p>
        </w:tc>
        <w:tc>
          <w:tcPr>
            <w:tcW w:w="1985" w:type="dxa"/>
            <w:tcBorders>
              <w:top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14:textFill>
                  <w14:solidFill>
                    <w14:schemeClr w14:val="tx1"/>
                  </w14:solidFill>
                </w14:textFill>
              </w:rPr>
            </w:pPr>
          </w:p>
        </w:tc>
        <w:tc>
          <w:tcPr>
            <w:tcW w:w="1038" w:type="dxa"/>
            <w:tcBorders>
              <w:top w:val="single" w:color="auto" w:sz="4" w:space="0"/>
              <w:left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17" w:type="dxa"/>
            <w:tcBorders>
              <w:top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c>
          <w:tcPr>
            <w:tcW w:w="2268" w:type="dxa"/>
            <w:tcBorders>
              <w:top w:val="single" w:color="auto" w:sz="4" w:space="0"/>
              <w:bottom w:val="single" w:color="auto" w:sz="4" w:space="0"/>
            </w:tcBorders>
            <w:vAlign w:val="center"/>
          </w:tcPr>
          <w:p>
            <w:pPr>
              <w:widowControl/>
              <w:spacing w:line="360" w:lineRule="auto"/>
              <w:jc w:val="left"/>
              <w:rPr>
                <w:rFonts w:ascii="仿宋" w:hAnsi="仿宋" w:eastAsia="仿宋" w:cs="仿宋"/>
                <w:color w:val="000000" w:themeColor="text1"/>
                <w:kern w:val="0"/>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ind w:right="640"/>
              <w:jc w:val="left"/>
              <w:rPr>
                <w:rFonts w:ascii="仿宋" w:hAnsi="仿宋" w:eastAsia="仿宋" w:cs="仿宋"/>
                <w:color w:val="000000" w:themeColor="text1"/>
                <w14:textFill>
                  <w14:solidFill>
                    <w14:schemeClr w14:val="tx1"/>
                  </w14:solidFill>
                </w14:textFill>
              </w:rPr>
            </w:pPr>
          </w:p>
        </w:tc>
        <w:tc>
          <w:tcPr>
            <w:tcW w:w="1134" w:type="dxa"/>
            <w:tcBorders>
              <w:top w:val="single" w:color="auto" w:sz="4" w:space="0"/>
              <w:bottom w:val="single" w:color="auto" w:sz="4" w:space="0"/>
              <w:right w:val="single" w:color="auto" w:sz="4" w:space="0"/>
            </w:tcBorders>
            <w:vAlign w:val="center"/>
          </w:tcPr>
          <w:p>
            <w:pPr>
              <w:ind w:right="640"/>
              <w:rPr>
                <w:rFonts w:ascii="仿宋" w:hAnsi="仿宋" w:eastAsia="仿宋" w:cs="仿宋"/>
                <w:color w:val="000000" w:themeColor="text1"/>
                <w14:textFill>
                  <w14:solidFill>
                    <w14:schemeClr w14:val="tx1"/>
                  </w14:solidFill>
                </w14:textFill>
              </w:rPr>
            </w:pPr>
          </w:p>
        </w:tc>
        <w:tc>
          <w:tcPr>
            <w:tcW w:w="1985" w:type="dxa"/>
            <w:tcBorders>
              <w:top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14:textFill>
                  <w14:solidFill>
                    <w14:schemeClr w14:val="tx1"/>
                  </w14:solidFill>
                </w14:textFill>
              </w:rPr>
            </w:pPr>
          </w:p>
        </w:tc>
        <w:tc>
          <w:tcPr>
            <w:tcW w:w="1038" w:type="dxa"/>
            <w:tcBorders>
              <w:top w:val="single" w:color="auto" w:sz="4" w:space="0"/>
              <w:left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17" w:type="dxa"/>
            <w:tcBorders>
              <w:top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c>
          <w:tcPr>
            <w:tcW w:w="2268" w:type="dxa"/>
            <w:tcBorders>
              <w:top w:val="single" w:color="auto" w:sz="4" w:space="0"/>
              <w:bottom w:val="single" w:color="auto" w:sz="4" w:space="0"/>
            </w:tcBorders>
            <w:vAlign w:val="center"/>
          </w:tcPr>
          <w:p>
            <w:pPr>
              <w:widowControl/>
              <w:spacing w:line="360" w:lineRule="auto"/>
              <w:jc w:val="left"/>
              <w:rPr>
                <w:rFonts w:ascii="仿宋" w:hAnsi="仿宋" w:eastAsia="仿宋" w:cs="仿宋"/>
                <w:color w:val="000000" w:themeColor="text1"/>
                <w:kern w:val="0"/>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themeColor="text1"/>
                <w14:textFill>
                  <w14:solidFill>
                    <w14:schemeClr w14:val="tx1"/>
                  </w14:solidFill>
                </w14:textFill>
              </w:rPr>
            </w:pPr>
          </w:p>
        </w:tc>
        <w:tc>
          <w:tcPr>
            <w:tcW w:w="1134" w:type="dxa"/>
            <w:tcBorders>
              <w:top w:val="single" w:color="auto" w:sz="4" w:space="0"/>
              <w:bottom w:val="single" w:color="auto" w:sz="4" w:space="0"/>
              <w:right w:val="single" w:color="auto" w:sz="4" w:space="0"/>
            </w:tcBorders>
            <w:vAlign w:val="center"/>
          </w:tcPr>
          <w:p>
            <w:pPr>
              <w:ind w:right="640"/>
              <w:rPr>
                <w:rFonts w:ascii="仿宋" w:hAnsi="仿宋" w:eastAsia="仿宋" w:cs="仿宋"/>
                <w:color w:val="000000" w:themeColor="text1"/>
                <w14:textFill>
                  <w14:solidFill>
                    <w14:schemeClr w14:val="tx1"/>
                  </w14:solidFill>
                </w14:textFill>
              </w:rPr>
            </w:pPr>
          </w:p>
        </w:tc>
        <w:tc>
          <w:tcPr>
            <w:tcW w:w="1985" w:type="dxa"/>
            <w:tcBorders>
              <w:top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14:textFill>
                  <w14:solidFill>
                    <w14:schemeClr w14:val="tx1"/>
                  </w14:solidFill>
                </w14:textFill>
              </w:rPr>
            </w:pPr>
          </w:p>
        </w:tc>
        <w:tc>
          <w:tcPr>
            <w:tcW w:w="1038" w:type="dxa"/>
            <w:tcBorders>
              <w:top w:val="single" w:color="auto" w:sz="4" w:space="0"/>
              <w:left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17" w:type="dxa"/>
            <w:tcBorders>
              <w:top w:val="single" w:color="auto" w:sz="4" w:space="0"/>
              <w:bottom w:val="single" w:color="auto" w:sz="4" w:space="0"/>
            </w:tcBorders>
            <w:vAlign w:val="center"/>
          </w:tcPr>
          <w:p>
            <w:pPr>
              <w:ind w:right="317"/>
              <w:rPr>
                <w:rFonts w:ascii="仿宋" w:hAnsi="仿宋" w:eastAsia="仿宋" w:cs="仿宋"/>
                <w:color w:val="000000" w:themeColor="text1"/>
                <w14:textFill>
                  <w14:solidFill>
                    <w14:schemeClr w14:val="tx1"/>
                  </w14:solidFill>
                </w14:textFill>
              </w:rPr>
            </w:pPr>
          </w:p>
        </w:tc>
        <w:tc>
          <w:tcPr>
            <w:tcW w:w="2268" w:type="dxa"/>
            <w:tcBorders>
              <w:top w:val="single" w:color="auto" w:sz="4" w:space="0"/>
              <w:bottom w:val="single" w:color="auto" w:sz="4" w:space="0"/>
            </w:tcBorders>
            <w:vAlign w:val="center"/>
          </w:tcPr>
          <w:p>
            <w:pPr>
              <w:widowControl/>
              <w:spacing w:line="360" w:lineRule="auto"/>
              <w:jc w:val="left"/>
              <w:rPr>
                <w:rFonts w:ascii="仿宋" w:hAnsi="仿宋" w:eastAsia="仿宋" w:cs="仿宋"/>
                <w:color w:val="000000" w:themeColor="text1"/>
                <w:kern w:val="0"/>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themeColor="text1"/>
                <w14:textFill>
                  <w14:solidFill>
                    <w14:schemeClr w14:val="tx1"/>
                  </w14:solidFill>
                </w14:textFill>
              </w:rPr>
            </w:pPr>
          </w:p>
        </w:tc>
        <w:tc>
          <w:tcPr>
            <w:tcW w:w="1134" w:type="dxa"/>
            <w:tcBorders>
              <w:top w:val="single" w:color="auto" w:sz="4" w:space="0"/>
              <w:bottom w:val="single" w:color="auto" w:sz="4" w:space="0"/>
              <w:right w:val="single" w:color="auto" w:sz="4" w:space="0"/>
            </w:tcBorders>
            <w:vAlign w:val="center"/>
          </w:tcPr>
          <w:p>
            <w:pPr>
              <w:ind w:right="640"/>
              <w:rPr>
                <w:rFonts w:ascii="仿宋" w:hAnsi="仿宋" w:eastAsia="仿宋" w:cs="仿宋"/>
                <w:color w:val="000000" w:themeColor="text1"/>
                <w14:textFill>
                  <w14:solidFill>
                    <w14:schemeClr w14:val="tx1"/>
                  </w14:solidFill>
                </w14:textFill>
              </w:rPr>
            </w:pPr>
          </w:p>
        </w:tc>
        <w:tc>
          <w:tcPr>
            <w:tcW w:w="1985" w:type="dxa"/>
            <w:tcBorders>
              <w:top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14:textFill>
                  <w14:solidFill>
                    <w14:schemeClr w14:val="tx1"/>
                  </w14:solidFill>
                </w14:textFill>
              </w:rPr>
            </w:pPr>
          </w:p>
        </w:tc>
        <w:tc>
          <w:tcPr>
            <w:tcW w:w="1038" w:type="dxa"/>
            <w:tcBorders>
              <w:top w:val="single" w:color="auto" w:sz="4" w:space="0"/>
              <w:left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17" w:type="dxa"/>
            <w:tcBorders>
              <w:top w:val="single" w:color="auto" w:sz="4" w:space="0"/>
              <w:bottom w:val="single" w:color="auto" w:sz="4" w:space="0"/>
            </w:tcBorders>
            <w:vAlign w:val="center"/>
          </w:tcPr>
          <w:p>
            <w:pPr>
              <w:tabs>
                <w:tab w:val="left" w:pos="885"/>
              </w:tabs>
              <w:ind w:right="640"/>
              <w:jc w:val="center"/>
              <w:rPr>
                <w:rFonts w:ascii="仿宋" w:hAnsi="仿宋" w:eastAsia="仿宋" w:cs="仿宋"/>
                <w:color w:val="000000" w:themeColor="text1"/>
                <w14:textFill>
                  <w14:solidFill>
                    <w14:schemeClr w14:val="tx1"/>
                  </w14:solidFill>
                </w14:textFill>
              </w:rPr>
            </w:pPr>
          </w:p>
        </w:tc>
        <w:tc>
          <w:tcPr>
            <w:tcW w:w="2268" w:type="dxa"/>
            <w:tcBorders>
              <w:top w:val="single" w:color="auto" w:sz="4" w:space="0"/>
              <w:bottom w:val="single" w:color="auto" w:sz="4" w:space="0"/>
            </w:tcBorders>
            <w:vAlign w:val="center"/>
          </w:tcPr>
          <w:p>
            <w:pPr>
              <w:widowControl/>
              <w:spacing w:line="360" w:lineRule="auto"/>
              <w:jc w:val="left"/>
              <w:rPr>
                <w:rFonts w:ascii="仿宋" w:hAnsi="仿宋" w:eastAsia="仿宋" w:cs="仿宋"/>
                <w:color w:val="000000" w:themeColor="text1"/>
                <w:kern w:val="0"/>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themeColor="text1"/>
                <w14:textFill>
                  <w14:solidFill>
                    <w14:schemeClr w14:val="tx1"/>
                  </w14:solidFill>
                </w14:textFill>
              </w:rPr>
            </w:pPr>
          </w:p>
        </w:tc>
        <w:tc>
          <w:tcPr>
            <w:tcW w:w="1134" w:type="dxa"/>
            <w:tcBorders>
              <w:top w:val="single" w:color="auto" w:sz="4" w:space="0"/>
              <w:bottom w:val="single" w:color="auto" w:sz="4" w:space="0"/>
              <w:right w:val="single" w:color="auto" w:sz="4" w:space="0"/>
            </w:tcBorders>
            <w:vAlign w:val="center"/>
          </w:tcPr>
          <w:p>
            <w:pPr>
              <w:ind w:right="640"/>
              <w:rPr>
                <w:rFonts w:ascii="仿宋" w:hAnsi="仿宋" w:eastAsia="仿宋" w:cs="仿宋"/>
                <w:color w:val="000000" w:themeColor="text1"/>
                <w14:textFill>
                  <w14:solidFill>
                    <w14:schemeClr w14:val="tx1"/>
                  </w14:solidFill>
                </w14:textFill>
              </w:rPr>
            </w:pPr>
          </w:p>
        </w:tc>
        <w:tc>
          <w:tcPr>
            <w:tcW w:w="1985" w:type="dxa"/>
            <w:tcBorders>
              <w:top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14:textFill>
                  <w14:solidFill>
                    <w14:schemeClr w14:val="tx1"/>
                  </w14:solidFill>
                </w14:textFill>
              </w:rPr>
            </w:pPr>
          </w:p>
        </w:tc>
        <w:tc>
          <w:tcPr>
            <w:tcW w:w="1038" w:type="dxa"/>
            <w:tcBorders>
              <w:top w:val="single" w:color="auto" w:sz="4" w:space="0"/>
              <w:left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17" w:type="dxa"/>
            <w:tcBorders>
              <w:top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c>
          <w:tcPr>
            <w:tcW w:w="2268" w:type="dxa"/>
            <w:tcBorders>
              <w:top w:val="single" w:color="auto" w:sz="4" w:space="0"/>
              <w:bottom w:val="single" w:color="auto" w:sz="4" w:space="0"/>
            </w:tcBorders>
            <w:vAlign w:val="center"/>
          </w:tcPr>
          <w:p>
            <w:pPr>
              <w:widowControl/>
              <w:spacing w:line="360" w:lineRule="auto"/>
              <w:jc w:val="left"/>
              <w:rPr>
                <w:rFonts w:ascii="仿宋" w:hAnsi="仿宋" w:eastAsia="仿宋" w:cs="仿宋"/>
                <w:color w:val="000000" w:themeColor="text1"/>
                <w:kern w:val="0"/>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themeColor="text1"/>
                <w14:textFill>
                  <w14:solidFill>
                    <w14:schemeClr w14:val="tx1"/>
                  </w14:solidFill>
                </w14:textFill>
              </w:rPr>
            </w:pPr>
          </w:p>
        </w:tc>
        <w:tc>
          <w:tcPr>
            <w:tcW w:w="1134" w:type="dxa"/>
            <w:tcBorders>
              <w:top w:val="single" w:color="auto" w:sz="4" w:space="0"/>
              <w:bottom w:val="single" w:color="auto" w:sz="4" w:space="0"/>
              <w:right w:val="single" w:color="auto" w:sz="4" w:space="0"/>
            </w:tcBorders>
            <w:vAlign w:val="center"/>
          </w:tcPr>
          <w:p>
            <w:pPr>
              <w:ind w:right="640"/>
              <w:rPr>
                <w:rFonts w:ascii="仿宋" w:hAnsi="仿宋" w:eastAsia="仿宋" w:cs="仿宋"/>
                <w:color w:val="000000" w:themeColor="text1"/>
                <w14:textFill>
                  <w14:solidFill>
                    <w14:schemeClr w14:val="tx1"/>
                  </w14:solidFill>
                </w14:textFill>
              </w:rPr>
            </w:pPr>
          </w:p>
        </w:tc>
        <w:tc>
          <w:tcPr>
            <w:tcW w:w="1985" w:type="dxa"/>
            <w:tcBorders>
              <w:top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14:textFill>
                  <w14:solidFill>
                    <w14:schemeClr w14:val="tx1"/>
                  </w14:solidFill>
                </w14:textFill>
              </w:rPr>
            </w:pPr>
          </w:p>
        </w:tc>
        <w:tc>
          <w:tcPr>
            <w:tcW w:w="1038" w:type="dxa"/>
            <w:tcBorders>
              <w:top w:val="single" w:color="auto" w:sz="4" w:space="0"/>
              <w:left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17" w:type="dxa"/>
            <w:tcBorders>
              <w:top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c>
          <w:tcPr>
            <w:tcW w:w="2268" w:type="dxa"/>
            <w:tcBorders>
              <w:top w:val="single" w:color="auto" w:sz="4" w:space="0"/>
              <w:bottom w:val="single" w:color="auto" w:sz="4" w:space="0"/>
            </w:tcBorders>
            <w:vAlign w:val="center"/>
          </w:tcPr>
          <w:p>
            <w:pPr>
              <w:widowControl/>
              <w:spacing w:line="360" w:lineRule="auto"/>
              <w:jc w:val="left"/>
              <w:rPr>
                <w:rFonts w:ascii="仿宋" w:hAnsi="仿宋" w:eastAsia="仿宋" w:cs="仿宋"/>
                <w:color w:val="000000" w:themeColor="text1"/>
                <w:kern w:val="0"/>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themeColor="text1"/>
                <w14:textFill>
                  <w14:solidFill>
                    <w14:schemeClr w14:val="tx1"/>
                  </w14:solidFill>
                </w14:textFill>
              </w:rPr>
            </w:pPr>
          </w:p>
        </w:tc>
        <w:tc>
          <w:tcPr>
            <w:tcW w:w="1134" w:type="dxa"/>
            <w:tcBorders>
              <w:top w:val="single" w:color="auto" w:sz="4" w:space="0"/>
              <w:bottom w:val="single" w:color="auto" w:sz="4" w:space="0"/>
              <w:right w:val="single" w:color="auto" w:sz="4" w:space="0"/>
            </w:tcBorders>
            <w:vAlign w:val="center"/>
          </w:tcPr>
          <w:p>
            <w:pPr>
              <w:ind w:right="640"/>
              <w:rPr>
                <w:rFonts w:ascii="仿宋" w:hAnsi="仿宋" w:eastAsia="仿宋" w:cs="仿宋"/>
                <w:color w:val="000000" w:themeColor="text1"/>
                <w14:textFill>
                  <w14:solidFill>
                    <w14:schemeClr w14:val="tx1"/>
                  </w14:solidFill>
                </w14:textFill>
              </w:rPr>
            </w:pPr>
          </w:p>
        </w:tc>
        <w:tc>
          <w:tcPr>
            <w:tcW w:w="1985" w:type="dxa"/>
            <w:tcBorders>
              <w:top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14:textFill>
                  <w14:solidFill>
                    <w14:schemeClr w14:val="tx1"/>
                  </w14:solidFill>
                </w14:textFill>
              </w:rPr>
            </w:pPr>
          </w:p>
        </w:tc>
        <w:tc>
          <w:tcPr>
            <w:tcW w:w="1038" w:type="dxa"/>
            <w:tcBorders>
              <w:top w:val="single" w:color="auto" w:sz="4" w:space="0"/>
              <w:left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17" w:type="dxa"/>
            <w:tcBorders>
              <w:top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c>
          <w:tcPr>
            <w:tcW w:w="2268" w:type="dxa"/>
            <w:tcBorders>
              <w:top w:val="single" w:color="auto" w:sz="4" w:space="0"/>
              <w:bottom w:val="single" w:color="auto" w:sz="4" w:space="0"/>
            </w:tcBorders>
            <w:vAlign w:val="center"/>
          </w:tcPr>
          <w:p>
            <w:pPr>
              <w:widowControl/>
              <w:spacing w:line="360" w:lineRule="auto"/>
              <w:jc w:val="left"/>
              <w:rPr>
                <w:rFonts w:ascii="仿宋" w:hAnsi="仿宋" w:eastAsia="仿宋" w:cs="仿宋"/>
                <w:color w:val="000000" w:themeColor="text1"/>
                <w:kern w:val="0"/>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themeColor="text1"/>
                <w14:textFill>
                  <w14:solidFill>
                    <w14:schemeClr w14:val="tx1"/>
                  </w14:solidFill>
                </w14:textFill>
              </w:rPr>
            </w:pPr>
          </w:p>
        </w:tc>
        <w:tc>
          <w:tcPr>
            <w:tcW w:w="1134" w:type="dxa"/>
            <w:tcBorders>
              <w:top w:val="single" w:color="auto" w:sz="4" w:space="0"/>
              <w:bottom w:val="single" w:color="auto" w:sz="4" w:space="0"/>
              <w:right w:val="single" w:color="auto" w:sz="4" w:space="0"/>
            </w:tcBorders>
            <w:vAlign w:val="center"/>
          </w:tcPr>
          <w:p>
            <w:pPr>
              <w:ind w:right="640"/>
              <w:rPr>
                <w:rFonts w:ascii="仿宋" w:hAnsi="仿宋" w:eastAsia="仿宋" w:cs="仿宋"/>
                <w:color w:val="000000" w:themeColor="text1"/>
                <w14:textFill>
                  <w14:solidFill>
                    <w14:schemeClr w14:val="tx1"/>
                  </w14:solidFill>
                </w14:textFill>
              </w:rPr>
            </w:pPr>
          </w:p>
        </w:tc>
        <w:tc>
          <w:tcPr>
            <w:tcW w:w="1985" w:type="dxa"/>
            <w:tcBorders>
              <w:top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14:textFill>
                  <w14:solidFill>
                    <w14:schemeClr w14:val="tx1"/>
                  </w14:solidFill>
                </w14:textFill>
              </w:rPr>
            </w:pPr>
          </w:p>
        </w:tc>
        <w:tc>
          <w:tcPr>
            <w:tcW w:w="1038" w:type="dxa"/>
            <w:tcBorders>
              <w:top w:val="single" w:color="auto" w:sz="4" w:space="0"/>
              <w:left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17" w:type="dxa"/>
            <w:tcBorders>
              <w:top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c>
          <w:tcPr>
            <w:tcW w:w="2268" w:type="dxa"/>
            <w:tcBorders>
              <w:top w:val="single" w:color="auto" w:sz="4" w:space="0"/>
              <w:bottom w:val="single" w:color="auto" w:sz="4" w:space="0"/>
            </w:tcBorders>
            <w:vAlign w:val="center"/>
          </w:tcPr>
          <w:p>
            <w:pPr>
              <w:widowControl/>
              <w:spacing w:line="360" w:lineRule="auto"/>
              <w:jc w:val="left"/>
              <w:rPr>
                <w:rFonts w:ascii="仿宋" w:hAnsi="仿宋" w:eastAsia="仿宋" w:cs="仿宋"/>
                <w:color w:val="000000" w:themeColor="text1"/>
                <w:kern w:val="0"/>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themeColor="text1"/>
                <w14:textFill>
                  <w14:solidFill>
                    <w14:schemeClr w14:val="tx1"/>
                  </w14:solidFill>
                </w14:textFill>
              </w:rPr>
            </w:pPr>
          </w:p>
        </w:tc>
        <w:tc>
          <w:tcPr>
            <w:tcW w:w="1134" w:type="dxa"/>
            <w:tcBorders>
              <w:top w:val="single" w:color="auto" w:sz="4" w:space="0"/>
              <w:bottom w:val="single" w:color="auto" w:sz="4" w:space="0"/>
              <w:right w:val="single" w:color="auto" w:sz="4" w:space="0"/>
            </w:tcBorders>
            <w:vAlign w:val="center"/>
          </w:tcPr>
          <w:p>
            <w:pPr>
              <w:ind w:right="640"/>
              <w:rPr>
                <w:rFonts w:ascii="仿宋" w:hAnsi="仿宋" w:eastAsia="仿宋" w:cs="仿宋"/>
                <w:color w:val="000000" w:themeColor="text1"/>
                <w14:textFill>
                  <w14:solidFill>
                    <w14:schemeClr w14:val="tx1"/>
                  </w14:solidFill>
                </w14:textFill>
              </w:rPr>
            </w:pPr>
          </w:p>
        </w:tc>
        <w:tc>
          <w:tcPr>
            <w:tcW w:w="1985" w:type="dxa"/>
            <w:tcBorders>
              <w:top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14:textFill>
                  <w14:solidFill>
                    <w14:schemeClr w14:val="tx1"/>
                  </w14:solidFill>
                </w14:textFill>
              </w:rPr>
            </w:pPr>
          </w:p>
        </w:tc>
        <w:tc>
          <w:tcPr>
            <w:tcW w:w="1038" w:type="dxa"/>
            <w:tcBorders>
              <w:top w:val="single" w:color="auto" w:sz="4" w:space="0"/>
              <w:left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17" w:type="dxa"/>
            <w:tcBorders>
              <w:top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c>
          <w:tcPr>
            <w:tcW w:w="2268" w:type="dxa"/>
            <w:tcBorders>
              <w:top w:val="single" w:color="auto" w:sz="4" w:space="0"/>
              <w:bottom w:val="single" w:color="auto" w:sz="4" w:space="0"/>
            </w:tcBorders>
            <w:vAlign w:val="center"/>
          </w:tcPr>
          <w:p>
            <w:pPr>
              <w:widowControl/>
              <w:spacing w:line="360" w:lineRule="auto"/>
              <w:jc w:val="left"/>
              <w:rPr>
                <w:rFonts w:ascii="仿宋" w:hAnsi="仿宋" w:eastAsia="仿宋" w:cs="仿宋"/>
                <w:color w:val="000000" w:themeColor="text1"/>
                <w:kern w:val="0"/>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themeColor="text1"/>
                <w14:textFill>
                  <w14:solidFill>
                    <w14:schemeClr w14:val="tx1"/>
                  </w14:solidFill>
                </w14:textFill>
              </w:rPr>
            </w:pPr>
          </w:p>
        </w:tc>
        <w:tc>
          <w:tcPr>
            <w:tcW w:w="1134" w:type="dxa"/>
            <w:tcBorders>
              <w:top w:val="single" w:color="auto" w:sz="4" w:space="0"/>
              <w:bottom w:val="single" w:color="auto" w:sz="4" w:space="0"/>
              <w:right w:val="single" w:color="auto" w:sz="4" w:space="0"/>
            </w:tcBorders>
            <w:vAlign w:val="center"/>
          </w:tcPr>
          <w:p>
            <w:pPr>
              <w:ind w:right="640"/>
              <w:rPr>
                <w:rFonts w:ascii="仿宋" w:hAnsi="仿宋" w:eastAsia="仿宋" w:cs="仿宋"/>
                <w:color w:val="000000" w:themeColor="text1"/>
                <w14:textFill>
                  <w14:solidFill>
                    <w14:schemeClr w14:val="tx1"/>
                  </w14:solidFill>
                </w14:textFill>
              </w:rPr>
            </w:pPr>
          </w:p>
        </w:tc>
        <w:tc>
          <w:tcPr>
            <w:tcW w:w="1985" w:type="dxa"/>
            <w:tcBorders>
              <w:top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14:textFill>
                  <w14:solidFill>
                    <w14:schemeClr w14:val="tx1"/>
                  </w14:solidFill>
                </w14:textFill>
              </w:rPr>
            </w:pPr>
          </w:p>
        </w:tc>
        <w:tc>
          <w:tcPr>
            <w:tcW w:w="1038" w:type="dxa"/>
            <w:tcBorders>
              <w:top w:val="single" w:color="auto" w:sz="4" w:space="0"/>
              <w:left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17" w:type="dxa"/>
            <w:tcBorders>
              <w:top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c>
          <w:tcPr>
            <w:tcW w:w="2268" w:type="dxa"/>
            <w:tcBorders>
              <w:top w:val="single" w:color="auto" w:sz="4" w:space="0"/>
              <w:bottom w:val="single" w:color="auto" w:sz="4" w:space="0"/>
            </w:tcBorders>
            <w:vAlign w:val="center"/>
          </w:tcPr>
          <w:p>
            <w:pPr>
              <w:widowControl/>
              <w:spacing w:line="360" w:lineRule="auto"/>
              <w:jc w:val="left"/>
              <w:rPr>
                <w:rFonts w:ascii="仿宋" w:hAnsi="仿宋" w:eastAsia="仿宋" w:cs="仿宋"/>
                <w:color w:val="000000" w:themeColor="text1"/>
                <w:kern w:val="0"/>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themeColor="text1"/>
                <w14:textFill>
                  <w14:solidFill>
                    <w14:schemeClr w14:val="tx1"/>
                  </w14:solidFill>
                </w14:textFill>
              </w:rPr>
            </w:pPr>
          </w:p>
        </w:tc>
        <w:tc>
          <w:tcPr>
            <w:tcW w:w="1134" w:type="dxa"/>
            <w:tcBorders>
              <w:top w:val="single" w:color="auto" w:sz="4" w:space="0"/>
              <w:bottom w:val="single" w:color="auto" w:sz="4" w:space="0"/>
              <w:right w:val="single" w:color="auto" w:sz="4" w:space="0"/>
            </w:tcBorders>
            <w:vAlign w:val="center"/>
          </w:tcPr>
          <w:p>
            <w:pPr>
              <w:ind w:right="640"/>
              <w:rPr>
                <w:rFonts w:ascii="仿宋" w:hAnsi="仿宋" w:eastAsia="仿宋" w:cs="仿宋"/>
                <w:color w:val="000000" w:themeColor="text1"/>
                <w14:textFill>
                  <w14:solidFill>
                    <w14:schemeClr w14:val="tx1"/>
                  </w14:solidFill>
                </w14:textFill>
              </w:rPr>
            </w:pPr>
          </w:p>
        </w:tc>
        <w:tc>
          <w:tcPr>
            <w:tcW w:w="1985" w:type="dxa"/>
            <w:tcBorders>
              <w:top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14:textFill>
                  <w14:solidFill>
                    <w14:schemeClr w14:val="tx1"/>
                  </w14:solidFill>
                </w14:textFill>
              </w:rPr>
            </w:pPr>
          </w:p>
        </w:tc>
        <w:tc>
          <w:tcPr>
            <w:tcW w:w="1038" w:type="dxa"/>
            <w:tcBorders>
              <w:top w:val="single" w:color="auto" w:sz="4" w:space="0"/>
              <w:left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17" w:type="dxa"/>
            <w:tcBorders>
              <w:top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c>
          <w:tcPr>
            <w:tcW w:w="2268" w:type="dxa"/>
            <w:tcBorders>
              <w:top w:val="single" w:color="auto" w:sz="4" w:space="0"/>
              <w:bottom w:val="single" w:color="auto" w:sz="4" w:space="0"/>
            </w:tcBorders>
            <w:vAlign w:val="center"/>
          </w:tcPr>
          <w:p>
            <w:pPr>
              <w:widowControl/>
              <w:spacing w:line="360" w:lineRule="auto"/>
              <w:jc w:val="left"/>
              <w:rPr>
                <w:rFonts w:ascii="仿宋" w:hAnsi="仿宋" w:eastAsia="仿宋" w:cs="仿宋"/>
                <w:color w:val="000000" w:themeColor="text1"/>
                <w:kern w:val="0"/>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themeColor="text1"/>
                <w14:textFill>
                  <w14:solidFill>
                    <w14:schemeClr w14:val="tx1"/>
                  </w14:solidFill>
                </w14:textFill>
              </w:rPr>
            </w:pPr>
          </w:p>
        </w:tc>
        <w:tc>
          <w:tcPr>
            <w:tcW w:w="1134" w:type="dxa"/>
            <w:tcBorders>
              <w:top w:val="single" w:color="auto" w:sz="4" w:space="0"/>
              <w:bottom w:val="single" w:color="auto" w:sz="4" w:space="0"/>
              <w:right w:val="single" w:color="auto" w:sz="4" w:space="0"/>
            </w:tcBorders>
            <w:vAlign w:val="center"/>
          </w:tcPr>
          <w:p>
            <w:pPr>
              <w:ind w:right="640"/>
              <w:rPr>
                <w:rFonts w:ascii="仿宋" w:hAnsi="仿宋" w:eastAsia="仿宋" w:cs="仿宋"/>
                <w:color w:val="000000" w:themeColor="text1"/>
                <w14:textFill>
                  <w14:solidFill>
                    <w14:schemeClr w14:val="tx1"/>
                  </w14:solidFill>
                </w14:textFill>
              </w:rPr>
            </w:pPr>
          </w:p>
        </w:tc>
        <w:tc>
          <w:tcPr>
            <w:tcW w:w="1985" w:type="dxa"/>
            <w:tcBorders>
              <w:top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14:textFill>
                  <w14:solidFill>
                    <w14:schemeClr w14:val="tx1"/>
                  </w14:solidFill>
                </w14:textFill>
              </w:rPr>
            </w:pPr>
          </w:p>
        </w:tc>
        <w:tc>
          <w:tcPr>
            <w:tcW w:w="1038" w:type="dxa"/>
            <w:tcBorders>
              <w:top w:val="single" w:color="auto" w:sz="4" w:space="0"/>
              <w:left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17" w:type="dxa"/>
            <w:tcBorders>
              <w:top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c>
          <w:tcPr>
            <w:tcW w:w="2268" w:type="dxa"/>
            <w:tcBorders>
              <w:top w:val="single" w:color="auto" w:sz="4" w:space="0"/>
              <w:bottom w:val="single" w:color="auto" w:sz="4" w:space="0"/>
            </w:tcBorders>
            <w:vAlign w:val="center"/>
          </w:tcPr>
          <w:p>
            <w:pPr>
              <w:widowControl/>
              <w:spacing w:line="360" w:lineRule="auto"/>
              <w:jc w:val="left"/>
              <w:rPr>
                <w:rFonts w:ascii="仿宋" w:hAnsi="仿宋" w:eastAsia="仿宋" w:cs="仿宋"/>
                <w:color w:val="000000" w:themeColor="text1"/>
                <w:kern w:val="0"/>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c>
          <w:tcPr>
            <w:tcW w:w="1134" w:type="dxa"/>
            <w:tcBorders>
              <w:top w:val="single" w:color="auto" w:sz="4" w:space="0"/>
              <w:bottom w:val="single" w:color="auto" w:sz="4" w:space="0"/>
              <w:right w:val="single" w:color="auto" w:sz="4" w:space="0"/>
            </w:tcBorders>
            <w:vAlign w:val="center"/>
          </w:tcPr>
          <w:p>
            <w:pPr>
              <w:ind w:right="640"/>
              <w:rPr>
                <w:rFonts w:ascii="仿宋" w:hAnsi="仿宋" w:eastAsia="仿宋" w:cs="仿宋"/>
                <w:color w:val="000000" w:themeColor="text1"/>
                <w14:textFill>
                  <w14:solidFill>
                    <w14:schemeClr w14:val="tx1"/>
                  </w14:solidFill>
                </w14:textFill>
              </w:rPr>
            </w:pPr>
          </w:p>
        </w:tc>
        <w:tc>
          <w:tcPr>
            <w:tcW w:w="1985" w:type="dxa"/>
            <w:tcBorders>
              <w:top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14:textFill>
                  <w14:solidFill>
                    <w14:schemeClr w14:val="tx1"/>
                  </w14:solidFill>
                </w14:textFill>
              </w:rPr>
            </w:pPr>
          </w:p>
        </w:tc>
        <w:tc>
          <w:tcPr>
            <w:tcW w:w="1038" w:type="dxa"/>
            <w:tcBorders>
              <w:top w:val="single" w:color="auto" w:sz="4" w:space="0"/>
              <w:left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 w:hRule="exact"/>
        </w:trPr>
        <w:tc>
          <w:tcPr>
            <w:tcW w:w="817" w:type="dxa"/>
            <w:tcBorders>
              <w:top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c>
          <w:tcPr>
            <w:tcW w:w="2268" w:type="dxa"/>
            <w:tcBorders>
              <w:top w:val="single" w:color="auto" w:sz="4" w:space="0"/>
              <w:bottom w:val="single" w:color="auto" w:sz="4" w:space="0"/>
            </w:tcBorders>
            <w:vAlign w:val="center"/>
          </w:tcPr>
          <w:p>
            <w:pPr>
              <w:widowControl/>
              <w:spacing w:line="360" w:lineRule="auto"/>
              <w:jc w:val="left"/>
              <w:rPr>
                <w:rFonts w:ascii="仿宋" w:hAnsi="仿宋" w:eastAsia="仿宋" w:cs="仿宋"/>
                <w:color w:val="000000" w:themeColor="text1"/>
                <w:kern w:val="0"/>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c>
          <w:tcPr>
            <w:tcW w:w="1134" w:type="dxa"/>
            <w:tcBorders>
              <w:top w:val="single" w:color="auto" w:sz="4" w:space="0"/>
              <w:bottom w:val="single" w:color="auto" w:sz="4" w:space="0"/>
              <w:right w:val="single" w:color="auto" w:sz="4" w:space="0"/>
            </w:tcBorders>
            <w:vAlign w:val="center"/>
          </w:tcPr>
          <w:p>
            <w:pPr>
              <w:ind w:right="640"/>
              <w:rPr>
                <w:rFonts w:ascii="仿宋" w:hAnsi="仿宋" w:eastAsia="仿宋" w:cs="仿宋"/>
                <w:color w:val="000000" w:themeColor="text1"/>
                <w14:textFill>
                  <w14:solidFill>
                    <w14:schemeClr w14:val="tx1"/>
                  </w14:solidFill>
                </w14:textFill>
              </w:rPr>
            </w:pPr>
          </w:p>
        </w:tc>
        <w:tc>
          <w:tcPr>
            <w:tcW w:w="1985" w:type="dxa"/>
            <w:tcBorders>
              <w:top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14:textFill>
                  <w14:solidFill>
                    <w14:schemeClr w14:val="tx1"/>
                  </w14:solidFill>
                </w14:textFill>
              </w:rPr>
            </w:pPr>
          </w:p>
        </w:tc>
        <w:tc>
          <w:tcPr>
            <w:tcW w:w="1038" w:type="dxa"/>
            <w:tcBorders>
              <w:top w:val="single" w:color="auto" w:sz="4" w:space="0"/>
              <w:left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exact"/>
        </w:trPr>
        <w:tc>
          <w:tcPr>
            <w:tcW w:w="817" w:type="dxa"/>
            <w:tcBorders>
              <w:top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c>
          <w:tcPr>
            <w:tcW w:w="2268" w:type="dxa"/>
            <w:tcBorders>
              <w:top w:val="single" w:color="auto" w:sz="4" w:space="0"/>
              <w:bottom w:val="single" w:color="auto" w:sz="4" w:space="0"/>
            </w:tcBorders>
            <w:vAlign w:val="center"/>
          </w:tcPr>
          <w:p>
            <w:pPr>
              <w:widowControl/>
              <w:spacing w:line="360" w:lineRule="auto"/>
              <w:jc w:val="left"/>
              <w:rPr>
                <w:rFonts w:ascii="仿宋" w:hAnsi="仿宋" w:eastAsia="仿宋" w:cs="仿宋"/>
                <w:color w:val="000000" w:themeColor="text1"/>
                <w:kern w:val="0"/>
                <w14:textFill>
                  <w14:solidFill>
                    <w14:schemeClr w14:val="tx1"/>
                  </w14:solidFill>
                </w14:textFill>
              </w:rPr>
            </w:pPr>
          </w:p>
        </w:tc>
        <w:tc>
          <w:tcPr>
            <w:tcW w:w="2126" w:type="dxa"/>
            <w:tcBorders>
              <w:top w:val="single" w:color="auto" w:sz="4" w:space="0"/>
              <w:bottom w:val="single" w:color="auto" w:sz="4" w:space="0"/>
              <w:right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c>
          <w:tcPr>
            <w:tcW w:w="1134" w:type="dxa"/>
            <w:tcBorders>
              <w:top w:val="single" w:color="auto" w:sz="4" w:space="0"/>
              <w:bottom w:val="single" w:color="auto" w:sz="4" w:space="0"/>
              <w:right w:val="single" w:color="auto" w:sz="4" w:space="0"/>
            </w:tcBorders>
            <w:vAlign w:val="center"/>
          </w:tcPr>
          <w:p>
            <w:pPr>
              <w:ind w:right="640"/>
              <w:rPr>
                <w:rFonts w:ascii="仿宋" w:hAnsi="仿宋" w:eastAsia="仿宋" w:cs="仿宋"/>
                <w:color w:val="000000" w:themeColor="text1"/>
                <w14:textFill>
                  <w14:solidFill>
                    <w14:schemeClr w14:val="tx1"/>
                  </w14:solidFill>
                </w14:textFill>
              </w:rPr>
            </w:pPr>
          </w:p>
        </w:tc>
        <w:tc>
          <w:tcPr>
            <w:tcW w:w="1985" w:type="dxa"/>
            <w:tcBorders>
              <w:top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14:textFill>
                  <w14:solidFill>
                    <w14:schemeClr w14:val="tx1"/>
                  </w14:solidFill>
                </w14:textFill>
              </w:rPr>
            </w:pPr>
          </w:p>
        </w:tc>
        <w:tc>
          <w:tcPr>
            <w:tcW w:w="1038" w:type="dxa"/>
            <w:tcBorders>
              <w:top w:val="single" w:color="auto" w:sz="4" w:space="0"/>
              <w:left w:val="single" w:color="auto" w:sz="4" w:space="0"/>
              <w:bottom w:val="single" w:color="auto" w:sz="4" w:space="0"/>
            </w:tcBorders>
            <w:vAlign w:val="center"/>
          </w:tcPr>
          <w:p>
            <w:pPr>
              <w:ind w:right="640"/>
              <w:jc w:val="center"/>
              <w:rPr>
                <w:rFonts w:ascii="仿宋" w:hAnsi="仿宋" w:eastAsia="仿宋" w:cs="仿宋"/>
                <w:color w:val="000000" w:themeColor="text1"/>
                <w14:textFill>
                  <w14:solidFill>
                    <w14:schemeClr w14:val="tx1"/>
                  </w14:solidFill>
                </w14:textFill>
              </w:rPr>
            </w:pPr>
          </w:p>
        </w:tc>
      </w:tr>
    </w:tbl>
    <w:p>
      <w:pPr>
        <w:rPr>
          <w:b/>
          <w:color w:val="000000" w:themeColor="text1"/>
          <w14:textFill>
            <w14:solidFill>
              <w14:schemeClr w14:val="tx1"/>
            </w14:solidFill>
          </w14:textFill>
        </w:rPr>
      </w:pPr>
    </w:p>
    <w:p>
      <w:pPr>
        <w:pStyle w:val="37"/>
        <w:spacing w:line="360" w:lineRule="auto"/>
        <w:ind w:firstLine="118" w:firstLineChars="49"/>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投标人(公章)：</w:t>
      </w:r>
    </w:p>
    <w:p>
      <w:pPr>
        <w:pStyle w:val="34"/>
        <w:spacing w:line="360" w:lineRule="auto"/>
        <w:ind w:firstLine="480" w:firstLineChars="200"/>
        <w:rPr>
          <w:color w:val="000000" w:themeColor="text1"/>
          <w:sz w:val="24"/>
          <w:szCs w:val="27"/>
          <w14:textFill>
            <w14:solidFill>
              <w14:schemeClr w14:val="tx1"/>
            </w14:solidFill>
          </w14:textFill>
        </w:rPr>
      </w:pPr>
      <w:r>
        <w:rPr>
          <w:rFonts w:hint="eastAsia"/>
          <w:color w:val="000000" w:themeColor="text1"/>
          <w:sz w:val="24"/>
          <w:szCs w:val="27"/>
          <w14:textFill>
            <w14:solidFill>
              <w14:schemeClr w14:val="tx1"/>
            </w14:solidFill>
          </w14:textFill>
        </w:rPr>
        <w:t>备注：</w:t>
      </w:r>
    </w:p>
    <w:p>
      <w:pPr>
        <w:pStyle w:val="34"/>
        <w:spacing w:line="360" w:lineRule="auto"/>
        <w:ind w:firstLine="480" w:firstLineChars="200"/>
        <w:rPr>
          <w:rFonts w:hAnsi="宋体"/>
          <w:color w:val="000000" w:themeColor="text1"/>
          <w:sz w:val="24"/>
          <w:szCs w:val="28"/>
          <w14:textFill>
            <w14:solidFill>
              <w14:schemeClr w14:val="tx1"/>
            </w14:solidFill>
          </w14:textFill>
        </w:rPr>
      </w:pPr>
      <w:r>
        <w:rPr>
          <w:rFonts w:hint="eastAsia"/>
          <w:color w:val="000000" w:themeColor="text1"/>
          <w:sz w:val="24"/>
          <w:szCs w:val="27"/>
          <w14:textFill>
            <w14:solidFill>
              <w14:schemeClr w14:val="tx1"/>
            </w14:solidFill>
          </w14:textFill>
        </w:rPr>
        <w:t>1、以上配件清单包含</w:t>
      </w:r>
      <w:r>
        <w:rPr>
          <w:rFonts w:hint="eastAsia" w:hAnsi="宋体"/>
          <w:color w:val="000000" w:themeColor="text1"/>
          <w:sz w:val="24"/>
          <w:szCs w:val="28"/>
          <w14:textFill>
            <w14:solidFill>
              <w14:schemeClr w14:val="tx1"/>
            </w14:solidFill>
          </w14:textFill>
        </w:rPr>
        <w:t>免费提供消防系统零配件及200元以内常用易损件，其他维修材料另行支付。</w:t>
      </w:r>
    </w:p>
    <w:p>
      <w:pPr>
        <w:spacing w:before="48" w:beforeLines="20" w:after="48" w:afterLines="20" w:line="360" w:lineRule="auto"/>
        <w:ind w:firstLine="480" w:firstLineChars="200"/>
        <w:rPr>
          <w:b/>
          <w:color w:val="000000" w:themeColor="text1"/>
          <w:sz w:val="24"/>
          <w:szCs w:val="27"/>
          <w14:textFill>
            <w14:solidFill>
              <w14:schemeClr w14:val="tx1"/>
            </w14:solidFill>
          </w14:textFill>
        </w:rPr>
        <w:sectPr>
          <w:headerReference r:id="rId5" w:type="default"/>
          <w:footerReference r:id="rId6" w:type="default"/>
          <w:footerReference r:id="rId7" w:type="even"/>
          <w:pgSz w:w="11907" w:h="16840"/>
          <w:pgMar w:top="1440" w:right="1247" w:bottom="1440" w:left="1247" w:header="851" w:footer="992" w:gutter="0"/>
          <w:cols w:space="425" w:num="1"/>
          <w:docGrid w:linePitch="303" w:charSpace="0"/>
        </w:sectPr>
      </w:pPr>
      <w:r>
        <w:rPr>
          <w:rFonts w:hint="eastAsia"/>
          <w:color w:val="000000" w:themeColor="text1"/>
          <w:sz w:val="24"/>
          <w:szCs w:val="27"/>
          <w14:textFill>
            <w14:solidFill>
              <w14:schemeClr w14:val="tx1"/>
            </w14:solidFill>
          </w14:textFill>
        </w:rPr>
        <w:t>2、常用配件系指易损件、耗材等， 该报价不含在投标报价中</w:t>
      </w:r>
      <w:r>
        <w:rPr>
          <w:rFonts w:hint="eastAsia"/>
          <w:b/>
          <w:color w:val="000000" w:themeColor="text1"/>
          <w:sz w:val="24"/>
          <w:szCs w:val="27"/>
          <w14:textFill>
            <w14:solidFill>
              <w14:schemeClr w14:val="tx1"/>
            </w14:solidFill>
          </w14:textFill>
        </w:rPr>
        <w:t>（分标段、分品牌报价）</w:t>
      </w:r>
    </w:p>
    <w:p>
      <w:pPr>
        <w:rPr>
          <w:color w:val="000000" w:themeColor="text1"/>
          <w14:textFill>
            <w14:solidFill>
              <w14:schemeClr w14:val="tx1"/>
            </w14:solidFill>
          </w14:textFill>
        </w:rPr>
      </w:pPr>
      <w:bookmarkStart w:id="113" w:name="_Toc536542359"/>
      <w:bookmarkStart w:id="114" w:name="_Toc508363611"/>
    </w:p>
    <w:p>
      <w:pPr>
        <w:pStyle w:val="7"/>
        <w:rPr>
          <w:rFonts w:hAnsi="宋体"/>
          <w:color w:val="000000" w:themeColor="text1"/>
          <w:sz w:val="28"/>
          <w14:textFill>
            <w14:solidFill>
              <w14:schemeClr w14:val="tx1"/>
            </w14:solidFill>
          </w14:textFill>
        </w:rPr>
      </w:pPr>
      <w:bookmarkStart w:id="115" w:name="_Toc18094"/>
      <w:r>
        <w:rPr>
          <w:rFonts w:hint="eastAsia" w:hAnsi="宋体"/>
          <w:color w:val="000000" w:themeColor="text1"/>
          <w:sz w:val="28"/>
          <w14:textFill>
            <w14:solidFill>
              <w14:schemeClr w14:val="tx1"/>
            </w14:solidFill>
          </w14:textFill>
        </w:rPr>
        <w:t>六．投标授权书</w:t>
      </w:r>
      <w:bookmarkEnd w:id="113"/>
      <w:bookmarkEnd w:id="114"/>
      <w:bookmarkEnd w:id="115"/>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本授权书声明：</w:t>
      </w:r>
      <w:r>
        <w:rPr>
          <w:rFonts w:hint="eastAsia" w:hAnsi="宋体"/>
          <w:color w:val="000000" w:themeColor="text1"/>
          <w:sz w:val="24"/>
          <w:szCs w:val="28"/>
          <w:u w:val="single"/>
          <w14:textFill>
            <w14:solidFill>
              <w14:schemeClr w14:val="tx1"/>
            </w14:solidFill>
          </w14:textFill>
        </w:rPr>
        <w:t xml:space="preserve">           </w:t>
      </w:r>
      <w:r>
        <w:rPr>
          <w:rFonts w:hint="eastAsia" w:hAnsi="宋体"/>
          <w:color w:val="000000" w:themeColor="text1"/>
          <w:sz w:val="24"/>
          <w:szCs w:val="28"/>
          <w14:textFill>
            <w14:solidFill>
              <w14:schemeClr w14:val="tx1"/>
            </w14:solidFill>
          </w14:textFill>
        </w:rPr>
        <w:t>公司授权</w:t>
      </w:r>
      <w:r>
        <w:rPr>
          <w:rFonts w:hint="eastAsia" w:hAnsi="宋体"/>
          <w:color w:val="000000" w:themeColor="text1"/>
          <w:sz w:val="24"/>
          <w:szCs w:val="28"/>
          <w:u w:val="single"/>
          <w14:textFill>
            <w14:solidFill>
              <w14:schemeClr w14:val="tx1"/>
            </w14:solidFill>
          </w14:textFill>
        </w:rPr>
        <w:t xml:space="preserve">       </w:t>
      </w:r>
      <w:r>
        <w:rPr>
          <w:rFonts w:hint="eastAsia" w:hAnsi="宋体"/>
          <w:color w:val="000000" w:themeColor="text1"/>
          <w:sz w:val="24"/>
          <w:szCs w:val="28"/>
          <w14:textFill>
            <w14:solidFill>
              <w14:schemeClr w14:val="tx1"/>
            </w14:solidFill>
          </w14:textFill>
        </w:rPr>
        <w:t>（投标人授权代表姓名、职务，手机号码）代表本公司参加合肥文旅博览集团有限公司</w:t>
      </w:r>
      <w:r>
        <w:rPr>
          <w:rFonts w:hint="eastAsia" w:hAnsi="宋体"/>
          <w:b/>
          <w:color w:val="000000" w:themeColor="text1"/>
          <w:sz w:val="24"/>
          <w:szCs w:val="28"/>
          <w:u w:val="single"/>
          <w14:textFill>
            <w14:solidFill>
              <w14:schemeClr w14:val="tx1"/>
            </w14:solidFill>
          </w14:textFill>
        </w:rPr>
        <w:t xml:space="preserve">                   </w:t>
      </w:r>
      <w:r>
        <w:rPr>
          <w:rFonts w:hint="eastAsia" w:hAnsi="宋体"/>
          <w:bCs/>
          <w:color w:val="000000" w:themeColor="text1"/>
          <w:sz w:val="24"/>
          <w:szCs w:val="28"/>
          <w14:textFill>
            <w14:solidFill>
              <w14:schemeClr w14:val="tx1"/>
            </w14:solidFill>
          </w14:textFill>
        </w:rPr>
        <w:t>招标活动（项目编号：</w:t>
      </w:r>
      <w:r>
        <w:rPr>
          <w:rFonts w:hint="eastAsia" w:hAnsi="宋体"/>
          <w:b/>
          <w:color w:val="000000" w:themeColor="text1"/>
          <w:sz w:val="24"/>
          <w:szCs w:val="28"/>
          <w14:textFill>
            <w14:solidFill>
              <w14:schemeClr w14:val="tx1"/>
            </w14:solidFill>
          </w14:textFill>
        </w:rPr>
        <w:t xml:space="preserve">       </w:t>
      </w:r>
      <w:r>
        <w:rPr>
          <w:rFonts w:hint="eastAsia" w:hAnsi="宋体"/>
          <w:bCs/>
          <w:color w:val="000000" w:themeColor="text1"/>
          <w:sz w:val="24"/>
          <w:szCs w:val="28"/>
          <w14:textFill>
            <w14:solidFill>
              <w14:schemeClr w14:val="tx1"/>
            </w14:solidFill>
          </w14:textFill>
        </w:rPr>
        <w:t>）</w:t>
      </w:r>
      <w:r>
        <w:rPr>
          <w:rFonts w:hint="eastAsia" w:hAnsi="宋体"/>
          <w:color w:val="000000" w:themeColor="text1"/>
          <w:sz w:val="24"/>
          <w:szCs w:val="28"/>
          <w14:textFill>
            <w14:solidFill>
              <w14:schemeClr w14:val="tx1"/>
            </w14:solidFill>
          </w14:textFill>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本授权书自出具之日起生效。</w:t>
      </w:r>
    </w:p>
    <w:p>
      <w:pPr>
        <w:spacing w:line="360" w:lineRule="auto"/>
        <w:rPr>
          <w:rFonts w:ascii="宋体" w:hAnsi="宋体"/>
          <w:color w:val="000000" w:themeColor="text1"/>
          <w:sz w:val="24"/>
          <w:szCs w:val="28"/>
          <w14:textFill>
            <w14:solidFill>
              <w14:schemeClr w14:val="tx1"/>
            </w14:solidFill>
          </w14:textFill>
        </w:rPr>
      </w:pPr>
      <w:r>
        <w:rPr>
          <w:rFonts w:ascii="宋体" w:hAnsi="宋体"/>
          <w:color w:val="000000" w:themeColor="text1"/>
          <w:sz w:val="24"/>
          <w:szCs w:val="28"/>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1" name="组合 1"/>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91.4pt;margin-top:20.1pt;height:57.3pt;width:303.95pt;z-index:251659264;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AAAAABkcnMvUEsBAhQAFAAAAAgAh07iQH5BtsPZAAAACgEAAA8AAAAAAAAAAQAgAAAAIgAA&#10;AGRycy9kb3ducmV2LnhtbFBLAQIUABQAAAAIAIdO4kAjTlKB6wIAAMgIAAAOAAAAAAAAAAEAIAAA&#10;ACgBAABkcnMvZTJvRG9jLnhtbFBLBQYAAAAABgAGAFkBAACFBg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v:textbox>
                </v:roundrect>
              </v:group>
            </w:pict>
          </mc:Fallback>
        </mc:AlternateContent>
      </w:r>
    </w:p>
    <w:p>
      <w:pPr>
        <w:spacing w:line="360" w:lineRule="auto"/>
        <w:ind w:firstLine="645"/>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特此声明。</w:t>
      </w: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b/>
          <w:bCs/>
          <w:color w:val="000000" w:themeColor="text1"/>
          <w:sz w:val="24"/>
          <w:szCs w:val="28"/>
          <w14:textFill>
            <w14:solidFill>
              <w14:schemeClr w14:val="tx1"/>
            </w14:solidFill>
          </w14:textFill>
        </w:rPr>
      </w:pPr>
      <w:r>
        <w:rPr>
          <w:rFonts w:hint="eastAsia" w:ascii="宋体" w:hAnsi="宋体"/>
          <w:b/>
          <w:bCs/>
          <w:color w:val="000000" w:themeColor="text1"/>
          <w:sz w:val="24"/>
          <w:szCs w:val="28"/>
          <w14:textFill>
            <w14:solidFill>
              <w14:schemeClr w14:val="tx1"/>
            </w14:solidFill>
          </w14:textFill>
        </w:rPr>
        <w:t>投标人(公章)：</w:t>
      </w:r>
      <w:r>
        <w:rPr>
          <w:rFonts w:hint="eastAsia" w:ascii="宋体" w:hAnsi="宋体"/>
          <w:b/>
          <w:bCs/>
          <w:color w:val="000000" w:themeColor="text1"/>
          <w:sz w:val="24"/>
          <w:szCs w:val="28"/>
          <w:u w:val="single"/>
          <w14:textFill>
            <w14:solidFill>
              <w14:schemeClr w14:val="tx1"/>
            </w14:solidFill>
          </w14:textFill>
        </w:rPr>
        <w:t xml:space="preserve">                    </w:t>
      </w:r>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日        期： </w:t>
      </w:r>
      <w:r>
        <w:rPr>
          <w:rFonts w:hint="eastAsia" w:ascii="宋体" w:hAnsi="宋体"/>
          <w:color w:val="000000" w:themeColor="text1"/>
          <w:sz w:val="24"/>
          <w:szCs w:val="28"/>
          <w:u w:val="single"/>
          <w14:textFill>
            <w14:solidFill>
              <w14:schemeClr w14:val="tx1"/>
            </w14:solidFill>
          </w14:textFill>
        </w:rPr>
        <w:t xml:space="preserve">                   </w:t>
      </w:r>
    </w:p>
    <w:p>
      <w:pPr>
        <w:rPr>
          <w:rFonts w:ascii="宋体" w:hAnsi="宋体"/>
          <w:color w:val="000000" w:themeColor="text1"/>
          <w:sz w:val="28"/>
          <w:szCs w:val="28"/>
          <w14:textFill>
            <w14:solidFill>
              <w14:schemeClr w14:val="tx1"/>
            </w14:solidFill>
          </w14:textFill>
        </w:rPr>
      </w:pP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注：</w:t>
      </w: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1.本项目只允许有唯一的投标人授权代表（须与投标函中授权代表为同一人，否则投标无效），投标文件中提供授权代表身份证</w:t>
      </w:r>
      <w:r>
        <w:rPr>
          <w:rFonts w:hint="eastAsia" w:hAnsi="宋体"/>
          <w:color w:val="000000" w:themeColor="text1"/>
          <w:sz w:val="24"/>
          <w14:textFill>
            <w14:solidFill>
              <w14:schemeClr w14:val="tx1"/>
            </w14:solidFill>
          </w14:textFill>
        </w:rPr>
        <w:t>扫描件</w:t>
      </w:r>
      <w:r>
        <w:rPr>
          <w:rFonts w:hint="eastAsia" w:hAnsi="宋体"/>
          <w:color w:val="000000" w:themeColor="text1"/>
          <w:sz w:val="24"/>
          <w:szCs w:val="28"/>
          <w14:textFill>
            <w14:solidFill>
              <w14:schemeClr w14:val="tx1"/>
            </w14:solidFill>
          </w14:textFill>
        </w:rPr>
        <w:t>。</w:t>
      </w:r>
    </w:p>
    <w:p>
      <w:pPr>
        <w:pStyle w:val="34"/>
        <w:snapToGrid w:val="0"/>
        <w:spacing w:line="360" w:lineRule="auto"/>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8"/>
          <w14:textFill>
            <w14:solidFill>
              <w14:schemeClr w14:val="tx1"/>
            </w14:solidFill>
          </w14:textFill>
        </w:rPr>
        <w:t>2.法定代表人参加投标的无需此件，</w:t>
      </w:r>
      <w:r>
        <w:rPr>
          <w:rFonts w:hint="eastAsia" w:hAnsi="宋体"/>
          <w:color w:val="000000" w:themeColor="text1"/>
          <w:sz w:val="24"/>
          <w14:textFill>
            <w14:solidFill>
              <w14:schemeClr w14:val="tx1"/>
            </w14:solidFill>
          </w14:textFill>
        </w:rPr>
        <w:t>但投标文件中须提供身份证扫描件。</w:t>
      </w:r>
    </w:p>
    <w:p>
      <w:pPr>
        <w:pStyle w:val="7"/>
        <w:rPr>
          <w:rFonts w:hAnsi="宋体" w:cs="宋体"/>
          <w:color w:val="000000" w:themeColor="text1"/>
          <w:sz w:val="28"/>
          <w:szCs w:val="28"/>
          <w14:textFill>
            <w14:solidFill>
              <w14:schemeClr w14:val="tx1"/>
            </w14:solidFill>
          </w14:textFill>
        </w:rPr>
      </w:pPr>
      <w:bookmarkStart w:id="116" w:name="_Toc536542360"/>
      <w:bookmarkStart w:id="117" w:name="_Toc13908"/>
      <w:r>
        <w:rPr>
          <w:rFonts w:hint="eastAsia" w:hAnsi="宋体" w:cs="宋体"/>
          <w:color w:val="000000" w:themeColor="text1"/>
          <w:sz w:val="28"/>
          <w:szCs w:val="28"/>
          <w14:textFill>
            <w14:solidFill>
              <w14:schemeClr w14:val="tx1"/>
            </w14:solidFill>
          </w14:textFill>
        </w:rPr>
        <w:t>七．投标人信用承诺</w:t>
      </w:r>
      <w:bookmarkEnd w:id="109"/>
      <w:bookmarkEnd w:id="110"/>
      <w:bookmarkEnd w:id="116"/>
      <w:bookmarkEnd w:id="117"/>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我公司申明，我公司无以下不良信用记录情形：</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1.公司被人民法院列入失信被执行人；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2.公司、公司法定代表人被人民检察院列入行贿犯罪档案；</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3.公司被工商行政管理部门列入企业经营异常名录；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4.公司被税务部门列入重大税收违法案件当事人名单的；</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 参加本次投标活动前三年内，在服务活动中没有重大违法及安全事故记录。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投标人（公章）：</w:t>
      </w: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p>
    <w:bookmarkEnd w:id="111"/>
    <w:p>
      <w:pPr>
        <w:pStyle w:val="7"/>
        <w:rPr>
          <w:rFonts w:hAnsi="宋体" w:cs="宋体"/>
          <w:color w:val="000000" w:themeColor="text1"/>
          <w:sz w:val="28"/>
          <w:szCs w:val="28"/>
          <w14:textFill>
            <w14:solidFill>
              <w14:schemeClr w14:val="tx1"/>
            </w14:solidFill>
          </w14:textFill>
        </w:rPr>
      </w:pPr>
      <w:bookmarkStart w:id="118" w:name="_Hlt509738950"/>
      <w:bookmarkEnd w:id="118"/>
      <w:bookmarkStart w:id="119" w:name="_Toc496587831"/>
      <w:bookmarkStart w:id="120" w:name="_Toc536542361"/>
      <w:bookmarkStart w:id="121" w:name="_Toc18964"/>
      <w:r>
        <w:rPr>
          <w:rFonts w:hint="eastAsia" w:hAnsi="宋体" w:cs="宋体"/>
          <w:color w:val="000000" w:themeColor="text1"/>
          <w:sz w:val="28"/>
          <w:szCs w:val="28"/>
          <w14:textFill>
            <w14:solidFill>
              <w14:schemeClr w14:val="tx1"/>
            </w14:solidFill>
          </w14:textFill>
        </w:rPr>
        <w:t>八.</w:t>
      </w:r>
      <w:bookmarkEnd w:id="119"/>
      <w:r>
        <w:rPr>
          <w:rFonts w:hint="eastAsia" w:hAnsi="宋体" w:cs="宋体"/>
          <w:color w:val="000000" w:themeColor="text1"/>
          <w:sz w:val="28"/>
          <w:szCs w:val="28"/>
          <w14:textFill>
            <w14:solidFill>
              <w14:schemeClr w14:val="tx1"/>
            </w14:solidFill>
          </w14:textFill>
        </w:rPr>
        <w:t xml:space="preserve"> 投标业绩</w:t>
      </w:r>
      <w:bookmarkEnd w:id="120"/>
      <w:bookmarkEnd w:id="121"/>
    </w:p>
    <w:p>
      <w:pPr>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（一）业绩表</w:t>
      </w:r>
    </w:p>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（格式仅供参考）</w:t>
      </w:r>
    </w:p>
    <w:tbl>
      <w:tblPr>
        <w:tblStyle w:val="66"/>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25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559"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p>
        </w:tc>
        <w:tc>
          <w:tcPr>
            <w:tcW w:w="2410" w:type="dxa"/>
            <w:vAlign w:val="center"/>
          </w:tcPr>
          <w:p>
            <w:pPr>
              <w:widowControl/>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服务内容</w:t>
            </w:r>
          </w:p>
        </w:tc>
        <w:tc>
          <w:tcPr>
            <w:tcW w:w="1559"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合同总金额</w:t>
            </w:r>
          </w:p>
        </w:tc>
        <w:tc>
          <w:tcPr>
            <w:tcW w:w="2551"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业主单位及联系电话</w:t>
            </w:r>
          </w:p>
        </w:tc>
        <w:tc>
          <w:tcPr>
            <w:tcW w:w="1134"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trPr>
        <w:tc>
          <w:tcPr>
            <w:tcW w:w="10059" w:type="dxa"/>
            <w:gridSpan w:val="6"/>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410"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551"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134" w:type="dxa"/>
            <w:vAlign w:val="center"/>
          </w:tcPr>
          <w:p>
            <w:pPr>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410"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551"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134" w:type="dxa"/>
            <w:vAlign w:val="center"/>
          </w:tcPr>
          <w:p>
            <w:pPr>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410"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551"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134" w:type="dxa"/>
            <w:vAlign w:val="center"/>
          </w:tcPr>
          <w:p>
            <w:pPr>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410"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559"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2551" w:type="dxa"/>
            <w:vAlign w:val="center"/>
          </w:tcPr>
          <w:p>
            <w:pPr>
              <w:spacing w:line="360" w:lineRule="auto"/>
              <w:rPr>
                <w:rFonts w:ascii="宋体" w:hAnsi="宋体" w:cs="宋体"/>
                <w:color w:val="000000" w:themeColor="text1"/>
                <w:sz w:val="24"/>
                <w:szCs w:val="24"/>
                <w14:textFill>
                  <w14:solidFill>
                    <w14:schemeClr w14:val="tx1"/>
                  </w14:solidFill>
                </w14:textFill>
              </w:rPr>
            </w:pPr>
          </w:p>
        </w:tc>
        <w:tc>
          <w:tcPr>
            <w:tcW w:w="1134" w:type="dxa"/>
            <w:vAlign w:val="center"/>
          </w:tcPr>
          <w:p>
            <w:pPr>
              <w:spacing w:line="360" w:lineRule="auto"/>
              <w:rPr>
                <w:rFonts w:ascii="宋体" w:hAnsi="宋体" w:cs="宋体"/>
                <w:color w:val="000000" w:themeColor="text1"/>
                <w:sz w:val="24"/>
                <w:szCs w:val="24"/>
                <w14:textFill>
                  <w14:solidFill>
                    <w14:schemeClr w14:val="tx1"/>
                  </w14:solidFill>
                </w14:textFill>
              </w:rPr>
            </w:pPr>
          </w:p>
        </w:tc>
      </w:tr>
    </w:tbl>
    <w:p>
      <w:pPr>
        <w:spacing w:before="48" w:beforeLines="20" w:after="48" w:afterLines="20" w:line="360" w:lineRule="auto"/>
        <w:rPr>
          <w:rFonts w:ascii="宋体" w:hAnsi="宋体" w:cs="宋体"/>
          <w:color w:val="000000" w:themeColor="text1"/>
          <w:sz w:val="24"/>
          <w:szCs w:val="24"/>
          <w14:textFill>
            <w14:solidFill>
              <w14:schemeClr w14:val="tx1"/>
            </w14:solidFill>
          </w14:textFill>
        </w:rPr>
      </w:pPr>
    </w:p>
    <w:p>
      <w:pPr>
        <w:spacing w:before="48" w:beforeLines="20" w:after="48" w:afterLines="20" w:line="360" w:lineRule="auto"/>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（二）业绩证明材料</w:t>
      </w:r>
    </w:p>
    <w:p>
      <w:pPr>
        <w:spacing w:before="48" w:beforeLines="20" w:after="48" w:afterLines="20"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（建议与上述“（一）业绩表”填写的业绩一一对应提供）</w:t>
      </w:r>
    </w:p>
    <w:p>
      <w:pPr>
        <w:spacing w:before="48" w:beforeLines="20" w:after="48" w:afterLines="20" w:line="360" w:lineRule="auto"/>
        <w:jc w:val="center"/>
        <w:rPr>
          <w:rFonts w:ascii="宋体" w:hAnsi="宋体" w:cs="宋体"/>
          <w:color w:val="000000" w:themeColor="text1"/>
          <w:sz w:val="24"/>
          <w:szCs w:val="24"/>
          <w14:textFill>
            <w14:solidFill>
              <w14:schemeClr w14:val="tx1"/>
            </w14:solidFill>
          </w14:textFill>
        </w:rPr>
      </w:pPr>
    </w:p>
    <w:p>
      <w:pPr>
        <w:spacing w:before="48" w:beforeLines="20" w:after="48" w:afterLines="20" w:line="360" w:lineRule="auto"/>
        <w:rPr>
          <w:rFonts w:ascii="宋体" w:hAnsi="宋体" w:cs="宋体"/>
          <w:color w:val="000000" w:themeColor="text1"/>
          <w:sz w:val="24"/>
          <w:szCs w:val="24"/>
          <w14:textFill>
            <w14:solidFill>
              <w14:schemeClr w14:val="tx1"/>
            </w14:solidFill>
          </w14:textFill>
        </w:rPr>
      </w:pPr>
    </w:p>
    <w:p>
      <w:pPr>
        <w:spacing w:before="48" w:beforeLines="20" w:after="48" w:afterLines="20" w:line="360" w:lineRule="auto"/>
        <w:jc w:val="center"/>
        <w:rPr>
          <w:rFonts w:ascii="宋体" w:hAnsi="宋体" w:cs="宋体"/>
          <w:color w:val="000000" w:themeColor="text1"/>
          <w:sz w:val="24"/>
          <w:szCs w:val="24"/>
          <w14:textFill>
            <w14:solidFill>
              <w14:schemeClr w14:val="tx1"/>
            </w14:solidFill>
          </w14:textFill>
        </w:rPr>
      </w:pPr>
    </w:p>
    <w:p>
      <w:pPr>
        <w:spacing w:before="48" w:beforeLines="20" w:after="48" w:afterLines="20" w:line="360" w:lineRule="auto"/>
        <w:jc w:val="center"/>
        <w:rPr>
          <w:rFonts w:ascii="宋体" w:hAnsi="宋体" w:cs="宋体"/>
          <w:color w:val="000000" w:themeColor="text1"/>
          <w:sz w:val="24"/>
          <w:szCs w:val="24"/>
          <w14:textFill>
            <w14:solidFill>
              <w14:schemeClr w14:val="tx1"/>
            </w14:solidFill>
          </w14:textFill>
        </w:rPr>
      </w:pPr>
    </w:p>
    <w:p>
      <w:pPr>
        <w:spacing w:before="48" w:beforeLines="20" w:after="48" w:afterLines="20" w:line="360" w:lineRule="auto"/>
        <w:jc w:val="center"/>
        <w:rPr>
          <w:rFonts w:ascii="宋体" w:hAnsi="宋体" w:cs="宋体"/>
          <w:color w:val="000000" w:themeColor="text1"/>
          <w:sz w:val="24"/>
          <w:szCs w:val="24"/>
          <w14:textFill>
            <w14:solidFill>
              <w14:schemeClr w14:val="tx1"/>
            </w14:solidFill>
          </w14:textFill>
        </w:rPr>
      </w:pPr>
    </w:p>
    <w:p>
      <w:pPr>
        <w:pStyle w:val="7"/>
        <w:rPr>
          <w:rFonts w:hAnsi="宋体"/>
          <w:color w:val="000000" w:themeColor="text1"/>
          <w:sz w:val="28"/>
          <w:szCs w:val="36"/>
          <w14:textFill>
            <w14:solidFill>
              <w14:schemeClr w14:val="tx1"/>
            </w14:solidFill>
          </w14:textFill>
        </w:rPr>
      </w:pPr>
      <w:bookmarkStart w:id="122" w:name="_Toc516969105"/>
      <w:bookmarkStart w:id="123" w:name="_Toc471736419"/>
      <w:bookmarkStart w:id="124" w:name="_Toc220232402"/>
      <w:bookmarkStart w:id="125" w:name="_Toc536542362"/>
      <w:bookmarkStart w:id="126" w:name="_Toc508363610"/>
      <w:bookmarkStart w:id="127" w:name="_Toc7278"/>
      <w:r>
        <w:rPr>
          <w:rFonts w:hint="eastAsia" w:hAnsi="宋体"/>
          <w:color w:val="000000" w:themeColor="text1"/>
          <w:sz w:val="28"/>
          <w14:textFill>
            <w14:solidFill>
              <w14:schemeClr w14:val="tx1"/>
            </w14:solidFill>
          </w14:textFill>
        </w:rPr>
        <w:t>九．有关证明文件</w:t>
      </w:r>
      <w:bookmarkEnd w:id="122"/>
      <w:bookmarkEnd w:id="123"/>
      <w:bookmarkEnd w:id="124"/>
      <w:bookmarkEnd w:id="125"/>
      <w:bookmarkEnd w:id="126"/>
      <w:bookmarkEnd w:id="127"/>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提供符合投标邀请、招标需求及评标办法规定的相关证明文件（制作成扫描件）。</w:t>
      </w:r>
    </w:p>
    <w:p>
      <w:pPr>
        <w:pStyle w:val="34"/>
        <w:snapToGrid w:val="0"/>
        <w:spacing w:before="120" w:after="120" w:line="360" w:lineRule="auto"/>
        <w:ind w:firstLine="48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特别提示：</w:t>
      </w:r>
    </w:p>
    <w:p>
      <w:pPr>
        <w:pStyle w:val="34"/>
        <w:snapToGrid w:val="0"/>
        <w:spacing w:line="360" w:lineRule="auto"/>
        <w:ind w:firstLine="482"/>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投标人在投标文件制作时，提供下列材料（包括但不限于）：</w:t>
      </w:r>
    </w:p>
    <w:p>
      <w:pPr>
        <w:tabs>
          <w:tab w:val="left" w:pos="4620"/>
        </w:tabs>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招标文件要求的其他证明资料</w:t>
      </w:r>
      <w:r>
        <w:rPr>
          <w:rFonts w:hint="eastAsia" w:ascii="宋体" w:hAnsi="宋体" w:cs="Cambria"/>
          <w:b/>
          <w:color w:val="000000" w:themeColor="text1"/>
          <w:sz w:val="24"/>
          <w14:textFill>
            <w14:solidFill>
              <w14:schemeClr w14:val="tx1"/>
            </w14:solidFill>
          </w14:textFill>
        </w:rPr>
        <w:t>（根据项目要求编辑）</w:t>
      </w: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如</w:t>
      </w:r>
      <w:r>
        <w:rPr>
          <w:rFonts w:hint="eastAsia" w:ascii="宋体" w:hAnsi="宋体"/>
          <w:b/>
          <w:color w:val="000000" w:themeColor="text1"/>
          <w:sz w:val="24"/>
          <w:szCs w:val="24"/>
          <w14:textFill>
            <w14:solidFill>
              <w14:schemeClr w14:val="tx1"/>
            </w14:solidFill>
          </w14:textFill>
        </w:rPr>
        <w:t>营业执照</w:t>
      </w:r>
      <w:r>
        <w:rPr>
          <w:rFonts w:ascii="宋体" w:hAnsi="宋体"/>
          <w:b/>
          <w:color w:val="000000" w:themeColor="text1"/>
          <w:sz w:val="24"/>
          <w:szCs w:val="24"/>
          <w14:textFill>
            <w14:solidFill>
              <w14:schemeClr w14:val="tx1"/>
            </w14:solidFill>
          </w14:textFill>
        </w:rPr>
        <w:t>、税务登记证</w:t>
      </w:r>
      <w:r>
        <w:rPr>
          <w:rFonts w:hint="eastAsia" w:ascii="宋体" w:hAnsi="宋体"/>
          <w:b/>
          <w:color w:val="000000" w:themeColor="text1"/>
          <w:sz w:val="24"/>
          <w:szCs w:val="24"/>
          <w14:textFill>
            <w14:solidFill>
              <w14:schemeClr w14:val="tx1"/>
            </w14:solidFill>
          </w14:textFill>
        </w:rPr>
        <w:t>、业绩、相关证书、证明资料</w:t>
      </w:r>
      <w:r>
        <w:rPr>
          <w:rFonts w:ascii="宋体" w:hAnsi="宋体"/>
          <w:b/>
          <w:color w:val="000000" w:themeColor="text1"/>
          <w:sz w:val="24"/>
          <w:szCs w:val="24"/>
          <w14:textFill>
            <w14:solidFill>
              <w14:schemeClr w14:val="tx1"/>
            </w14:solidFill>
          </w14:textFill>
        </w:rPr>
        <w:t>等</w:t>
      </w:r>
      <w:r>
        <w:rPr>
          <w:rFonts w:hint="eastAsia" w:ascii="宋体" w:hAnsi="宋体"/>
          <w:b/>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应将上述证明材料制作成扫描件。</w:t>
      </w:r>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spacing w:line="360" w:lineRule="auto"/>
        <w:jc w:val="center"/>
        <w:rPr>
          <w:rFonts w:ascii="宋体" w:hAnsi="宋体"/>
          <w:color w:val="000000" w:themeColor="text1"/>
          <w:sz w:val="28"/>
          <w:u w:val="single"/>
          <w14:textFill>
            <w14:solidFill>
              <w14:schemeClr w14:val="tx1"/>
            </w14:solidFill>
          </w14:textFill>
        </w:rPr>
      </w:pPr>
    </w:p>
    <w:p>
      <w:pPr>
        <w:ind w:firstLine="630"/>
        <w:rPr>
          <w:rFonts w:ascii="宋体" w:hAnsi="宋体"/>
          <w:color w:val="000000" w:themeColor="text1"/>
          <w:sz w:val="28"/>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128" w:name="_Toc515390553"/>
      <w:bookmarkStart w:id="129" w:name="_Toc7039"/>
      <w:r>
        <w:rPr>
          <w:rFonts w:hint="eastAsia" w:hAnsi="宋体"/>
          <w:color w:val="000000" w:themeColor="text1"/>
          <w:sz w:val="28"/>
          <w14:textFill>
            <w14:solidFill>
              <w14:schemeClr w14:val="tx1"/>
            </w14:solidFill>
          </w14:textFill>
        </w:rPr>
        <w:t>十．</w:t>
      </w:r>
      <w:bookmarkStart w:id="130" w:name="_Toc459990161"/>
      <w:bookmarkStart w:id="131" w:name="_Toc420342112"/>
      <w:r>
        <w:rPr>
          <w:rFonts w:hint="eastAsia" w:hAnsi="宋体"/>
          <w:color w:val="000000" w:themeColor="text1"/>
          <w:sz w:val="28"/>
          <w14:textFill>
            <w14:solidFill>
              <w14:schemeClr w14:val="tx1"/>
            </w14:solidFill>
          </w14:textFill>
        </w:rPr>
        <w:t>项目人员配备</w:t>
      </w:r>
      <w:bookmarkEnd w:id="128"/>
      <w:bookmarkEnd w:id="129"/>
      <w:bookmarkEnd w:id="130"/>
      <w:bookmarkEnd w:id="131"/>
    </w:p>
    <w:p>
      <w:pPr>
        <w:jc w:val="center"/>
        <w:rPr>
          <w:b/>
          <w:color w:val="000000" w:themeColor="text1"/>
          <w:sz w:val="24"/>
          <w:szCs w:val="24"/>
          <w:shd w:val="pct10" w:color="auto" w:fill="FFFFFF"/>
          <w14:textFill>
            <w14:solidFill>
              <w14:schemeClr w14:val="tx1"/>
            </w14:solidFill>
          </w14:textFill>
        </w:rPr>
      </w:pPr>
      <w:r>
        <w:rPr>
          <w:rFonts w:hint="eastAsia"/>
          <w:b/>
          <w:color w:val="000000" w:themeColor="text1"/>
          <w:sz w:val="24"/>
          <w:szCs w:val="24"/>
          <w:shd w:val="pct10" w:color="auto" w:fill="FFFFFF"/>
          <w14:textFill>
            <w14:solidFill>
              <w14:schemeClr w14:val="tx1"/>
            </w14:solidFill>
          </w14:textFill>
        </w:rPr>
        <w:t>如招标文件无人员配备要求，不需此件）</w:t>
      </w:r>
    </w:p>
    <w:p>
      <w:pPr>
        <w:rPr>
          <w:color w:val="000000" w:themeColor="text1"/>
          <w14:textFill>
            <w14:solidFill>
              <w14:schemeClr w14:val="tx1"/>
            </w14:solidFill>
          </w14:textFill>
        </w:rPr>
      </w:pPr>
    </w:p>
    <w:p>
      <w:pPr>
        <w:spacing w:line="340" w:lineRule="exact"/>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（一）项目组人员配备情况表</w:t>
      </w:r>
    </w:p>
    <w:p>
      <w:pPr>
        <w:spacing w:line="340" w:lineRule="exact"/>
        <w:rPr>
          <w:rFonts w:ascii="宋体" w:hAnsi="宋体"/>
          <w:color w:val="000000" w:themeColor="text1"/>
          <w:sz w:val="32"/>
          <w:szCs w:val="32"/>
          <w14:textFill>
            <w14:solidFill>
              <w14:schemeClr w14:val="tx1"/>
            </w14:solidFill>
          </w14:textFill>
        </w:rPr>
      </w:pP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701"/>
        <w:gridCol w:w="1178"/>
        <w:gridCol w:w="151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809"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职务</w:t>
            </w:r>
          </w:p>
        </w:tc>
        <w:tc>
          <w:tcPr>
            <w:tcW w:w="1701"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姓名</w:t>
            </w:r>
          </w:p>
        </w:tc>
        <w:tc>
          <w:tcPr>
            <w:tcW w:w="117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职称</w:t>
            </w: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学历</w:t>
            </w:r>
          </w:p>
        </w:tc>
        <w:tc>
          <w:tcPr>
            <w:tcW w:w="226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项目经理</w:t>
            </w:r>
          </w:p>
        </w:tc>
        <w:tc>
          <w:tcPr>
            <w:tcW w:w="1701"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178"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2268" w:type="dxa"/>
            <w:vAlign w:val="center"/>
          </w:tcPr>
          <w:p>
            <w:pPr>
              <w:spacing w:line="340" w:lineRule="exact"/>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技术负责人</w:t>
            </w:r>
          </w:p>
        </w:tc>
        <w:tc>
          <w:tcPr>
            <w:tcW w:w="1701"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178"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2268" w:type="dxa"/>
            <w:vAlign w:val="center"/>
          </w:tcPr>
          <w:p>
            <w:pPr>
              <w:spacing w:line="340" w:lineRule="exact"/>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其它人员</w:t>
            </w:r>
          </w:p>
          <w:p>
            <w:pPr>
              <w:spacing w:line="340" w:lineRule="exact"/>
              <w:jc w:val="center"/>
              <w:rPr>
                <w:rFonts w:ascii="宋体" w:hAnsi="宋体"/>
                <w:color w:val="000000" w:themeColor="text1"/>
                <w:sz w:val="24"/>
                <w14:textFill>
                  <w14:solidFill>
                    <w14:schemeClr w14:val="tx1"/>
                  </w14:solidFill>
                </w14:textFill>
              </w:rPr>
            </w:pPr>
          </w:p>
        </w:tc>
        <w:tc>
          <w:tcPr>
            <w:tcW w:w="1701"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178"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2268" w:type="dxa"/>
            <w:vAlign w:val="center"/>
          </w:tcPr>
          <w:p>
            <w:pPr>
              <w:spacing w:line="340" w:lineRule="exact"/>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701"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178"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2268" w:type="dxa"/>
            <w:vAlign w:val="center"/>
          </w:tcPr>
          <w:p>
            <w:pPr>
              <w:spacing w:line="340" w:lineRule="exact"/>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701"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178"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2268" w:type="dxa"/>
            <w:vAlign w:val="center"/>
          </w:tcPr>
          <w:p>
            <w:pPr>
              <w:spacing w:line="340" w:lineRule="exact"/>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701"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178"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1516" w:type="dxa"/>
            <w:vAlign w:val="center"/>
          </w:tcPr>
          <w:p>
            <w:pPr>
              <w:spacing w:line="340" w:lineRule="exact"/>
              <w:jc w:val="center"/>
              <w:rPr>
                <w:rFonts w:ascii="宋体" w:hAnsi="宋体"/>
                <w:color w:val="000000" w:themeColor="text1"/>
                <w:sz w:val="24"/>
                <w14:textFill>
                  <w14:solidFill>
                    <w14:schemeClr w14:val="tx1"/>
                  </w14:solidFill>
                </w14:textFill>
              </w:rPr>
            </w:pPr>
          </w:p>
        </w:tc>
        <w:tc>
          <w:tcPr>
            <w:tcW w:w="2268" w:type="dxa"/>
            <w:vAlign w:val="center"/>
          </w:tcPr>
          <w:p>
            <w:pPr>
              <w:spacing w:line="340" w:lineRule="exact"/>
              <w:jc w:val="center"/>
              <w:rPr>
                <w:rFonts w:ascii="宋体" w:hAnsi="宋体"/>
                <w:color w:val="000000" w:themeColor="text1"/>
                <w:sz w:val="24"/>
                <w14:textFill>
                  <w14:solidFill>
                    <w14:schemeClr w14:val="tx1"/>
                  </w14:solidFill>
                </w14:textFill>
              </w:rPr>
            </w:pPr>
          </w:p>
        </w:tc>
      </w:tr>
    </w:tbl>
    <w:p>
      <w:pPr>
        <w:autoSpaceDE w:val="0"/>
        <w:autoSpaceDN w:val="0"/>
        <w:adjustRightIn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投标人公章：</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p>
      <w:pPr>
        <w:pStyle w:val="30"/>
        <w:adjustRightInd w:val="0"/>
        <w:spacing w:after="0" w:line="360" w:lineRule="auto"/>
        <w:ind w:firstLine="480" w:firstLineChars="200"/>
        <w:textAlignment w:val="baseline"/>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1. 管理机构的主要人员（项目</w:t>
      </w:r>
      <w:r>
        <w:rPr>
          <w:rFonts w:hint="eastAsia" w:hAnsi="宋体"/>
          <w:color w:val="000000" w:themeColor="text1"/>
          <w:sz w:val="24"/>
          <w14:textFill>
            <w14:solidFill>
              <w14:schemeClr w14:val="tx1"/>
            </w14:solidFill>
          </w14:textFill>
        </w:rPr>
        <w:t>经理</w:t>
      </w:r>
      <w:r>
        <w:rPr>
          <w:rFonts w:hint="eastAsia" w:hAnsi="宋体"/>
          <w:bCs/>
          <w:color w:val="000000" w:themeColor="text1"/>
          <w:sz w:val="24"/>
          <w:szCs w:val="24"/>
          <w14:textFill>
            <w14:solidFill>
              <w14:schemeClr w14:val="tx1"/>
            </w14:solidFill>
          </w14:textFill>
        </w:rPr>
        <w:t>）按招标文件要求附资质证书等证明资料扫描件；</w:t>
      </w:r>
    </w:p>
    <w:p>
      <w:pPr>
        <w:pStyle w:val="30"/>
        <w:adjustRightInd w:val="0"/>
        <w:spacing w:after="0" w:line="360" w:lineRule="auto"/>
        <w:ind w:firstLine="480" w:firstLineChars="200"/>
        <w:textAlignment w:val="baseline"/>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2.中标后如需更换管理机构主要人员，需书面向招标人提出，并获得书面同意后方可更换；</w:t>
      </w:r>
    </w:p>
    <w:p>
      <w:pPr>
        <w:spacing w:line="360" w:lineRule="auto"/>
        <w:ind w:firstLine="420" w:firstLineChars="20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r>
        <w:rPr>
          <w:rFonts w:hint="eastAsia" w:ascii="宋体" w:hAnsi="宋体"/>
          <w:b/>
          <w:color w:val="000000" w:themeColor="text1"/>
          <w:sz w:val="28"/>
          <w:szCs w:val="28"/>
          <w14:textFill>
            <w14:solidFill>
              <w14:schemeClr w14:val="tx1"/>
            </w14:solidFill>
          </w14:textFill>
        </w:rPr>
        <w:t>（二）项目经理简历表</w:t>
      </w:r>
    </w:p>
    <w:tbl>
      <w:tblPr>
        <w:tblStyle w:val="66"/>
        <w:tblW w:w="0" w:type="auto"/>
        <w:tblInd w:w="128" w:type="dxa"/>
        <w:tblLayout w:type="fixed"/>
        <w:tblCellMar>
          <w:top w:w="0" w:type="dxa"/>
          <w:left w:w="28" w:type="dxa"/>
          <w:bottom w:w="0" w:type="dxa"/>
          <w:right w:w="28" w:type="dxa"/>
        </w:tblCellMar>
      </w:tblPr>
      <w:tblGrid>
        <w:gridCol w:w="1299"/>
        <w:gridCol w:w="910"/>
        <w:gridCol w:w="330"/>
        <w:gridCol w:w="1320"/>
        <w:gridCol w:w="861"/>
        <w:gridCol w:w="1483"/>
        <w:gridCol w:w="357"/>
        <w:gridCol w:w="1704"/>
      </w:tblGrid>
      <w:tr>
        <w:tblPrEx>
          <w:tblCellMar>
            <w:top w:w="0" w:type="dxa"/>
            <w:left w:w="28" w:type="dxa"/>
            <w:bottom w:w="0" w:type="dxa"/>
            <w:right w:w="28" w:type="dxa"/>
          </w:tblCellMar>
        </w:tblPrEx>
        <w:trPr>
          <w:trHeight w:val="870" w:hRule="atLeast"/>
        </w:trPr>
        <w:tc>
          <w:tcPr>
            <w:tcW w:w="2209"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在本项目中拟任职位</w:t>
            </w:r>
          </w:p>
        </w:tc>
        <w:tc>
          <w:tcPr>
            <w:tcW w:w="6055" w:type="dxa"/>
            <w:gridSpan w:val="6"/>
            <w:tcBorders>
              <w:top w:val="single" w:color="auto" w:sz="12"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652"/>
              <w:jc w:val="left"/>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姓名</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出生年月</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151" w:leftChars="72" w:firstLine="420" w:firstLineChars="200"/>
              <w:jc w:val="left"/>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780" w:hRule="atLeast"/>
        </w:trPr>
        <w:tc>
          <w:tcPr>
            <w:tcW w:w="2209" w:type="dxa"/>
            <w:gridSpan w:val="2"/>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执业或职业资格</w:t>
            </w:r>
          </w:p>
        </w:tc>
        <w:tc>
          <w:tcPr>
            <w:tcW w:w="2511" w:type="dxa"/>
            <w:gridSpan w:val="3"/>
            <w:vMerge w:val="restart"/>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1840"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注册建造师证证书编号（如有）</w:t>
            </w:r>
          </w:p>
        </w:tc>
        <w:tc>
          <w:tcPr>
            <w:tcW w:w="1704" w:type="dxa"/>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780" w:hRule="atLeast"/>
        </w:trPr>
        <w:tc>
          <w:tcPr>
            <w:tcW w:w="2209"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宋体"/>
                <w:color w:val="000000" w:themeColor="text1"/>
                <w:szCs w:val="21"/>
                <w:lang w:val="zh-CN"/>
                <w14:textFill>
                  <w14:solidFill>
                    <w14:schemeClr w14:val="tx1"/>
                  </w14:solidFill>
                </w14:textFill>
              </w:rPr>
            </w:pPr>
          </w:p>
        </w:tc>
        <w:tc>
          <w:tcPr>
            <w:tcW w:w="2511" w:type="dxa"/>
            <w:gridSpan w:val="3"/>
            <w:vMerge w:val="continue"/>
            <w:tcBorders>
              <w:top w:val="single" w:color="auto" w:sz="6" w:space="0"/>
              <w:left w:val="single" w:color="auto" w:sz="4" w:space="0"/>
              <w:bottom w:val="single" w:color="auto" w:sz="6" w:space="0"/>
              <w:right w:val="single" w:color="auto" w:sz="4" w:space="0"/>
            </w:tcBorders>
            <w:vAlign w:val="center"/>
          </w:tcPr>
          <w:p>
            <w:pPr>
              <w:widowControl/>
              <w:jc w:val="left"/>
              <w:rPr>
                <w:rFonts w:ascii="宋体" w:hAnsi="宋体" w:cs="宋体"/>
                <w:color w:val="000000" w:themeColor="text1"/>
                <w:szCs w:val="21"/>
                <w:lang w:val="zh-CN"/>
                <w14:textFill>
                  <w14:solidFill>
                    <w14:schemeClr w14:val="tx1"/>
                  </w14:solidFill>
                </w14:textFill>
              </w:rPr>
            </w:pPr>
          </w:p>
        </w:tc>
        <w:tc>
          <w:tcPr>
            <w:tcW w:w="1840"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安全考核合格证证书编号（如有）</w:t>
            </w:r>
          </w:p>
        </w:tc>
        <w:tc>
          <w:tcPr>
            <w:tcW w:w="1704" w:type="dxa"/>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学  历</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职  称</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nil"/>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职  务</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工作年限</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402" w:hRule="atLeast"/>
        </w:trPr>
        <w:tc>
          <w:tcPr>
            <w:tcW w:w="1299" w:type="dxa"/>
            <w:vMerge w:val="restar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000000" w:themeColor="text1"/>
                <w:szCs w:val="21"/>
                <w:lang w:val="zh-CN"/>
                <w14:textFill>
                  <w14:solidFill>
                    <w14:schemeClr w14:val="tx1"/>
                  </w14:solidFill>
                </w14:textFill>
              </w:rPr>
            </w:pPr>
            <w:r>
              <w:rPr>
                <w:rFonts w:hint="eastAsia" w:ascii="宋体" w:hAnsi="宋体" w:cs="宋体"/>
                <w:bCs/>
                <w:color w:val="000000" w:themeColor="text1"/>
                <w:szCs w:val="21"/>
                <w:lang w:val="zh-CN"/>
                <w14:textFill>
                  <w14:solidFill>
                    <w14:schemeClr w14:val="tx1"/>
                  </w14:solidFill>
                </w14:textFill>
              </w:rPr>
              <w:t>自</w:t>
            </w:r>
          </w:p>
        </w:tc>
        <w:tc>
          <w:tcPr>
            <w:tcW w:w="1240" w:type="dxa"/>
            <w:gridSpan w:val="2"/>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000000" w:themeColor="text1"/>
                <w:szCs w:val="21"/>
                <w:lang w:val="zh-CN"/>
                <w14:textFill>
                  <w14:solidFill>
                    <w14:schemeClr w14:val="tx1"/>
                  </w14:solidFill>
                </w14:textFill>
              </w:rPr>
            </w:pPr>
            <w:r>
              <w:rPr>
                <w:rFonts w:hint="eastAsia" w:ascii="宋体" w:hAnsi="宋体" w:cs="宋体"/>
                <w:bCs/>
                <w:color w:val="000000" w:themeColor="text1"/>
                <w:szCs w:val="21"/>
                <w:lang w:val="zh-CN"/>
                <w14:textFill>
                  <w14:solidFill>
                    <w14:schemeClr w14:val="tx1"/>
                  </w14:solidFill>
                </w14:textFill>
              </w:rPr>
              <w:t>至</w:t>
            </w:r>
          </w:p>
        </w:tc>
        <w:tc>
          <w:tcPr>
            <w:tcW w:w="1320" w:type="dxa"/>
            <w:vMerge w:val="restart"/>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bCs/>
                <w:color w:val="000000" w:themeColor="text1"/>
                <w:szCs w:val="21"/>
                <w:lang w:val="zh-CN"/>
                <w14:textFill>
                  <w14:solidFill>
                    <w14:schemeClr w14:val="tx1"/>
                  </w14:solidFill>
                </w14:textFill>
              </w:rPr>
            </w:pPr>
            <w:r>
              <w:rPr>
                <w:rFonts w:hint="eastAsia" w:ascii="宋体" w:hAnsi="宋体" w:cs="宋体"/>
                <w:bCs/>
                <w:color w:val="000000" w:themeColor="text1"/>
                <w:szCs w:val="21"/>
                <w:lang w:val="zh-CN"/>
                <w14:textFill>
                  <w14:solidFill>
                    <w14:schemeClr w14:val="tx1"/>
                  </w14:solidFill>
                </w14:textFill>
              </w:rPr>
              <w:t>承担职务</w:t>
            </w:r>
          </w:p>
        </w:tc>
        <w:tc>
          <w:tcPr>
            <w:tcW w:w="4405" w:type="dxa"/>
            <w:gridSpan w:val="4"/>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主要经验及承担的项目</w:t>
            </w:r>
          </w:p>
        </w:tc>
      </w:tr>
      <w:tr>
        <w:tblPrEx>
          <w:tblCellMar>
            <w:top w:w="0" w:type="dxa"/>
            <w:left w:w="28" w:type="dxa"/>
            <w:bottom w:w="0" w:type="dxa"/>
            <w:right w:w="28" w:type="dxa"/>
          </w:tblCellMar>
        </w:tblPrEx>
        <w:trPr>
          <w:trHeight w:val="452" w:hRule="atLeast"/>
        </w:trPr>
        <w:tc>
          <w:tcPr>
            <w:tcW w:w="129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bCs/>
                <w:color w:val="000000" w:themeColor="text1"/>
                <w:szCs w:val="21"/>
                <w:lang w:val="zh-CN"/>
                <w14:textFill>
                  <w14:solidFill>
                    <w14:schemeClr w14:val="tx1"/>
                  </w14:solidFill>
                </w14:textFill>
              </w:rPr>
            </w:pPr>
          </w:p>
        </w:tc>
        <w:tc>
          <w:tcPr>
            <w:tcW w:w="1240"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color w:val="000000" w:themeColor="text1"/>
                <w:szCs w:val="21"/>
                <w:lang w:val="zh-CN"/>
                <w14:textFill>
                  <w14:solidFill>
                    <w14:schemeClr w14:val="tx1"/>
                  </w14:solidFill>
                </w14:textFill>
              </w:rPr>
            </w:pPr>
          </w:p>
        </w:tc>
        <w:tc>
          <w:tcPr>
            <w:tcW w:w="1320" w:type="dxa"/>
            <w:vMerge w:val="continue"/>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bCs/>
                <w:color w:val="000000" w:themeColor="text1"/>
                <w:szCs w:val="21"/>
                <w:lang w:val="zh-CN"/>
                <w14:textFill>
                  <w14:solidFill>
                    <w14:schemeClr w14:val="tx1"/>
                  </w14:solidFill>
                </w14:textFill>
              </w:rPr>
            </w:pPr>
          </w:p>
        </w:tc>
        <w:tc>
          <w:tcPr>
            <w:tcW w:w="2344"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名称</w:t>
            </w:r>
          </w:p>
        </w:tc>
        <w:tc>
          <w:tcPr>
            <w:tcW w:w="2061" w:type="dxa"/>
            <w:gridSpan w:val="2"/>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合同金额</w:t>
            </w: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10" w:firstLineChars="10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年  月</w:t>
            </w:r>
          </w:p>
        </w:tc>
        <w:tc>
          <w:tcPr>
            <w:tcW w:w="1240" w:type="dxa"/>
            <w:gridSpan w:val="2"/>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年  月</w:t>
            </w:r>
          </w:p>
        </w:tc>
        <w:tc>
          <w:tcPr>
            <w:tcW w:w="1320" w:type="dxa"/>
            <w:tcBorders>
              <w:top w:val="single" w:color="auto" w:sz="6" w:space="0"/>
              <w:left w:val="single" w:color="auto" w:sz="6"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kern w:val="0"/>
                <w:szCs w:val="21"/>
                <w:lang w:val="zh-CN"/>
                <w14:textFill>
                  <w14:solidFill>
                    <w14:schemeClr w14:val="tx1"/>
                  </w14:solidFill>
                </w14:textFill>
              </w:rPr>
            </w:pPr>
          </w:p>
        </w:tc>
        <w:tc>
          <w:tcPr>
            <w:tcW w:w="2344" w:type="dxa"/>
            <w:gridSpan w:val="2"/>
            <w:tcBorders>
              <w:top w:val="single" w:color="auto" w:sz="6" w:space="0"/>
              <w:left w:val="single" w:color="auto" w:sz="4"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kern w:val="0"/>
                <w:szCs w:val="21"/>
                <w:lang w:val="zh-CN"/>
                <w14:textFill>
                  <w14:solidFill>
                    <w14:schemeClr w14:val="tx1"/>
                  </w14:solidFill>
                </w14:textFill>
              </w:rPr>
            </w:pPr>
          </w:p>
        </w:tc>
        <w:tc>
          <w:tcPr>
            <w:tcW w:w="2061" w:type="dxa"/>
            <w:gridSpan w:val="2"/>
            <w:tcBorders>
              <w:top w:val="single" w:color="auto" w:sz="6" w:space="0"/>
              <w:left w:val="single" w:color="auto" w:sz="4" w:space="0"/>
              <w:bottom w:val="single" w:color="auto" w:sz="12"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kern w:val="0"/>
                <w:szCs w:val="21"/>
                <w:lang w:val="zh-CN"/>
                <w14:textFill>
                  <w14:solidFill>
                    <w14:schemeClr w14:val="tx1"/>
                  </w14:solidFill>
                </w14:textFill>
              </w:rPr>
            </w:pPr>
          </w:p>
        </w:tc>
      </w:tr>
    </w:tbl>
    <w:p>
      <w:pPr>
        <w:autoSpaceDE w:val="0"/>
        <w:autoSpaceDN w:val="0"/>
        <w:adjustRightIn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投标人公章：</w:t>
      </w:r>
    </w:p>
    <w:p>
      <w:pPr>
        <w:jc w:val="center"/>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br w:type="page"/>
      </w:r>
      <w:r>
        <w:rPr>
          <w:rFonts w:hint="eastAsia" w:ascii="宋体" w:hAnsi="宋体"/>
          <w:b/>
          <w:color w:val="000000" w:themeColor="text1"/>
          <w:sz w:val="28"/>
          <w:szCs w:val="28"/>
          <w14:textFill>
            <w14:solidFill>
              <w14:schemeClr w14:val="tx1"/>
            </w14:solidFill>
          </w14:textFill>
        </w:rPr>
        <w:t>（三）项目经理承诺书</w:t>
      </w:r>
      <w:r>
        <w:rPr>
          <w:rFonts w:hint="eastAsia" w:ascii="宋体" w:hAnsi="宋体"/>
          <w:b/>
          <w:color w:val="000000" w:themeColor="text1"/>
          <w:sz w:val="28"/>
          <w:szCs w:val="28"/>
          <w:bdr w:val="single" w:color="auto" w:sz="4" w:space="0"/>
          <w14:textFill>
            <w14:solidFill>
              <w14:schemeClr w14:val="tx1"/>
            </w14:solidFill>
          </w14:textFill>
        </w:rPr>
        <w:t>（根据项目考虑是否选用）</w:t>
      </w:r>
    </w:p>
    <w:p>
      <w:pPr>
        <w:pStyle w:val="37"/>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致：合肥文旅博览集团有限公司</w:t>
      </w:r>
    </w:p>
    <w:p>
      <w:pPr>
        <w:pStyle w:val="37"/>
        <w:spacing w:line="360" w:lineRule="auto"/>
        <w:rPr>
          <w:rFonts w:ascii="宋体" w:hAnsi="宋体"/>
          <w:bCs/>
          <w:color w:val="000000" w:themeColor="text1"/>
          <w:sz w:val="24"/>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宋体" w:hAnsi="宋体"/>
          <w:b w:val="0"/>
          <w:color w:val="000000" w:themeColor="text1"/>
          <w:sz w:val="24"/>
          <w14:textFill>
            <w14:solidFill>
              <w14:schemeClr w14:val="tx1"/>
            </w14:solidFill>
          </w14:textFill>
        </w:rPr>
        <w:t>某业主单位</w:t>
      </w:r>
    </w:p>
    <w:p>
      <w:pPr>
        <w:spacing w:line="720" w:lineRule="auto"/>
        <w:ind w:left="359" w:leftChars="171"/>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一、本项目提供的项目经理业绩已经核实，工程实施过程中项目经理确为</w:t>
      </w:r>
      <w:r>
        <w:rPr>
          <w:rFonts w:hint="eastAsia" w:ascii="宋体" w:hAnsi="宋体"/>
          <w:bCs/>
          <w:color w:val="000000" w:themeColor="text1"/>
          <w:sz w:val="24"/>
          <w:u w:val="single"/>
          <w14:textFill>
            <w14:solidFill>
              <w14:schemeClr w14:val="tx1"/>
            </w14:solidFill>
          </w14:textFill>
        </w:rPr>
        <w:t xml:space="preserve">     （姓名）</w:t>
      </w:r>
      <w:r>
        <w:rPr>
          <w:rFonts w:hint="eastAsia" w:ascii="宋体" w:hAnsi="宋体"/>
          <w:bCs/>
          <w:color w:val="000000" w:themeColor="text1"/>
          <w:sz w:val="24"/>
          <w14:textFill>
            <w14:solidFill>
              <w14:schemeClr w14:val="tx1"/>
            </w14:solidFill>
          </w14:textFill>
        </w:rPr>
        <w:t>本人，合同（或竣工相关资料证明）的本人签字均为该工程实施时段所签，真实无误，不存在虚假和挂靠现象，也不存在为投标而造假的行为。对以上承诺，一旦发现虚假现象，我单位及项目经理本人均愿意承担相应法律责任，并随时无条件配合贵单位调查取证。（若投标人在本项目投标中未提供项目经理业绩，则此条可不采用）</w:t>
      </w:r>
    </w:p>
    <w:p>
      <w:pPr>
        <w:spacing w:line="720" w:lineRule="auto"/>
        <w:ind w:left="359" w:leftChars="171"/>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14:textFill>
            <w14:solidFill>
              <w14:schemeClr w14:val="tx1"/>
            </w14:solidFill>
          </w14:textFill>
        </w:rPr>
        <w:t>二、我单位及项目经理本人共同承诺，在本项目实施过程中，项目经理</w:t>
      </w:r>
      <w:r>
        <w:rPr>
          <w:rFonts w:hint="eastAsia" w:ascii="宋体" w:hAnsi="宋体"/>
          <w:bCs/>
          <w:color w:val="000000" w:themeColor="text1"/>
          <w:sz w:val="24"/>
          <w:u w:val="single"/>
          <w14:textFill>
            <w14:solidFill>
              <w14:schemeClr w14:val="tx1"/>
            </w14:solidFill>
          </w14:textFill>
        </w:rPr>
        <w:t xml:space="preserve">         （姓名）将不再同时承担其他在建工程，如有虚假，由</w:t>
      </w:r>
      <w:r>
        <w:rPr>
          <w:rFonts w:hint="eastAsia" w:ascii="宋体" w:hAnsi="宋体"/>
          <w:bCs/>
          <w:color w:val="000000" w:themeColor="text1"/>
          <w:sz w:val="24"/>
          <w14:textFill>
            <w14:solidFill>
              <w14:schemeClr w14:val="tx1"/>
            </w14:solidFill>
          </w14:textFill>
        </w:rPr>
        <w:t>我单位及项目经理本人共同承担相应法律责任。</w:t>
      </w:r>
    </w:p>
    <w:p>
      <w:pPr>
        <w:spacing w:line="360" w:lineRule="auto"/>
        <w:ind w:left="359" w:leftChars="171" w:firstLine="720" w:firstLineChars="300"/>
        <w:rPr>
          <w:rFonts w:ascii="宋体" w:hAnsi="宋体"/>
          <w:bCs/>
          <w:color w:val="000000" w:themeColor="text1"/>
          <w:sz w:val="24"/>
          <w14:textFill>
            <w14:solidFill>
              <w14:schemeClr w14:val="tx1"/>
            </w14:solidFill>
          </w14:textFill>
        </w:rPr>
      </w:pPr>
    </w:p>
    <w:p>
      <w:pPr>
        <w:spacing w:line="360" w:lineRule="auto"/>
        <w:ind w:left="359" w:leftChars="171" w:firstLine="720" w:firstLineChars="3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项目经理签字（打印无效）：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 xml:space="preserve">         投标人公章：</w:t>
      </w:r>
    </w:p>
    <w:p>
      <w:pPr>
        <w:spacing w:line="360" w:lineRule="auto"/>
        <w:ind w:left="359" w:leftChars="171" w:firstLine="720" w:firstLineChars="3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身份证号：</w:t>
      </w:r>
      <w:r>
        <w:rPr>
          <w:rFonts w:hint="eastAsia" w:ascii="宋体" w:hAnsi="宋体"/>
          <w:bCs/>
          <w:color w:val="000000" w:themeColor="text1"/>
          <w:sz w:val="24"/>
          <w:u w:val="single"/>
          <w14:textFill>
            <w14:solidFill>
              <w14:schemeClr w14:val="tx1"/>
            </w14:solidFill>
          </w14:textFill>
        </w:rPr>
        <w:t xml:space="preserve">                       </w:t>
      </w:r>
    </w:p>
    <w:p>
      <w:pPr>
        <w:spacing w:line="360" w:lineRule="auto"/>
        <w:ind w:left="359" w:leftChars="171" w:firstLine="720" w:firstLineChars="3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日期：_____年____月____                   日期：_____年____月____</w:t>
      </w:r>
    </w:p>
    <w:p>
      <w:pPr>
        <w:spacing w:line="360" w:lineRule="auto"/>
        <w:ind w:left="359" w:leftChars="171" w:firstLine="720" w:firstLineChars="300"/>
        <w:rPr>
          <w:rFonts w:ascii="宋体" w:hAnsi="宋体"/>
          <w:bCs/>
          <w:color w:val="000000" w:themeColor="text1"/>
          <w:sz w:val="24"/>
          <w14:textFill>
            <w14:solidFill>
              <w14:schemeClr w14:val="tx1"/>
            </w14:solidFill>
          </w14:textFill>
        </w:rPr>
      </w:pPr>
    </w:p>
    <w:p>
      <w:pPr>
        <w:spacing w:line="360" w:lineRule="auto"/>
        <w:rPr>
          <w:rFonts w:ascii="宋体" w:hAnsi="宋体"/>
          <w:bCs/>
          <w:color w:val="000000" w:themeColor="text1"/>
          <w:sz w:val="24"/>
          <w14:textFill>
            <w14:solidFill>
              <w14:schemeClr w14:val="tx1"/>
            </w14:solidFill>
          </w14:textFill>
        </w:rPr>
      </w:pPr>
    </w:p>
    <w:p>
      <w:pPr>
        <w:spacing w:line="360" w:lineRule="auto"/>
        <w:ind w:left="359" w:leftChars="171" w:firstLine="723" w:firstLineChars="300"/>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本页后附项目经理身份证扫描件</w:t>
      </w:r>
    </w:p>
    <w:p>
      <w:pPr>
        <w:jc w:val="center"/>
        <w:rPr>
          <w:rFonts w:ascii="宋体" w:hAnsi="宋体"/>
          <w:b/>
          <w:color w:val="000000" w:themeColor="text1"/>
          <w:sz w:val="28"/>
          <w:szCs w:val="28"/>
          <w14:textFill>
            <w14:solidFill>
              <w14:schemeClr w14:val="tx1"/>
            </w14:solidFill>
          </w14:textFill>
        </w:rPr>
      </w:pPr>
    </w:p>
    <w:p>
      <w:pPr>
        <w:rPr>
          <w:rFonts w:ascii="宋体" w:hAnsi="宋体"/>
          <w:b/>
          <w:color w:val="000000" w:themeColor="text1"/>
          <w:sz w:val="28"/>
          <w:szCs w:val="28"/>
          <w14:textFill>
            <w14:solidFill>
              <w14:schemeClr w14:val="tx1"/>
            </w14:solidFill>
          </w14:textFill>
        </w:rPr>
      </w:pPr>
    </w:p>
    <w:p>
      <w:pPr>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（四）项目技术负责人简历表</w:t>
      </w:r>
    </w:p>
    <w:tbl>
      <w:tblPr>
        <w:tblStyle w:val="66"/>
        <w:tblW w:w="0" w:type="auto"/>
        <w:tblInd w:w="128" w:type="dxa"/>
        <w:tblLayout w:type="fixed"/>
        <w:tblCellMar>
          <w:top w:w="0" w:type="dxa"/>
          <w:left w:w="28" w:type="dxa"/>
          <w:bottom w:w="0" w:type="dxa"/>
          <w:right w:w="28" w:type="dxa"/>
        </w:tblCellMar>
      </w:tblPr>
      <w:tblGrid>
        <w:gridCol w:w="1299"/>
        <w:gridCol w:w="910"/>
        <w:gridCol w:w="330"/>
        <w:gridCol w:w="1320"/>
        <w:gridCol w:w="861"/>
        <w:gridCol w:w="1483"/>
        <w:gridCol w:w="357"/>
        <w:gridCol w:w="1704"/>
      </w:tblGrid>
      <w:tr>
        <w:tblPrEx>
          <w:tblCellMar>
            <w:top w:w="0" w:type="dxa"/>
            <w:left w:w="28" w:type="dxa"/>
            <w:bottom w:w="0" w:type="dxa"/>
            <w:right w:w="28" w:type="dxa"/>
          </w:tblCellMar>
        </w:tblPrEx>
        <w:trPr>
          <w:trHeight w:val="870" w:hRule="atLeast"/>
        </w:trPr>
        <w:tc>
          <w:tcPr>
            <w:tcW w:w="2209"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在本项目中拟任职位</w:t>
            </w:r>
          </w:p>
        </w:tc>
        <w:tc>
          <w:tcPr>
            <w:tcW w:w="6055" w:type="dxa"/>
            <w:gridSpan w:val="6"/>
            <w:tcBorders>
              <w:top w:val="single" w:color="auto" w:sz="12"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652"/>
              <w:jc w:val="left"/>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姓名</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出生年月</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151" w:leftChars="72" w:firstLine="420" w:firstLineChars="200"/>
              <w:jc w:val="left"/>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780" w:hRule="atLeast"/>
        </w:trPr>
        <w:tc>
          <w:tcPr>
            <w:tcW w:w="2209" w:type="dxa"/>
            <w:gridSpan w:val="2"/>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执业或职业资格</w:t>
            </w:r>
          </w:p>
        </w:tc>
        <w:tc>
          <w:tcPr>
            <w:tcW w:w="2511" w:type="dxa"/>
            <w:gridSpan w:val="3"/>
            <w:vMerge w:val="restart"/>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1840"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注册建造师证证书编号（如有）</w:t>
            </w:r>
          </w:p>
        </w:tc>
        <w:tc>
          <w:tcPr>
            <w:tcW w:w="1704" w:type="dxa"/>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780" w:hRule="atLeast"/>
        </w:trPr>
        <w:tc>
          <w:tcPr>
            <w:tcW w:w="2209"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宋体"/>
                <w:color w:val="000000" w:themeColor="text1"/>
                <w:szCs w:val="21"/>
                <w:lang w:val="zh-CN"/>
                <w14:textFill>
                  <w14:solidFill>
                    <w14:schemeClr w14:val="tx1"/>
                  </w14:solidFill>
                </w14:textFill>
              </w:rPr>
            </w:pPr>
          </w:p>
        </w:tc>
        <w:tc>
          <w:tcPr>
            <w:tcW w:w="2511" w:type="dxa"/>
            <w:gridSpan w:val="3"/>
            <w:vMerge w:val="continue"/>
            <w:tcBorders>
              <w:top w:val="single" w:color="auto" w:sz="6" w:space="0"/>
              <w:left w:val="single" w:color="auto" w:sz="4" w:space="0"/>
              <w:bottom w:val="single" w:color="auto" w:sz="6" w:space="0"/>
              <w:right w:val="single" w:color="auto" w:sz="4" w:space="0"/>
            </w:tcBorders>
            <w:vAlign w:val="center"/>
          </w:tcPr>
          <w:p>
            <w:pPr>
              <w:widowControl/>
              <w:jc w:val="left"/>
              <w:rPr>
                <w:rFonts w:ascii="宋体" w:hAnsi="宋体" w:cs="宋体"/>
                <w:color w:val="000000" w:themeColor="text1"/>
                <w:szCs w:val="21"/>
                <w:lang w:val="zh-CN"/>
                <w14:textFill>
                  <w14:solidFill>
                    <w14:schemeClr w14:val="tx1"/>
                  </w14:solidFill>
                </w14:textFill>
              </w:rPr>
            </w:pPr>
          </w:p>
        </w:tc>
        <w:tc>
          <w:tcPr>
            <w:tcW w:w="1840"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安全考核合格证证书编号（如有）</w:t>
            </w:r>
          </w:p>
        </w:tc>
        <w:tc>
          <w:tcPr>
            <w:tcW w:w="1704" w:type="dxa"/>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学  历</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职  称</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nil"/>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职  务</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工作年限</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402" w:hRule="atLeast"/>
        </w:trPr>
        <w:tc>
          <w:tcPr>
            <w:tcW w:w="1299" w:type="dxa"/>
            <w:vMerge w:val="restar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000000" w:themeColor="text1"/>
                <w:szCs w:val="21"/>
                <w:lang w:val="zh-CN"/>
                <w14:textFill>
                  <w14:solidFill>
                    <w14:schemeClr w14:val="tx1"/>
                  </w14:solidFill>
                </w14:textFill>
              </w:rPr>
            </w:pPr>
            <w:r>
              <w:rPr>
                <w:rFonts w:hint="eastAsia" w:ascii="宋体" w:hAnsi="宋体" w:cs="宋体"/>
                <w:bCs/>
                <w:color w:val="000000" w:themeColor="text1"/>
                <w:szCs w:val="21"/>
                <w:lang w:val="zh-CN"/>
                <w14:textFill>
                  <w14:solidFill>
                    <w14:schemeClr w14:val="tx1"/>
                  </w14:solidFill>
                </w14:textFill>
              </w:rPr>
              <w:t>自</w:t>
            </w:r>
          </w:p>
        </w:tc>
        <w:tc>
          <w:tcPr>
            <w:tcW w:w="1240" w:type="dxa"/>
            <w:gridSpan w:val="2"/>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000000" w:themeColor="text1"/>
                <w:szCs w:val="21"/>
                <w:lang w:val="zh-CN"/>
                <w14:textFill>
                  <w14:solidFill>
                    <w14:schemeClr w14:val="tx1"/>
                  </w14:solidFill>
                </w14:textFill>
              </w:rPr>
            </w:pPr>
            <w:r>
              <w:rPr>
                <w:rFonts w:hint="eastAsia" w:ascii="宋体" w:hAnsi="宋体" w:cs="宋体"/>
                <w:bCs/>
                <w:color w:val="000000" w:themeColor="text1"/>
                <w:szCs w:val="21"/>
                <w:lang w:val="zh-CN"/>
                <w14:textFill>
                  <w14:solidFill>
                    <w14:schemeClr w14:val="tx1"/>
                  </w14:solidFill>
                </w14:textFill>
              </w:rPr>
              <w:t>至</w:t>
            </w:r>
          </w:p>
        </w:tc>
        <w:tc>
          <w:tcPr>
            <w:tcW w:w="1320" w:type="dxa"/>
            <w:vMerge w:val="restart"/>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bCs/>
                <w:color w:val="000000" w:themeColor="text1"/>
                <w:szCs w:val="21"/>
                <w:lang w:val="zh-CN"/>
                <w14:textFill>
                  <w14:solidFill>
                    <w14:schemeClr w14:val="tx1"/>
                  </w14:solidFill>
                </w14:textFill>
              </w:rPr>
            </w:pPr>
            <w:r>
              <w:rPr>
                <w:rFonts w:hint="eastAsia" w:ascii="宋体" w:hAnsi="宋体" w:cs="宋体"/>
                <w:bCs/>
                <w:color w:val="000000" w:themeColor="text1"/>
                <w:szCs w:val="21"/>
                <w:lang w:val="zh-CN"/>
                <w14:textFill>
                  <w14:solidFill>
                    <w14:schemeClr w14:val="tx1"/>
                  </w14:solidFill>
                </w14:textFill>
              </w:rPr>
              <w:t>承担职务</w:t>
            </w:r>
          </w:p>
        </w:tc>
        <w:tc>
          <w:tcPr>
            <w:tcW w:w="4405" w:type="dxa"/>
            <w:gridSpan w:val="4"/>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主要经验及承担的项目</w:t>
            </w:r>
          </w:p>
        </w:tc>
      </w:tr>
      <w:tr>
        <w:tblPrEx>
          <w:tblCellMar>
            <w:top w:w="0" w:type="dxa"/>
            <w:left w:w="28" w:type="dxa"/>
            <w:bottom w:w="0" w:type="dxa"/>
            <w:right w:w="28" w:type="dxa"/>
          </w:tblCellMar>
        </w:tblPrEx>
        <w:trPr>
          <w:trHeight w:val="452" w:hRule="atLeast"/>
        </w:trPr>
        <w:tc>
          <w:tcPr>
            <w:tcW w:w="129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bCs/>
                <w:color w:val="000000" w:themeColor="text1"/>
                <w:szCs w:val="21"/>
                <w:lang w:val="zh-CN"/>
                <w14:textFill>
                  <w14:solidFill>
                    <w14:schemeClr w14:val="tx1"/>
                  </w14:solidFill>
                </w14:textFill>
              </w:rPr>
            </w:pPr>
          </w:p>
        </w:tc>
        <w:tc>
          <w:tcPr>
            <w:tcW w:w="1240"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color w:val="000000" w:themeColor="text1"/>
                <w:szCs w:val="21"/>
                <w:lang w:val="zh-CN"/>
                <w14:textFill>
                  <w14:solidFill>
                    <w14:schemeClr w14:val="tx1"/>
                  </w14:solidFill>
                </w14:textFill>
              </w:rPr>
            </w:pPr>
          </w:p>
        </w:tc>
        <w:tc>
          <w:tcPr>
            <w:tcW w:w="1320" w:type="dxa"/>
            <w:vMerge w:val="continue"/>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bCs/>
                <w:color w:val="000000" w:themeColor="text1"/>
                <w:szCs w:val="21"/>
                <w:lang w:val="zh-CN"/>
                <w14:textFill>
                  <w14:solidFill>
                    <w14:schemeClr w14:val="tx1"/>
                  </w14:solidFill>
                </w14:textFill>
              </w:rPr>
            </w:pPr>
          </w:p>
        </w:tc>
        <w:tc>
          <w:tcPr>
            <w:tcW w:w="2344"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名称</w:t>
            </w:r>
          </w:p>
        </w:tc>
        <w:tc>
          <w:tcPr>
            <w:tcW w:w="2061" w:type="dxa"/>
            <w:gridSpan w:val="2"/>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合同金额</w:t>
            </w: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10" w:firstLineChars="100"/>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年  月</w:t>
            </w:r>
          </w:p>
        </w:tc>
        <w:tc>
          <w:tcPr>
            <w:tcW w:w="1240" w:type="dxa"/>
            <w:gridSpan w:val="2"/>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年  月</w:t>
            </w:r>
          </w:p>
        </w:tc>
        <w:tc>
          <w:tcPr>
            <w:tcW w:w="1320" w:type="dxa"/>
            <w:tcBorders>
              <w:top w:val="single" w:color="auto" w:sz="6" w:space="0"/>
              <w:left w:val="single" w:color="auto" w:sz="6"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kern w:val="0"/>
                <w:szCs w:val="21"/>
                <w:lang w:val="zh-CN"/>
                <w14:textFill>
                  <w14:solidFill>
                    <w14:schemeClr w14:val="tx1"/>
                  </w14:solidFill>
                </w14:textFill>
              </w:rPr>
            </w:pPr>
          </w:p>
        </w:tc>
        <w:tc>
          <w:tcPr>
            <w:tcW w:w="2344" w:type="dxa"/>
            <w:gridSpan w:val="2"/>
            <w:tcBorders>
              <w:top w:val="single" w:color="auto" w:sz="6" w:space="0"/>
              <w:left w:val="single" w:color="auto" w:sz="4"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000000" w:themeColor="text1"/>
                <w:kern w:val="0"/>
                <w:szCs w:val="21"/>
                <w:lang w:val="zh-CN"/>
                <w14:textFill>
                  <w14:solidFill>
                    <w14:schemeClr w14:val="tx1"/>
                  </w14:solidFill>
                </w14:textFill>
              </w:rPr>
            </w:pPr>
          </w:p>
        </w:tc>
        <w:tc>
          <w:tcPr>
            <w:tcW w:w="2061" w:type="dxa"/>
            <w:gridSpan w:val="2"/>
            <w:tcBorders>
              <w:top w:val="single" w:color="auto" w:sz="6" w:space="0"/>
              <w:left w:val="single" w:color="auto" w:sz="4" w:space="0"/>
              <w:bottom w:val="single" w:color="auto" w:sz="12" w:space="0"/>
              <w:right w:val="single" w:color="auto" w:sz="12" w:space="0"/>
            </w:tcBorders>
            <w:vAlign w:val="center"/>
          </w:tcPr>
          <w:p>
            <w:pPr>
              <w:autoSpaceDE w:val="0"/>
              <w:autoSpaceDN w:val="0"/>
              <w:adjustRightInd w:val="0"/>
              <w:spacing w:line="360" w:lineRule="auto"/>
              <w:jc w:val="center"/>
              <w:rPr>
                <w:rFonts w:ascii="宋体" w:hAnsi="宋体" w:cs="宋体"/>
                <w:color w:val="000000" w:themeColor="text1"/>
                <w:kern w:val="0"/>
                <w:szCs w:val="21"/>
                <w:lang w:val="zh-CN"/>
                <w14:textFill>
                  <w14:solidFill>
                    <w14:schemeClr w14:val="tx1"/>
                  </w14:solidFill>
                </w14:textFill>
              </w:rPr>
            </w:pPr>
          </w:p>
        </w:tc>
      </w:tr>
    </w:tbl>
    <w:p>
      <w:pPr>
        <w:autoSpaceDE w:val="0"/>
        <w:autoSpaceDN w:val="0"/>
        <w:adjustRightIn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投标人公章：</w:t>
      </w:r>
    </w:p>
    <w:p>
      <w:pPr>
        <w:spacing w:line="340" w:lineRule="exact"/>
        <w:rPr>
          <w:rFonts w:ascii="宋体" w:hAnsi="宋体"/>
          <w:color w:val="000000" w:themeColor="text1"/>
          <w:sz w:val="24"/>
          <w14:textFill>
            <w14:solidFill>
              <w14:schemeClr w14:val="tx1"/>
            </w14:solidFill>
          </w14:textFill>
        </w:rPr>
      </w:pPr>
    </w:p>
    <w:p>
      <w:pPr>
        <w:spacing w:line="340" w:lineRule="exact"/>
        <w:rPr>
          <w:rFonts w:ascii="宋体" w:hAnsi="宋体"/>
          <w:color w:val="000000" w:themeColor="text1"/>
          <w:sz w:val="24"/>
          <w14:textFill>
            <w14:solidFill>
              <w14:schemeClr w14:val="tx1"/>
            </w14:solidFill>
          </w14:textFill>
        </w:rPr>
      </w:pPr>
    </w:p>
    <w:p>
      <w:pPr>
        <w:spacing w:line="340" w:lineRule="exact"/>
        <w:rPr>
          <w:rFonts w:ascii="宋体" w:hAnsi="宋体"/>
          <w:color w:val="000000" w:themeColor="text1"/>
          <w:sz w:val="24"/>
          <w14:textFill>
            <w14:solidFill>
              <w14:schemeClr w14:val="tx1"/>
            </w14:solidFill>
          </w14:textFill>
        </w:rPr>
      </w:pPr>
    </w:p>
    <w:p>
      <w:pPr>
        <w:spacing w:line="340" w:lineRule="exact"/>
        <w:rPr>
          <w:rFonts w:ascii="宋体" w:hAnsi="宋体"/>
          <w:color w:val="000000" w:themeColor="text1"/>
          <w:sz w:val="24"/>
          <w14:textFill>
            <w14:solidFill>
              <w14:schemeClr w14:val="tx1"/>
            </w14:solidFill>
          </w14:textFill>
        </w:rPr>
      </w:pPr>
    </w:p>
    <w:p>
      <w:pPr>
        <w:spacing w:line="340" w:lineRule="exact"/>
        <w:rPr>
          <w:rFonts w:ascii="宋体" w:hAnsi="宋体"/>
          <w:color w:val="000000" w:themeColor="text1"/>
          <w:sz w:val="24"/>
          <w14:textFill>
            <w14:solidFill>
              <w14:schemeClr w14:val="tx1"/>
            </w14:solidFill>
          </w14:textFill>
        </w:rPr>
      </w:pPr>
    </w:p>
    <w:p>
      <w:pPr>
        <w:spacing w:line="340" w:lineRule="exact"/>
        <w:rPr>
          <w:rFonts w:ascii="宋体" w:hAnsi="宋体"/>
          <w:color w:val="000000" w:themeColor="text1"/>
          <w:sz w:val="24"/>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b/>
          <w:color w:val="000000" w:themeColor="text1"/>
          <w:sz w:val="28"/>
          <w14:textFill>
            <w14:solidFill>
              <w14:schemeClr w14:val="tx1"/>
            </w14:solidFill>
          </w14:textFill>
        </w:rPr>
        <w:t>（四）其他人员简历表</w:t>
      </w:r>
    </w:p>
    <w:tbl>
      <w:tblPr>
        <w:tblStyle w:val="66"/>
        <w:tblW w:w="0" w:type="auto"/>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703"/>
        <w:gridCol w:w="2294"/>
        <w:gridCol w:w="167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90"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1703"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工种（或</w:t>
            </w:r>
            <w:r>
              <w:rPr>
                <w:rFonts w:hint="eastAsia" w:ascii="宋体" w:hAnsi="宋体" w:cs="宋体"/>
                <w:color w:val="000000" w:themeColor="text1"/>
                <w:szCs w:val="21"/>
                <w:lang w:val="zh-CN"/>
                <w14:textFill>
                  <w14:solidFill>
                    <w14:schemeClr w14:val="tx1"/>
                  </w14:solidFill>
                </w14:textFill>
              </w:rPr>
              <w:t>在本项目中拟任职位</w:t>
            </w:r>
            <w:r>
              <w:rPr>
                <w:rFonts w:hint="eastAsia" w:ascii="宋体" w:hAnsi="宋体"/>
                <w:color w:val="000000" w:themeColor="text1"/>
                <w:sz w:val="24"/>
                <w14:textFill>
                  <w14:solidFill>
                    <w14:schemeClr w14:val="tx1"/>
                  </w14:solidFill>
                </w14:textFill>
              </w:rPr>
              <w:t>）</w:t>
            </w:r>
          </w:p>
        </w:tc>
        <w:tc>
          <w:tcPr>
            <w:tcW w:w="2294"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姓名</w:t>
            </w:r>
          </w:p>
        </w:tc>
        <w:tc>
          <w:tcPr>
            <w:tcW w:w="1675"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年龄</w:t>
            </w:r>
          </w:p>
        </w:tc>
        <w:tc>
          <w:tcPr>
            <w:tcW w:w="226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从事相关工作年限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90" w:type="dxa"/>
          </w:tcPr>
          <w:p>
            <w:pPr>
              <w:jc w:val="center"/>
              <w:rPr>
                <w:rFonts w:ascii="宋体" w:hAnsi="宋体"/>
                <w:color w:val="000000" w:themeColor="text1"/>
                <w:sz w:val="24"/>
                <w14:textFill>
                  <w14:solidFill>
                    <w14:schemeClr w14:val="tx1"/>
                  </w14:solidFill>
                </w14:textFill>
              </w:rPr>
            </w:pPr>
          </w:p>
        </w:tc>
        <w:tc>
          <w:tcPr>
            <w:tcW w:w="1703" w:type="dxa"/>
          </w:tcPr>
          <w:p>
            <w:pPr>
              <w:jc w:val="center"/>
              <w:rPr>
                <w:rFonts w:ascii="宋体" w:hAnsi="宋体"/>
                <w:color w:val="000000" w:themeColor="text1"/>
                <w:sz w:val="24"/>
                <w14:textFill>
                  <w14:solidFill>
                    <w14:schemeClr w14:val="tx1"/>
                  </w14:solidFill>
                </w14:textFill>
              </w:rPr>
            </w:pPr>
          </w:p>
        </w:tc>
        <w:tc>
          <w:tcPr>
            <w:tcW w:w="2294" w:type="dxa"/>
          </w:tcPr>
          <w:p>
            <w:pPr>
              <w:jc w:val="center"/>
              <w:rPr>
                <w:rFonts w:ascii="宋体" w:hAnsi="宋体"/>
                <w:color w:val="000000" w:themeColor="text1"/>
                <w:sz w:val="24"/>
                <w14:textFill>
                  <w14:solidFill>
                    <w14:schemeClr w14:val="tx1"/>
                  </w14:solidFill>
                </w14:textFill>
              </w:rPr>
            </w:pPr>
          </w:p>
        </w:tc>
        <w:tc>
          <w:tcPr>
            <w:tcW w:w="1675" w:type="dxa"/>
          </w:tcPr>
          <w:p>
            <w:pPr>
              <w:jc w:val="center"/>
              <w:rPr>
                <w:rFonts w:ascii="宋体" w:hAnsi="宋体"/>
                <w:color w:val="000000" w:themeColor="text1"/>
                <w:sz w:val="24"/>
                <w14:textFill>
                  <w14:solidFill>
                    <w14:schemeClr w14:val="tx1"/>
                  </w14:solidFill>
                </w14:textFill>
              </w:rPr>
            </w:pPr>
          </w:p>
        </w:tc>
        <w:tc>
          <w:tcPr>
            <w:tcW w:w="2268" w:type="dxa"/>
          </w:tcPr>
          <w:p>
            <w:pPr>
              <w:jc w:val="center"/>
              <w:rPr>
                <w:rFonts w:ascii="宋体" w:hAnsi="宋体"/>
                <w:color w:val="000000" w:themeColor="text1"/>
                <w:sz w:val="24"/>
                <w14:textFill>
                  <w14:solidFill>
                    <w14:schemeClr w14:val="tx1"/>
                  </w14:solidFill>
                </w14:textFill>
              </w:rPr>
            </w:pPr>
          </w:p>
        </w:tc>
      </w:tr>
    </w:tbl>
    <w:p>
      <w:pPr>
        <w:autoSpaceDE w:val="0"/>
        <w:autoSpaceDN w:val="0"/>
        <w:adjustRightInd w:val="0"/>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投标人公章：</w:t>
      </w:r>
    </w:p>
    <w:p>
      <w:pPr>
        <w:ind w:firstLine="630"/>
        <w:rPr>
          <w:color w:val="000000" w:themeColor="text1"/>
          <w14:textFill>
            <w14:solidFill>
              <w14:schemeClr w14:val="tx1"/>
            </w14:solidFill>
          </w14:textFill>
        </w:rPr>
      </w:pPr>
    </w:p>
    <w:p>
      <w:pPr>
        <w:ind w:firstLine="630"/>
        <w:rPr>
          <w:rFonts w:ascii="宋体" w:hAnsi="宋体"/>
          <w:color w:val="000000" w:themeColor="text1"/>
          <w:sz w:val="28"/>
          <w14:textFill>
            <w14:solidFill>
              <w14:schemeClr w14:val="tx1"/>
            </w14:solidFill>
          </w14:textFill>
        </w:rPr>
      </w:pPr>
    </w:p>
    <w:p>
      <w:pPr>
        <w:ind w:firstLine="630"/>
        <w:rPr>
          <w:rFonts w:ascii="宋体" w:hAnsi="宋体"/>
          <w:color w:val="000000" w:themeColor="text1"/>
          <w:sz w:val="28"/>
          <w14:textFill>
            <w14:solidFill>
              <w14:schemeClr w14:val="tx1"/>
            </w14:solidFill>
          </w14:textFill>
        </w:rPr>
      </w:pPr>
    </w:p>
    <w:p>
      <w:pPr>
        <w:ind w:firstLine="630"/>
        <w:rPr>
          <w:color w:val="000000" w:themeColor="text1"/>
          <w14:textFill>
            <w14:solidFill>
              <w14:schemeClr w14:val="tx1"/>
            </w14:solidFill>
          </w14:textFill>
        </w:rPr>
      </w:pPr>
    </w:p>
    <w:p>
      <w:pPr>
        <w:ind w:firstLine="630"/>
        <w:rPr>
          <w:color w:val="000000" w:themeColor="text1"/>
          <w14:textFill>
            <w14:solidFill>
              <w14:schemeClr w14:val="tx1"/>
            </w14:solidFill>
          </w14:textFill>
        </w:rPr>
      </w:pPr>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p>
    <w:p>
      <w:pPr>
        <w:rPr>
          <w:color w:val="000000" w:themeColor="text1"/>
          <w14:textFill>
            <w14:solidFill>
              <w14:schemeClr w14:val="tx1"/>
            </w14:solidFill>
          </w14:textFill>
        </w:rPr>
      </w:pPr>
    </w:p>
    <w:p>
      <w:pPr>
        <w:pStyle w:val="7"/>
        <w:rPr>
          <w:rFonts w:hAnsi="宋体"/>
          <w:color w:val="000000" w:themeColor="text1"/>
          <w:sz w:val="36"/>
          <w:szCs w:val="36"/>
          <w14:textFill>
            <w14:solidFill>
              <w14:schemeClr w14:val="tx1"/>
            </w14:solidFill>
          </w14:textFill>
        </w:rPr>
      </w:pPr>
      <w:bookmarkStart w:id="132" w:name="_Toc508363614"/>
      <w:bookmarkStart w:id="133" w:name="_Toc536542365"/>
      <w:bookmarkStart w:id="134" w:name="_Toc7967"/>
      <w:r>
        <w:rPr>
          <w:rFonts w:hint="eastAsia" w:hAnsi="宋体"/>
          <w:color w:val="000000" w:themeColor="text1"/>
          <w:sz w:val="28"/>
          <w14:textFill>
            <w14:solidFill>
              <w14:schemeClr w14:val="tx1"/>
            </w14:solidFill>
          </w14:textFill>
        </w:rPr>
        <w:t>十一．服务体系与维保方案</w:t>
      </w:r>
      <w:bookmarkEnd w:id="132"/>
      <w:bookmarkEnd w:id="133"/>
      <w:bookmarkEnd w:id="134"/>
    </w:p>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(投标人可自行制作格式)</w:t>
      </w:r>
    </w:p>
    <w:p>
      <w:pPr>
        <w:jc w:val="center"/>
        <w:rPr>
          <w:rFonts w:ascii="宋体" w:hAnsi="宋体"/>
          <w:color w:val="000000" w:themeColor="text1"/>
          <w:sz w:val="24"/>
          <w14:textFill>
            <w14:solidFill>
              <w14:schemeClr w14:val="tx1"/>
            </w14:solidFill>
          </w14:textFill>
        </w:rPr>
      </w:pPr>
    </w:p>
    <w:p>
      <w:pPr>
        <w:jc w:val="center"/>
        <w:rPr>
          <w:rFonts w:ascii="宋体" w:hAnsi="宋体"/>
          <w:color w:val="000000" w:themeColor="text1"/>
          <w:sz w:val="24"/>
          <w14:textFill>
            <w14:solidFill>
              <w14:schemeClr w14:val="tx1"/>
            </w14:solidFill>
          </w14:textFill>
        </w:rPr>
      </w:pPr>
    </w:p>
    <w:p>
      <w:pPr>
        <w:jc w:val="center"/>
        <w:rPr>
          <w:rFonts w:ascii="宋体" w:hAnsi="宋体"/>
          <w:color w:val="000000" w:themeColor="text1"/>
          <w:sz w:val="28"/>
          <w14:textFill>
            <w14:solidFill>
              <w14:schemeClr w14:val="tx1"/>
            </w14:solidFill>
          </w14:textFill>
        </w:rPr>
      </w:pPr>
    </w:p>
    <w:p>
      <w:pPr>
        <w:spacing w:line="500" w:lineRule="exact"/>
        <w:rPr>
          <w:rFonts w:ascii="宋体" w:hAnsi="宋体"/>
          <w:b/>
          <w:bCs/>
          <w:color w:val="000000" w:themeColor="text1"/>
          <w:sz w:val="24"/>
          <w:szCs w:val="24"/>
          <w14:textFill>
            <w14:solidFill>
              <w14:schemeClr w14:val="tx1"/>
            </w14:solidFill>
          </w14:textFill>
        </w:rPr>
      </w:pPr>
    </w:p>
    <w:p>
      <w:pPr>
        <w:spacing w:line="500" w:lineRule="exact"/>
        <w:rPr>
          <w:rFonts w:ascii="宋体" w:hAnsi="宋体"/>
          <w:b/>
          <w:bCs/>
          <w:color w:val="000000" w:themeColor="text1"/>
          <w:sz w:val="24"/>
          <w:szCs w:val="24"/>
          <w14:textFill>
            <w14:solidFill>
              <w14:schemeClr w14:val="tx1"/>
            </w14:solidFill>
          </w14:textFill>
        </w:rPr>
      </w:pPr>
    </w:p>
    <w:p>
      <w:pPr>
        <w:keepNext/>
        <w:keepLines/>
        <w:spacing w:before="260" w:after="260" w:line="416" w:lineRule="auto"/>
        <w:jc w:val="center"/>
        <w:outlineLvl w:val="2"/>
        <w:rPr>
          <w:rFonts w:ascii="宋体" w:hAnsi="宋体"/>
          <w:b/>
          <w:bCs/>
          <w:color w:val="000000" w:themeColor="text1"/>
          <w:sz w:val="28"/>
          <w:szCs w:val="32"/>
          <w14:textFill>
            <w14:solidFill>
              <w14:schemeClr w14:val="tx1"/>
            </w14:solidFill>
          </w14:textFill>
        </w:rPr>
      </w:pPr>
      <w:bookmarkStart w:id="135" w:name="_Toc18658870"/>
      <w:bookmarkStart w:id="136" w:name="_Toc22888343"/>
      <w:bookmarkStart w:id="137" w:name="_Toc19773347"/>
      <w:bookmarkStart w:id="138" w:name="_Toc17307116"/>
      <w:bookmarkStart w:id="139" w:name="_Toc300210382"/>
      <w:r>
        <w:rPr>
          <w:rFonts w:hint="eastAsia" w:ascii="宋体" w:hAnsi="宋体"/>
          <w:b/>
          <w:bCs/>
          <w:color w:val="000000" w:themeColor="text1"/>
          <w:sz w:val="28"/>
          <w:szCs w:val="32"/>
          <w14:textFill>
            <w14:solidFill>
              <w14:schemeClr w14:val="tx1"/>
            </w14:solidFill>
          </w14:textFill>
        </w:rPr>
        <w:t>十二．投标保证金退还声明</w:t>
      </w:r>
      <w:bookmarkEnd w:id="135"/>
      <w:bookmarkEnd w:id="136"/>
      <w:bookmarkEnd w:id="137"/>
      <w:bookmarkEnd w:id="138"/>
      <w:bookmarkEnd w:id="139"/>
    </w:p>
    <w:p>
      <w:pPr>
        <w:spacing w:line="480" w:lineRule="auto"/>
        <w:ind w:firstLine="628" w:firstLineChars="262"/>
        <w:rPr>
          <w:rFonts w:hAnsi="Arial"/>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r>
        <w:rPr>
          <w:rFonts w:hint="eastAsia" w:hAnsi="Arial"/>
          <w:color w:val="000000" w:themeColor="text1"/>
          <w:sz w:val="24"/>
          <w:u w:val="single"/>
          <w14:textFill>
            <w14:solidFill>
              <w14:schemeClr w14:val="tx1"/>
            </w14:solidFill>
          </w14:textFill>
        </w:rPr>
        <w:t xml:space="preserve">                                          </w:t>
      </w:r>
    </w:p>
    <w:p>
      <w:pPr>
        <w:spacing w:line="480" w:lineRule="auto"/>
        <w:ind w:firstLine="628" w:firstLineChars="262"/>
        <w:rPr>
          <w:rFonts w:hAnsi="Arial"/>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r>
        <w:rPr>
          <w:rFonts w:hint="eastAsia" w:hAnsi="Arial"/>
          <w:color w:val="000000" w:themeColor="text1"/>
          <w:sz w:val="24"/>
          <w:u w:val="single"/>
          <w14:textFill>
            <w14:solidFill>
              <w14:schemeClr w14:val="tx1"/>
            </w14:solidFill>
          </w14:textFill>
        </w:rPr>
        <w:t xml:space="preserve">                                      </w:t>
      </w:r>
    </w:p>
    <w:p>
      <w:pPr>
        <w:spacing w:line="480" w:lineRule="auto"/>
        <w:ind w:firstLine="628" w:firstLineChars="262"/>
        <w:rPr>
          <w:rFonts w:ascii="宋体" w:hAnsi="宋体"/>
          <w:color w:val="000000" w:themeColor="text1"/>
          <w:sz w:val="24"/>
          <w14:textFill>
            <w14:solidFill>
              <w14:schemeClr w14:val="tx1"/>
            </w14:solidFill>
          </w14:textFill>
        </w:rPr>
      </w:pPr>
      <w:r>
        <w:rPr>
          <w:rFonts w:hint="eastAsia" w:hAnsi="Arial"/>
          <w:color w:val="000000" w:themeColor="text1"/>
          <w:sz w:val="24"/>
          <w14:textFill>
            <w14:solidFill>
              <w14:schemeClr w14:val="tx1"/>
            </w14:solidFill>
          </w14:textFill>
        </w:rPr>
        <w:t>投标保证金金额：</w:t>
      </w:r>
      <w:r>
        <w:rPr>
          <w:rFonts w:hint="eastAsia" w:hAnsi="Arial"/>
          <w:color w:val="000000" w:themeColor="text1"/>
          <w:sz w:val="24"/>
          <w:u w:val="single"/>
          <w14:textFill>
            <w14:solidFill>
              <w14:schemeClr w14:val="tx1"/>
            </w14:solidFill>
          </w14:textFill>
        </w:rPr>
        <w:t xml:space="preserve">                 </w:t>
      </w:r>
    </w:p>
    <w:p>
      <w:pPr>
        <w:spacing w:line="48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我单位投标保证金到期后请汇至如下账号：</w:t>
      </w:r>
    </w:p>
    <w:p>
      <w:pPr>
        <w:spacing w:line="360" w:lineRule="auto"/>
        <w:ind w:firstLine="629"/>
        <w:rPr>
          <w:rFonts w:hAnsi="Arial"/>
          <w:color w:val="000000" w:themeColor="text1"/>
          <w:sz w:val="24"/>
          <w:u w:val="single"/>
          <w14:textFill>
            <w14:solidFill>
              <w14:schemeClr w14:val="tx1"/>
            </w14:solidFill>
          </w14:textFill>
        </w:rPr>
      </w:pPr>
      <w:r>
        <w:rPr>
          <w:rFonts w:hint="eastAsia" w:hAnsi="Arial"/>
          <w:color w:val="000000" w:themeColor="text1"/>
          <w:sz w:val="24"/>
          <w14:textFill>
            <w14:solidFill>
              <w14:schemeClr w14:val="tx1"/>
            </w14:solidFill>
          </w14:textFill>
        </w:rPr>
        <w:t>收款单位：</w:t>
      </w:r>
      <w:r>
        <w:rPr>
          <w:rFonts w:hint="eastAsia" w:hAnsi="Arial"/>
          <w:color w:val="000000" w:themeColor="text1"/>
          <w:sz w:val="24"/>
          <w:u w:val="single"/>
          <w14:textFill>
            <w14:solidFill>
              <w14:schemeClr w14:val="tx1"/>
            </w14:solidFill>
          </w14:textFill>
        </w:rPr>
        <w:t xml:space="preserve">                       </w:t>
      </w:r>
    </w:p>
    <w:p>
      <w:pPr>
        <w:spacing w:line="360" w:lineRule="auto"/>
        <w:ind w:firstLine="629"/>
        <w:rPr>
          <w:rFonts w:hAnsi="Arial"/>
          <w:color w:val="000000" w:themeColor="text1"/>
          <w:sz w:val="24"/>
          <w:u w:val="single"/>
          <w14:textFill>
            <w14:solidFill>
              <w14:schemeClr w14:val="tx1"/>
            </w14:solidFill>
          </w14:textFill>
        </w:rPr>
      </w:pPr>
      <w:r>
        <w:rPr>
          <w:rFonts w:hint="eastAsia" w:hAnsi="Arial"/>
          <w:color w:val="000000" w:themeColor="text1"/>
          <w:sz w:val="24"/>
          <w14:textFill>
            <w14:solidFill>
              <w14:schemeClr w14:val="tx1"/>
            </w14:solidFill>
          </w14:textFill>
        </w:rPr>
        <w:t>开 户 行：</w:t>
      </w:r>
      <w:r>
        <w:rPr>
          <w:rFonts w:hint="eastAsia" w:hAnsi="Arial"/>
          <w:color w:val="000000" w:themeColor="text1"/>
          <w:sz w:val="24"/>
          <w:u w:val="single"/>
          <w14:textFill>
            <w14:solidFill>
              <w14:schemeClr w14:val="tx1"/>
            </w14:solidFill>
          </w14:textFill>
        </w:rPr>
        <w:t xml:space="preserve">                       </w:t>
      </w:r>
    </w:p>
    <w:p>
      <w:pPr>
        <w:spacing w:line="360" w:lineRule="auto"/>
        <w:ind w:firstLine="629"/>
        <w:rPr>
          <w:rFonts w:hAnsi="Arial"/>
          <w:color w:val="000000" w:themeColor="text1"/>
          <w:sz w:val="24"/>
          <w:u w:val="single"/>
          <w14:textFill>
            <w14:solidFill>
              <w14:schemeClr w14:val="tx1"/>
            </w14:solidFill>
          </w14:textFill>
        </w:rPr>
      </w:pPr>
      <w:r>
        <w:rPr>
          <w:rFonts w:hint="eastAsia" w:hAnsi="Arial"/>
          <w:color w:val="000000" w:themeColor="text1"/>
          <w:sz w:val="24"/>
          <w14:textFill>
            <w14:solidFill>
              <w14:schemeClr w14:val="tx1"/>
            </w14:solidFill>
          </w14:textFill>
        </w:rPr>
        <w:t>银行账号：</w:t>
      </w:r>
      <w:r>
        <w:rPr>
          <w:rFonts w:hint="eastAsia" w:hAnsi="Arial"/>
          <w:color w:val="000000" w:themeColor="text1"/>
          <w:sz w:val="24"/>
          <w:u w:val="single"/>
          <w14:textFill>
            <w14:solidFill>
              <w14:schemeClr w14:val="tx1"/>
            </w14:solidFill>
          </w14:textFill>
        </w:rPr>
        <w:t xml:space="preserve">                       </w:t>
      </w:r>
    </w:p>
    <w:p>
      <w:pPr>
        <w:spacing w:line="360" w:lineRule="auto"/>
        <w:ind w:firstLine="629"/>
        <w:rPr>
          <w:rFonts w:hAnsi="Arial"/>
          <w:color w:val="000000" w:themeColor="text1"/>
          <w:sz w:val="24"/>
          <w:u w:val="single"/>
          <w14:textFill>
            <w14:solidFill>
              <w14:schemeClr w14:val="tx1"/>
            </w14:solidFill>
          </w14:textFill>
        </w:rPr>
      </w:pPr>
      <w:r>
        <w:rPr>
          <w:rFonts w:hint="eastAsia" w:hAnsi="Arial"/>
          <w:color w:val="000000" w:themeColor="text1"/>
          <w:sz w:val="24"/>
          <w14:textFill>
            <w14:solidFill>
              <w14:schemeClr w14:val="tx1"/>
            </w14:solidFill>
          </w14:textFill>
        </w:rPr>
        <w:t>电    话：</w:t>
      </w:r>
      <w:r>
        <w:rPr>
          <w:rFonts w:hint="eastAsia" w:hAnsi="Arial"/>
          <w:color w:val="000000" w:themeColor="text1"/>
          <w:sz w:val="24"/>
          <w:u w:val="single"/>
          <w14:textFill>
            <w14:solidFill>
              <w14:schemeClr w14:val="tx1"/>
            </w14:solidFill>
          </w14:textFill>
        </w:rPr>
        <w:t xml:space="preserve">                       </w:t>
      </w:r>
    </w:p>
    <w:p>
      <w:pPr>
        <w:spacing w:line="360" w:lineRule="auto"/>
        <w:ind w:firstLine="629"/>
        <w:rPr>
          <w:rFonts w:ascii="宋体" w:hAnsi="宋体"/>
          <w:color w:val="000000" w:themeColor="text1"/>
          <w:sz w:val="24"/>
          <w:u w:val="single"/>
          <w14:textFill>
            <w14:solidFill>
              <w14:schemeClr w14:val="tx1"/>
            </w14:solidFill>
          </w14:textFill>
        </w:rPr>
      </w:pPr>
      <w:r>
        <w:rPr>
          <w:rFonts w:hint="eastAsia" w:hAnsi="Arial"/>
          <w:color w:val="000000" w:themeColor="text1"/>
          <w:sz w:val="24"/>
          <w14:textFill>
            <w14:solidFill>
              <w14:schemeClr w14:val="tx1"/>
            </w14:solidFill>
          </w14:textFill>
        </w:rPr>
        <w:t>地    址：</w:t>
      </w:r>
      <w:r>
        <w:rPr>
          <w:rFonts w:hint="eastAsia" w:hAnsi="Arial"/>
          <w:color w:val="000000" w:themeColor="text1"/>
          <w:sz w:val="24"/>
          <w:u w:val="single"/>
          <w14:textFill>
            <w14:solidFill>
              <w14:schemeClr w14:val="tx1"/>
            </w14:solidFill>
          </w14:textFill>
        </w:rPr>
        <w:t xml:space="preserve">                       </w:t>
      </w:r>
    </w:p>
    <w:p>
      <w:pPr>
        <w:spacing w:line="360" w:lineRule="auto"/>
        <w:ind w:firstLine="629"/>
        <w:rPr>
          <w:rFonts w:hAnsi="Arial"/>
          <w:color w:val="000000" w:themeColor="text1"/>
          <w:sz w:val="24"/>
          <w14:textFill>
            <w14:solidFill>
              <w14:schemeClr w14:val="tx1"/>
            </w14:solidFill>
          </w14:textFill>
        </w:rPr>
      </w:pPr>
    </w:p>
    <w:p>
      <w:pPr>
        <w:spacing w:line="360" w:lineRule="auto"/>
        <w:ind w:firstLine="629"/>
        <w:rPr>
          <w:rFonts w:hAnsi="Arial"/>
          <w:color w:val="000000" w:themeColor="text1"/>
          <w:sz w:val="24"/>
          <w14:textFill>
            <w14:solidFill>
              <w14:schemeClr w14:val="tx1"/>
            </w14:solidFill>
          </w14:textFill>
        </w:rPr>
      </w:pPr>
    </w:p>
    <w:p>
      <w:pPr>
        <w:spacing w:line="360" w:lineRule="auto"/>
        <w:ind w:firstLine="629"/>
        <w:rPr>
          <w:rFonts w:ascii="宋体" w:hAnsi="宋体"/>
          <w:color w:val="000000" w:themeColor="text1"/>
          <w:sz w:val="24"/>
          <w:u w:val="single"/>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附：投标保证金转账凭证扫描件</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ind w:firstLine="4200" w:firstLineChars="2000"/>
        <w:rPr>
          <w:color w:val="000000" w:themeColor="text1"/>
          <w14:textFill>
            <w14:solidFill>
              <w14:schemeClr w14:val="tx1"/>
            </w14:solidFill>
          </w14:textFill>
        </w:rPr>
      </w:pPr>
      <w:r>
        <w:rPr>
          <w:rFonts w:hint="eastAsia"/>
          <w:color w:val="000000" w:themeColor="text1"/>
          <w14:textFill>
            <w14:solidFill>
              <w14:schemeClr w14:val="tx1"/>
            </w14:solidFill>
          </w14:textFill>
        </w:rPr>
        <w:t>投标人（公章）：</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企业法人（签字）：</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授权代表（签字）：</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年   月   日</w:t>
      </w:r>
      <w:bookmarkEnd w:id="46"/>
      <w:bookmarkStart w:id="140" w:name="_Toc471736410"/>
      <w:bookmarkEnd w:id="140"/>
      <w:bookmarkStart w:id="141" w:name="_Toc197934561"/>
      <w:bookmarkEnd w:id="141"/>
      <w:bookmarkStart w:id="142" w:name="_Toc516969098"/>
      <w:bookmarkEnd w:id="142"/>
      <w:bookmarkStart w:id="143" w:name="_Toc471736407"/>
      <w:bookmarkEnd w:id="143"/>
    </w:p>
    <w:sectPr>
      <w:headerReference r:id="rId8" w:type="default"/>
      <w:footerReference r:id="rId9" w:type="default"/>
      <w:footerReference r:id="rId10" w:type="even"/>
      <w:pgSz w:w="11907" w:h="16840"/>
      <w:pgMar w:top="1474" w:right="1474" w:bottom="1474" w:left="1474" w:header="799" w:footer="907" w:gutter="0"/>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Italic">
    <w:altName w:val="Harlow Solid Italic"/>
    <w:panose1 w:val="00000000000000000000"/>
    <w:charset w:val="00"/>
    <w:family w:val="auto"/>
    <w:pitch w:val="default"/>
    <w:sig w:usb0="00000000" w:usb1="00000000" w:usb2="00000000" w:usb3="00000000" w:csb0="000001FF" w:csb1="00000000"/>
  </w:font>
  <w:font w:name="Harlow Solid Italic">
    <w:panose1 w:val="04030604020F02020D02"/>
    <w:charset w:val="00"/>
    <w:family w:val="auto"/>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MS Sans Serif">
    <w:altName w:val="Arial"/>
    <w:panose1 w:val="020B0500000000000000"/>
    <w:charset w:val="00"/>
    <w:family w:val="swiss"/>
    <w:pitch w:val="default"/>
    <w:sig w:usb0="00000000" w:usb1="00000000" w:usb2="00000000" w:usb3="00000000" w:csb0="00000001" w:csb1="00000000"/>
  </w:font>
  <w:font w:name="Mangal">
    <w:altName w:val="Segoe Print"/>
    <w:panose1 w:val="00000400000000000000"/>
    <w:charset w:val="01"/>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简标宋">
    <w:altName w:val="黑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6859318"/>
    </w:sdtPr>
    <w:sdtContent>
      <w:sdt>
        <w:sdtPr>
          <w:id w:val="-231848758"/>
        </w:sdtPr>
        <w:sdtContent>
          <w:p>
            <w:pPr>
              <w:pStyle w:val="4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48</w:t>
            </w:r>
            <w:r>
              <w:rPr>
                <w:b/>
                <w:bCs/>
                <w:sz w:val="24"/>
                <w:szCs w:val="24"/>
              </w:rPr>
              <w:fldChar w:fldCharType="end"/>
            </w:r>
          </w:p>
        </w:sdtContent>
      </w:sdt>
    </w:sdtContent>
  </w:sdt>
  <w:p>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rPr>
        <w:rFonts w:ascii="宋体" w:hAnsi="宋体"/>
        <w:sz w:val="24"/>
      </w:rPr>
    </w:pPr>
    <w:r>
      <w:rPr>
        <w:rFonts w:hint="eastAsia" w:ascii="宋体" w:hAnsi="宋体"/>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Pr>
        <w:rFonts w:ascii="宋体" w:hAnsi="宋体"/>
        <w:kern w:val="0"/>
        <w:sz w:val="24"/>
        <w:szCs w:val="21"/>
      </w:rPr>
      <w:t>36</w:t>
    </w:r>
    <w:r>
      <w:rPr>
        <w:rFonts w:ascii="宋体" w:hAnsi="宋体"/>
        <w:kern w:val="0"/>
        <w:sz w:val="24"/>
        <w:szCs w:val="21"/>
      </w:rPr>
      <w:fldChar w:fldCharType="end"/>
    </w:r>
    <w:r>
      <w:rPr>
        <w:rFonts w:hint="eastAsia" w:ascii="宋体" w:hAnsi="宋体"/>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Pr>
        <w:rFonts w:ascii="宋体" w:hAnsi="宋体"/>
        <w:kern w:val="0"/>
        <w:sz w:val="24"/>
        <w:szCs w:val="21"/>
      </w:rPr>
      <w:t>40</w:t>
    </w:r>
    <w:r>
      <w:rPr>
        <w:rFonts w:ascii="宋体" w:hAnsi="宋体"/>
        <w:kern w:val="0"/>
        <w:sz w:val="24"/>
        <w:szCs w:val="21"/>
      </w:rPr>
      <w:fldChar w:fldCharType="end"/>
    </w:r>
    <w:r>
      <w:rPr>
        <w:rFonts w:hint="eastAsia" w:ascii="宋体" w:hAnsi="宋体"/>
        <w:kern w:val="0"/>
        <w:sz w:val="24"/>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70"/>
      </w:rPr>
    </w:pPr>
    <w:r>
      <w:rPr>
        <w:rStyle w:val="70"/>
      </w:rPr>
      <w:fldChar w:fldCharType="begin"/>
    </w:r>
    <w:r>
      <w:rPr>
        <w:rStyle w:val="70"/>
      </w:rPr>
      <w:instrText xml:space="preserve">PAGE  </w:instrText>
    </w:r>
    <w:r>
      <w:rPr>
        <w:rStyle w:val="70"/>
      </w:rPr>
      <w:fldChar w:fldCharType="end"/>
    </w:r>
  </w:p>
  <w:p>
    <w:pPr>
      <w:pStyle w:val="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sdt>
      <w:sdtPr>
        <w:id w:val="1121805703"/>
      </w:sdtPr>
      <w:sdtContent>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48</w:t>
        </w:r>
        <w:r>
          <w:rPr>
            <w:b/>
            <w:bCs/>
            <w:sz w:val="24"/>
            <w:szCs w:val="24"/>
          </w:rPr>
          <w:fldChar w:fldCharType="end"/>
        </w:r>
      </w:sdtContent>
    </w:sdt>
  </w:p>
  <w:p>
    <w:pPr>
      <w:pStyle w:val="4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70"/>
      </w:rPr>
    </w:pPr>
    <w:r>
      <w:fldChar w:fldCharType="begin"/>
    </w:r>
    <w:r>
      <w:rPr>
        <w:rStyle w:val="70"/>
      </w:rPr>
      <w:instrText xml:space="preserve">PAGE  </w:instrText>
    </w:r>
    <w:r>
      <w:fldChar w:fldCharType="end"/>
    </w:r>
  </w:p>
  <w:p>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rPr>
        <w:rFonts w:ascii="宋体" w:hAnsi="宋体"/>
        <w:b/>
        <w:i/>
        <w:sz w:val="24"/>
      </w:rPr>
    </w:pPr>
    <w:r>
      <w:rPr>
        <w:rFonts w:hint="eastAsia"/>
      </w:rPr>
      <w:t xml:space="preserve">合肥文旅博览集团有限公司招标文件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rPr>
        <w:rFonts w:ascii="宋体" w:hAnsi="宋体"/>
        <w:b/>
        <w:i/>
        <w:sz w:val="24"/>
      </w:rPr>
    </w:pPr>
    <w:r>
      <w:rPr>
        <w:rFonts w:hint="eastAsia"/>
      </w:rPr>
      <w:t xml:space="preserve">合肥文旅博览集团有限公司招标文件-服务类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rPr>
        <w:rFonts w:ascii="宋体" w:hAnsi="宋体"/>
        <w:spacing w:val="20"/>
        <w:kern w:val="0"/>
      </w:rPr>
    </w:pPr>
    <w:r>
      <w:rPr>
        <w:rFonts w:hint="eastAsia" w:ascii="宋体" w:hAnsi="宋体"/>
        <w:spacing w:val="20"/>
        <w:kern w:val="0"/>
      </w:rPr>
      <w:t>合肥市文旅博览集团有限公司招标文件</w:t>
    </w:r>
    <w:r>
      <w:rPr>
        <w:rFonts w:hint="eastAsia"/>
      </w:rPr>
      <w:t xml:space="preserve">                                 2020版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BF71EF"/>
    <w:multiLevelType w:val="multilevel"/>
    <w:tmpl w:val="27BF71EF"/>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A2D0553"/>
    <w:multiLevelType w:val="multilevel"/>
    <w:tmpl w:val="3A2D0553"/>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D2A0EDA"/>
    <w:multiLevelType w:val="multilevel"/>
    <w:tmpl w:val="4D2A0EDA"/>
    <w:lvl w:ilvl="0" w:tentative="0">
      <w:start w:val="2"/>
      <w:numFmt w:val="decimal"/>
      <w:lvlText w:val="%1"/>
      <w:lvlJc w:val="left"/>
      <w:pPr>
        <w:ind w:left="360" w:hanging="360"/>
      </w:pPr>
      <w:rPr>
        <w:rFonts w:hint="default"/>
      </w:rPr>
    </w:lvl>
    <w:lvl w:ilvl="1" w:tentative="0">
      <w:start w:val="6"/>
      <w:numFmt w:val="decimal"/>
      <w:lvlText w:val="%1.%2"/>
      <w:lvlJc w:val="left"/>
      <w:pPr>
        <w:ind w:left="909" w:hanging="360"/>
      </w:pPr>
      <w:rPr>
        <w:rFonts w:hint="default"/>
      </w:rPr>
    </w:lvl>
    <w:lvl w:ilvl="2" w:tentative="0">
      <w:start w:val="1"/>
      <w:numFmt w:val="decimal"/>
      <w:lvlText w:val="%1.%2.%3"/>
      <w:lvlJc w:val="left"/>
      <w:pPr>
        <w:ind w:left="1818" w:hanging="720"/>
      </w:pPr>
      <w:rPr>
        <w:rFonts w:hint="default"/>
      </w:rPr>
    </w:lvl>
    <w:lvl w:ilvl="3" w:tentative="0">
      <w:start w:val="1"/>
      <w:numFmt w:val="decimal"/>
      <w:lvlText w:val="%1.%2.%3.%4"/>
      <w:lvlJc w:val="left"/>
      <w:pPr>
        <w:ind w:left="2727" w:hanging="1080"/>
      </w:pPr>
      <w:rPr>
        <w:rFonts w:hint="default"/>
      </w:rPr>
    </w:lvl>
    <w:lvl w:ilvl="4" w:tentative="0">
      <w:start w:val="1"/>
      <w:numFmt w:val="decimal"/>
      <w:lvlText w:val="%1.%2.%3.%4.%5"/>
      <w:lvlJc w:val="left"/>
      <w:pPr>
        <w:ind w:left="3276" w:hanging="1080"/>
      </w:pPr>
      <w:rPr>
        <w:rFonts w:hint="default"/>
      </w:rPr>
    </w:lvl>
    <w:lvl w:ilvl="5" w:tentative="0">
      <w:start w:val="1"/>
      <w:numFmt w:val="decimal"/>
      <w:lvlText w:val="%1.%2.%3.%4.%5.%6"/>
      <w:lvlJc w:val="left"/>
      <w:pPr>
        <w:ind w:left="4185" w:hanging="1440"/>
      </w:pPr>
      <w:rPr>
        <w:rFonts w:hint="default"/>
      </w:rPr>
    </w:lvl>
    <w:lvl w:ilvl="6" w:tentative="0">
      <w:start w:val="1"/>
      <w:numFmt w:val="decimal"/>
      <w:lvlText w:val="%1.%2.%3.%4.%5.%6.%7"/>
      <w:lvlJc w:val="left"/>
      <w:pPr>
        <w:ind w:left="5094" w:hanging="1800"/>
      </w:pPr>
      <w:rPr>
        <w:rFonts w:hint="default"/>
      </w:rPr>
    </w:lvl>
    <w:lvl w:ilvl="7" w:tentative="0">
      <w:start w:val="1"/>
      <w:numFmt w:val="decimal"/>
      <w:lvlText w:val="%1.%2.%3.%4.%5.%6.%7.%8"/>
      <w:lvlJc w:val="left"/>
      <w:pPr>
        <w:ind w:left="5643" w:hanging="1800"/>
      </w:pPr>
      <w:rPr>
        <w:rFonts w:hint="default"/>
      </w:rPr>
    </w:lvl>
    <w:lvl w:ilvl="8" w:tentative="0">
      <w:start w:val="1"/>
      <w:numFmt w:val="decimal"/>
      <w:lvlText w:val="%1.%2.%3.%4.%5.%6.%7.%8.%9"/>
      <w:lvlJc w:val="left"/>
      <w:pPr>
        <w:ind w:left="6552" w:hanging="2160"/>
      </w:pPr>
      <w:rPr>
        <w:rFonts w:hint="default"/>
      </w:rPr>
    </w:lvl>
  </w:abstractNum>
  <w:abstractNum w:abstractNumId="3">
    <w:nsid w:val="7F7E5238"/>
    <w:multiLevelType w:val="multilevel"/>
    <w:tmpl w:val="7F7E5238"/>
    <w:lvl w:ilvl="0" w:tentative="0">
      <w:start w:val="1"/>
      <w:numFmt w:val="none"/>
      <w:pStyle w:val="18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0"/>
      <w:lvlText w:val="           "/>
      <w:lvlJc w:val="left"/>
      <w:pPr>
        <w:tabs>
          <w:tab w:val="left" w:pos="1440"/>
        </w:tabs>
        <w:ind w:left="1152" w:hanging="1152"/>
      </w:pPr>
      <w:rPr>
        <w:rFonts w:hint="eastAsia"/>
      </w:rPr>
    </w:lvl>
    <w:lvl w:ilvl="6" w:tentative="0">
      <w:start w:val="1"/>
      <w:numFmt w:val="decimal"/>
      <w:pStyle w:val="192"/>
      <w:lvlText w:val="%1.%2.%3.%4.%5.%6.%7"/>
      <w:lvlJc w:val="left"/>
      <w:pPr>
        <w:tabs>
          <w:tab w:val="left" w:pos="2520"/>
        </w:tabs>
        <w:ind w:left="1296" w:hanging="1296"/>
      </w:pPr>
      <w:rPr>
        <w:rFonts w:hint="eastAsia"/>
      </w:rPr>
    </w:lvl>
    <w:lvl w:ilvl="7" w:tentative="0">
      <w:start w:val="1"/>
      <w:numFmt w:val="decimal"/>
      <w:pStyle w:val="194"/>
      <w:lvlText w:val="%1.%2.%3.%4.%5.%6.%7.%8"/>
      <w:lvlJc w:val="left"/>
      <w:pPr>
        <w:tabs>
          <w:tab w:val="left" w:pos="1440"/>
        </w:tabs>
        <w:ind w:left="1440" w:hanging="1440"/>
      </w:pPr>
      <w:rPr>
        <w:rFonts w:hint="eastAsia"/>
      </w:rPr>
    </w:lvl>
    <w:lvl w:ilvl="8" w:tentative="0">
      <w:start w:val="1"/>
      <w:numFmt w:val="decimal"/>
      <w:pStyle w:val="196"/>
      <w:lvlText w:val="%1.%2.%3.%4.%5.%6.%7.%8.%9"/>
      <w:lvlJc w:val="left"/>
      <w:pPr>
        <w:tabs>
          <w:tab w:val="left" w:pos="1584"/>
        </w:tabs>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hideSpellingErrors/>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D1"/>
    <w:rsid w:val="0000076C"/>
    <w:rsid w:val="00000CFC"/>
    <w:rsid w:val="0000102E"/>
    <w:rsid w:val="00002613"/>
    <w:rsid w:val="00002D9A"/>
    <w:rsid w:val="00003572"/>
    <w:rsid w:val="00003758"/>
    <w:rsid w:val="00003E1B"/>
    <w:rsid w:val="00004BF6"/>
    <w:rsid w:val="00004E63"/>
    <w:rsid w:val="00005B3A"/>
    <w:rsid w:val="00006909"/>
    <w:rsid w:val="00006D58"/>
    <w:rsid w:val="00006E38"/>
    <w:rsid w:val="00010C11"/>
    <w:rsid w:val="00010E4D"/>
    <w:rsid w:val="00012D0B"/>
    <w:rsid w:val="00013DA1"/>
    <w:rsid w:val="00014130"/>
    <w:rsid w:val="00014DB9"/>
    <w:rsid w:val="0001505D"/>
    <w:rsid w:val="0001605A"/>
    <w:rsid w:val="00016613"/>
    <w:rsid w:val="0001792C"/>
    <w:rsid w:val="00017BC9"/>
    <w:rsid w:val="00017F0E"/>
    <w:rsid w:val="00020983"/>
    <w:rsid w:val="00020A74"/>
    <w:rsid w:val="000217F4"/>
    <w:rsid w:val="00023CD6"/>
    <w:rsid w:val="00024EFB"/>
    <w:rsid w:val="00024F48"/>
    <w:rsid w:val="000251D4"/>
    <w:rsid w:val="00025F13"/>
    <w:rsid w:val="000264F9"/>
    <w:rsid w:val="0002731C"/>
    <w:rsid w:val="0002789D"/>
    <w:rsid w:val="00030954"/>
    <w:rsid w:val="00030C7E"/>
    <w:rsid w:val="0003249B"/>
    <w:rsid w:val="00032956"/>
    <w:rsid w:val="00033ED8"/>
    <w:rsid w:val="00034594"/>
    <w:rsid w:val="000353C1"/>
    <w:rsid w:val="000369B9"/>
    <w:rsid w:val="00037014"/>
    <w:rsid w:val="00037793"/>
    <w:rsid w:val="00041B05"/>
    <w:rsid w:val="00042B34"/>
    <w:rsid w:val="000433DF"/>
    <w:rsid w:val="00044BF5"/>
    <w:rsid w:val="00044FA2"/>
    <w:rsid w:val="0004551E"/>
    <w:rsid w:val="00046438"/>
    <w:rsid w:val="0004663D"/>
    <w:rsid w:val="00046E01"/>
    <w:rsid w:val="0004770D"/>
    <w:rsid w:val="00050FDD"/>
    <w:rsid w:val="000510CF"/>
    <w:rsid w:val="00051769"/>
    <w:rsid w:val="00051AE0"/>
    <w:rsid w:val="0005345A"/>
    <w:rsid w:val="000545E0"/>
    <w:rsid w:val="00055A35"/>
    <w:rsid w:val="0005616B"/>
    <w:rsid w:val="000570D1"/>
    <w:rsid w:val="00061842"/>
    <w:rsid w:val="000619B2"/>
    <w:rsid w:val="00061BB4"/>
    <w:rsid w:val="00062BB9"/>
    <w:rsid w:val="00062DC6"/>
    <w:rsid w:val="000640ED"/>
    <w:rsid w:val="000646B9"/>
    <w:rsid w:val="00064708"/>
    <w:rsid w:val="00064E75"/>
    <w:rsid w:val="00065AD2"/>
    <w:rsid w:val="000662FA"/>
    <w:rsid w:val="00067820"/>
    <w:rsid w:val="0007076C"/>
    <w:rsid w:val="00073F82"/>
    <w:rsid w:val="000754B0"/>
    <w:rsid w:val="00075B07"/>
    <w:rsid w:val="0007716C"/>
    <w:rsid w:val="000774B2"/>
    <w:rsid w:val="00077ABD"/>
    <w:rsid w:val="00082A8E"/>
    <w:rsid w:val="00082D23"/>
    <w:rsid w:val="00082F08"/>
    <w:rsid w:val="00082F9C"/>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3B5"/>
    <w:rsid w:val="0009641F"/>
    <w:rsid w:val="000965F5"/>
    <w:rsid w:val="000967BC"/>
    <w:rsid w:val="000976F0"/>
    <w:rsid w:val="00097CD6"/>
    <w:rsid w:val="000A0357"/>
    <w:rsid w:val="000A0503"/>
    <w:rsid w:val="000A10E2"/>
    <w:rsid w:val="000A1EA5"/>
    <w:rsid w:val="000A2D82"/>
    <w:rsid w:val="000A2D99"/>
    <w:rsid w:val="000A4C8E"/>
    <w:rsid w:val="000A5768"/>
    <w:rsid w:val="000A66E3"/>
    <w:rsid w:val="000A67B9"/>
    <w:rsid w:val="000A6A75"/>
    <w:rsid w:val="000A6AFB"/>
    <w:rsid w:val="000A7467"/>
    <w:rsid w:val="000A7726"/>
    <w:rsid w:val="000A789D"/>
    <w:rsid w:val="000B0C5D"/>
    <w:rsid w:val="000B2CE6"/>
    <w:rsid w:val="000B3C7C"/>
    <w:rsid w:val="000B43ED"/>
    <w:rsid w:val="000B458A"/>
    <w:rsid w:val="000B4A94"/>
    <w:rsid w:val="000B4A9F"/>
    <w:rsid w:val="000B4FF6"/>
    <w:rsid w:val="000B5A28"/>
    <w:rsid w:val="000B653C"/>
    <w:rsid w:val="000B73E2"/>
    <w:rsid w:val="000B7BDE"/>
    <w:rsid w:val="000C062C"/>
    <w:rsid w:val="000C2580"/>
    <w:rsid w:val="000C2FE6"/>
    <w:rsid w:val="000C305B"/>
    <w:rsid w:val="000C38BF"/>
    <w:rsid w:val="000C3EE2"/>
    <w:rsid w:val="000C400F"/>
    <w:rsid w:val="000C5A35"/>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296F"/>
    <w:rsid w:val="000E34CE"/>
    <w:rsid w:val="000E3D91"/>
    <w:rsid w:val="000E4618"/>
    <w:rsid w:val="000E4AEC"/>
    <w:rsid w:val="000E64C0"/>
    <w:rsid w:val="000E7433"/>
    <w:rsid w:val="000E7AA9"/>
    <w:rsid w:val="000F001A"/>
    <w:rsid w:val="000F1728"/>
    <w:rsid w:val="000F2A57"/>
    <w:rsid w:val="000F5BEA"/>
    <w:rsid w:val="000F63DE"/>
    <w:rsid w:val="000F6D2D"/>
    <w:rsid w:val="000F7072"/>
    <w:rsid w:val="000F72C8"/>
    <w:rsid w:val="000F7568"/>
    <w:rsid w:val="00100239"/>
    <w:rsid w:val="00100687"/>
    <w:rsid w:val="00100B0D"/>
    <w:rsid w:val="001011F7"/>
    <w:rsid w:val="001012A3"/>
    <w:rsid w:val="0010166E"/>
    <w:rsid w:val="00101C7F"/>
    <w:rsid w:val="001025F0"/>
    <w:rsid w:val="0010429C"/>
    <w:rsid w:val="00104387"/>
    <w:rsid w:val="00104428"/>
    <w:rsid w:val="00106426"/>
    <w:rsid w:val="00106F6C"/>
    <w:rsid w:val="00107EE4"/>
    <w:rsid w:val="00110AD7"/>
    <w:rsid w:val="00110B31"/>
    <w:rsid w:val="00111CE9"/>
    <w:rsid w:val="00111D01"/>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079E"/>
    <w:rsid w:val="001310C9"/>
    <w:rsid w:val="001322EE"/>
    <w:rsid w:val="001325CC"/>
    <w:rsid w:val="001343B0"/>
    <w:rsid w:val="00134F41"/>
    <w:rsid w:val="001350FD"/>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47D42"/>
    <w:rsid w:val="00150F8D"/>
    <w:rsid w:val="00151198"/>
    <w:rsid w:val="00151330"/>
    <w:rsid w:val="00152473"/>
    <w:rsid w:val="00152FB9"/>
    <w:rsid w:val="0015399C"/>
    <w:rsid w:val="00153C2F"/>
    <w:rsid w:val="00154822"/>
    <w:rsid w:val="00155B47"/>
    <w:rsid w:val="00156A2F"/>
    <w:rsid w:val="001574C6"/>
    <w:rsid w:val="0015761E"/>
    <w:rsid w:val="00160047"/>
    <w:rsid w:val="001609E3"/>
    <w:rsid w:val="00160CB1"/>
    <w:rsid w:val="00160E46"/>
    <w:rsid w:val="00161AFA"/>
    <w:rsid w:val="00162A11"/>
    <w:rsid w:val="001635EF"/>
    <w:rsid w:val="0016371B"/>
    <w:rsid w:val="001645D0"/>
    <w:rsid w:val="00164AF7"/>
    <w:rsid w:val="001655E8"/>
    <w:rsid w:val="001659B0"/>
    <w:rsid w:val="001662DE"/>
    <w:rsid w:val="001676B2"/>
    <w:rsid w:val="001677B8"/>
    <w:rsid w:val="00170092"/>
    <w:rsid w:val="00170EF7"/>
    <w:rsid w:val="00172439"/>
    <w:rsid w:val="001729A8"/>
    <w:rsid w:val="00172C7D"/>
    <w:rsid w:val="0017397C"/>
    <w:rsid w:val="00174C2F"/>
    <w:rsid w:val="00175641"/>
    <w:rsid w:val="00176F89"/>
    <w:rsid w:val="001808A2"/>
    <w:rsid w:val="0018169E"/>
    <w:rsid w:val="0018348F"/>
    <w:rsid w:val="00183F7B"/>
    <w:rsid w:val="0018437C"/>
    <w:rsid w:val="00185763"/>
    <w:rsid w:val="001858E7"/>
    <w:rsid w:val="00186640"/>
    <w:rsid w:val="00186767"/>
    <w:rsid w:val="00187488"/>
    <w:rsid w:val="00190088"/>
    <w:rsid w:val="001901C5"/>
    <w:rsid w:val="00190B0B"/>
    <w:rsid w:val="00190DF2"/>
    <w:rsid w:val="00191550"/>
    <w:rsid w:val="00191655"/>
    <w:rsid w:val="00192183"/>
    <w:rsid w:val="001921EB"/>
    <w:rsid w:val="0019242D"/>
    <w:rsid w:val="001932C6"/>
    <w:rsid w:val="001942C4"/>
    <w:rsid w:val="00195393"/>
    <w:rsid w:val="001972D5"/>
    <w:rsid w:val="001975D7"/>
    <w:rsid w:val="00197B89"/>
    <w:rsid w:val="00197F26"/>
    <w:rsid w:val="001A079B"/>
    <w:rsid w:val="001A1027"/>
    <w:rsid w:val="001A1812"/>
    <w:rsid w:val="001A2E13"/>
    <w:rsid w:val="001A31AB"/>
    <w:rsid w:val="001A4211"/>
    <w:rsid w:val="001A48A7"/>
    <w:rsid w:val="001A6FC4"/>
    <w:rsid w:val="001A73EC"/>
    <w:rsid w:val="001B00BE"/>
    <w:rsid w:val="001B0603"/>
    <w:rsid w:val="001B0F75"/>
    <w:rsid w:val="001B24F9"/>
    <w:rsid w:val="001B2567"/>
    <w:rsid w:val="001B2F5B"/>
    <w:rsid w:val="001B3463"/>
    <w:rsid w:val="001B47AC"/>
    <w:rsid w:val="001B4D6D"/>
    <w:rsid w:val="001B4F1A"/>
    <w:rsid w:val="001B57AB"/>
    <w:rsid w:val="001B7A1D"/>
    <w:rsid w:val="001C1491"/>
    <w:rsid w:val="001C15B4"/>
    <w:rsid w:val="001C1D1A"/>
    <w:rsid w:val="001C1DEA"/>
    <w:rsid w:val="001C2499"/>
    <w:rsid w:val="001C2E24"/>
    <w:rsid w:val="001C326D"/>
    <w:rsid w:val="001C34D8"/>
    <w:rsid w:val="001C45B7"/>
    <w:rsid w:val="001C47DE"/>
    <w:rsid w:val="001C4AAB"/>
    <w:rsid w:val="001C536D"/>
    <w:rsid w:val="001C5520"/>
    <w:rsid w:val="001C5A10"/>
    <w:rsid w:val="001D0778"/>
    <w:rsid w:val="001D0A2B"/>
    <w:rsid w:val="001D20AE"/>
    <w:rsid w:val="001D367D"/>
    <w:rsid w:val="001D5167"/>
    <w:rsid w:val="001D5860"/>
    <w:rsid w:val="001D6A3D"/>
    <w:rsid w:val="001D6FD2"/>
    <w:rsid w:val="001E0264"/>
    <w:rsid w:val="001E091E"/>
    <w:rsid w:val="001E28A8"/>
    <w:rsid w:val="001E2E94"/>
    <w:rsid w:val="001E4369"/>
    <w:rsid w:val="001E46D9"/>
    <w:rsid w:val="001E4FEE"/>
    <w:rsid w:val="001E66FF"/>
    <w:rsid w:val="001E690A"/>
    <w:rsid w:val="001E7388"/>
    <w:rsid w:val="001F0D13"/>
    <w:rsid w:val="001F1A5D"/>
    <w:rsid w:val="001F1AF5"/>
    <w:rsid w:val="001F2460"/>
    <w:rsid w:val="001F2739"/>
    <w:rsid w:val="001F2BDB"/>
    <w:rsid w:val="001F3673"/>
    <w:rsid w:val="001F495E"/>
    <w:rsid w:val="001F538E"/>
    <w:rsid w:val="001F59F0"/>
    <w:rsid w:val="001F5D66"/>
    <w:rsid w:val="001F6281"/>
    <w:rsid w:val="001F6488"/>
    <w:rsid w:val="001F7278"/>
    <w:rsid w:val="001F74C5"/>
    <w:rsid w:val="001F7E24"/>
    <w:rsid w:val="00200856"/>
    <w:rsid w:val="00200907"/>
    <w:rsid w:val="00201B85"/>
    <w:rsid w:val="00202DB5"/>
    <w:rsid w:val="00203C72"/>
    <w:rsid w:val="002040C9"/>
    <w:rsid w:val="002041EC"/>
    <w:rsid w:val="002049A7"/>
    <w:rsid w:val="00204E86"/>
    <w:rsid w:val="002057DE"/>
    <w:rsid w:val="00210385"/>
    <w:rsid w:val="002107AA"/>
    <w:rsid w:val="002107DB"/>
    <w:rsid w:val="002110E5"/>
    <w:rsid w:val="00211107"/>
    <w:rsid w:val="002115E9"/>
    <w:rsid w:val="00211DA7"/>
    <w:rsid w:val="00212CE1"/>
    <w:rsid w:val="002131C6"/>
    <w:rsid w:val="0021374E"/>
    <w:rsid w:val="00213E8A"/>
    <w:rsid w:val="00215A56"/>
    <w:rsid w:val="002162E3"/>
    <w:rsid w:val="002168D0"/>
    <w:rsid w:val="00216A19"/>
    <w:rsid w:val="00216A7D"/>
    <w:rsid w:val="002172BD"/>
    <w:rsid w:val="00217B7E"/>
    <w:rsid w:val="00217DDB"/>
    <w:rsid w:val="00220270"/>
    <w:rsid w:val="00220D51"/>
    <w:rsid w:val="00220EA4"/>
    <w:rsid w:val="00221ECA"/>
    <w:rsid w:val="00221FA8"/>
    <w:rsid w:val="00224411"/>
    <w:rsid w:val="002244EE"/>
    <w:rsid w:val="00224883"/>
    <w:rsid w:val="00226FA5"/>
    <w:rsid w:val="002271AF"/>
    <w:rsid w:val="002301FE"/>
    <w:rsid w:val="0023039A"/>
    <w:rsid w:val="00231B9A"/>
    <w:rsid w:val="002336AF"/>
    <w:rsid w:val="00233ECD"/>
    <w:rsid w:val="00235625"/>
    <w:rsid w:val="00235A8D"/>
    <w:rsid w:val="00235B41"/>
    <w:rsid w:val="00237671"/>
    <w:rsid w:val="002400EA"/>
    <w:rsid w:val="00240133"/>
    <w:rsid w:val="0024141E"/>
    <w:rsid w:val="002419D6"/>
    <w:rsid w:val="00241EE9"/>
    <w:rsid w:val="0024342E"/>
    <w:rsid w:val="00245F6D"/>
    <w:rsid w:val="0024664A"/>
    <w:rsid w:val="002477B0"/>
    <w:rsid w:val="002508B7"/>
    <w:rsid w:val="002513B5"/>
    <w:rsid w:val="00252176"/>
    <w:rsid w:val="00252AA8"/>
    <w:rsid w:val="002536AC"/>
    <w:rsid w:val="00253976"/>
    <w:rsid w:val="00254059"/>
    <w:rsid w:val="002542C0"/>
    <w:rsid w:val="00254DE1"/>
    <w:rsid w:val="0025559C"/>
    <w:rsid w:val="00255715"/>
    <w:rsid w:val="00256152"/>
    <w:rsid w:val="00256716"/>
    <w:rsid w:val="00256B53"/>
    <w:rsid w:val="00256C25"/>
    <w:rsid w:val="002570C4"/>
    <w:rsid w:val="00257B9F"/>
    <w:rsid w:val="002643FF"/>
    <w:rsid w:val="00265EA2"/>
    <w:rsid w:val="00265F6A"/>
    <w:rsid w:val="0026756C"/>
    <w:rsid w:val="00267F0A"/>
    <w:rsid w:val="00267F54"/>
    <w:rsid w:val="002713B0"/>
    <w:rsid w:val="00271A5A"/>
    <w:rsid w:val="00271DBA"/>
    <w:rsid w:val="0027364C"/>
    <w:rsid w:val="00274EB4"/>
    <w:rsid w:val="00275C73"/>
    <w:rsid w:val="0027734D"/>
    <w:rsid w:val="00277A97"/>
    <w:rsid w:val="00280E77"/>
    <w:rsid w:val="00281DC8"/>
    <w:rsid w:val="00282C73"/>
    <w:rsid w:val="00283774"/>
    <w:rsid w:val="00283D8F"/>
    <w:rsid w:val="00284D28"/>
    <w:rsid w:val="002851C9"/>
    <w:rsid w:val="00285BD3"/>
    <w:rsid w:val="00286CE8"/>
    <w:rsid w:val="00286E22"/>
    <w:rsid w:val="002877B3"/>
    <w:rsid w:val="002914D6"/>
    <w:rsid w:val="00292156"/>
    <w:rsid w:val="0029231A"/>
    <w:rsid w:val="00293593"/>
    <w:rsid w:val="002946E0"/>
    <w:rsid w:val="00294A52"/>
    <w:rsid w:val="002959DB"/>
    <w:rsid w:val="00296291"/>
    <w:rsid w:val="002970BD"/>
    <w:rsid w:val="00297211"/>
    <w:rsid w:val="00297770"/>
    <w:rsid w:val="00297973"/>
    <w:rsid w:val="00297BB1"/>
    <w:rsid w:val="002A01AA"/>
    <w:rsid w:val="002A0C1C"/>
    <w:rsid w:val="002A1105"/>
    <w:rsid w:val="002A22EC"/>
    <w:rsid w:val="002A236E"/>
    <w:rsid w:val="002A35ED"/>
    <w:rsid w:val="002A3E21"/>
    <w:rsid w:val="002A4089"/>
    <w:rsid w:val="002A42CC"/>
    <w:rsid w:val="002A4658"/>
    <w:rsid w:val="002A53A8"/>
    <w:rsid w:val="002A5409"/>
    <w:rsid w:val="002A5918"/>
    <w:rsid w:val="002A5CAF"/>
    <w:rsid w:val="002A7F31"/>
    <w:rsid w:val="002B0A1E"/>
    <w:rsid w:val="002B104C"/>
    <w:rsid w:val="002B1063"/>
    <w:rsid w:val="002B2B63"/>
    <w:rsid w:val="002B328C"/>
    <w:rsid w:val="002B3786"/>
    <w:rsid w:val="002B38A4"/>
    <w:rsid w:val="002B3E34"/>
    <w:rsid w:val="002B433D"/>
    <w:rsid w:val="002B4472"/>
    <w:rsid w:val="002B4565"/>
    <w:rsid w:val="002B50BA"/>
    <w:rsid w:val="002B5341"/>
    <w:rsid w:val="002B65FA"/>
    <w:rsid w:val="002B69AA"/>
    <w:rsid w:val="002B6C17"/>
    <w:rsid w:val="002B6C7B"/>
    <w:rsid w:val="002B7575"/>
    <w:rsid w:val="002B7FB8"/>
    <w:rsid w:val="002C0E85"/>
    <w:rsid w:val="002C17E9"/>
    <w:rsid w:val="002C1A0C"/>
    <w:rsid w:val="002C33B5"/>
    <w:rsid w:val="002C39A5"/>
    <w:rsid w:val="002C432D"/>
    <w:rsid w:val="002C44D7"/>
    <w:rsid w:val="002C4508"/>
    <w:rsid w:val="002C49F6"/>
    <w:rsid w:val="002C550A"/>
    <w:rsid w:val="002C5D09"/>
    <w:rsid w:val="002C64FE"/>
    <w:rsid w:val="002C6AD2"/>
    <w:rsid w:val="002C6E44"/>
    <w:rsid w:val="002C6E7E"/>
    <w:rsid w:val="002C703A"/>
    <w:rsid w:val="002C72C2"/>
    <w:rsid w:val="002D1238"/>
    <w:rsid w:val="002D3531"/>
    <w:rsid w:val="002D3EF4"/>
    <w:rsid w:val="002D4593"/>
    <w:rsid w:val="002D5201"/>
    <w:rsid w:val="002D5CFC"/>
    <w:rsid w:val="002D6504"/>
    <w:rsid w:val="002D68A3"/>
    <w:rsid w:val="002D6ED0"/>
    <w:rsid w:val="002D729D"/>
    <w:rsid w:val="002D798F"/>
    <w:rsid w:val="002D7992"/>
    <w:rsid w:val="002D7D8F"/>
    <w:rsid w:val="002D7F40"/>
    <w:rsid w:val="002E01C2"/>
    <w:rsid w:val="002E045B"/>
    <w:rsid w:val="002E06E9"/>
    <w:rsid w:val="002E49C9"/>
    <w:rsid w:val="002E49DF"/>
    <w:rsid w:val="002E534B"/>
    <w:rsid w:val="002E562C"/>
    <w:rsid w:val="002E56A9"/>
    <w:rsid w:val="002E6237"/>
    <w:rsid w:val="002E7842"/>
    <w:rsid w:val="002E7C9E"/>
    <w:rsid w:val="002F0456"/>
    <w:rsid w:val="002F0F16"/>
    <w:rsid w:val="002F176D"/>
    <w:rsid w:val="002F361D"/>
    <w:rsid w:val="002F4344"/>
    <w:rsid w:val="002F4CC6"/>
    <w:rsid w:val="002F5A7A"/>
    <w:rsid w:val="00300B9D"/>
    <w:rsid w:val="00300F63"/>
    <w:rsid w:val="00303337"/>
    <w:rsid w:val="00303BCB"/>
    <w:rsid w:val="00303E77"/>
    <w:rsid w:val="00304AB0"/>
    <w:rsid w:val="00304D0B"/>
    <w:rsid w:val="00305F22"/>
    <w:rsid w:val="00305FFD"/>
    <w:rsid w:val="003069CD"/>
    <w:rsid w:val="00307D31"/>
    <w:rsid w:val="00310101"/>
    <w:rsid w:val="00311172"/>
    <w:rsid w:val="00311C0F"/>
    <w:rsid w:val="00311FBE"/>
    <w:rsid w:val="003128EA"/>
    <w:rsid w:val="00313BFB"/>
    <w:rsid w:val="0031500C"/>
    <w:rsid w:val="003150E6"/>
    <w:rsid w:val="0031512C"/>
    <w:rsid w:val="00315189"/>
    <w:rsid w:val="0031658C"/>
    <w:rsid w:val="0031763F"/>
    <w:rsid w:val="00317825"/>
    <w:rsid w:val="00317EFF"/>
    <w:rsid w:val="0032068C"/>
    <w:rsid w:val="00320E15"/>
    <w:rsid w:val="00320F6F"/>
    <w:rsid w:val="0032119D"/>
    <w:rsid w:val="00321B25"/>
    <w:rsid w:val="00321C03"/>
    <w:rsid w:val="00322825"/>
    <w:rsid w:val="003229A6"/>
    <w:rsid w:val="00322A75"/>
    <w:rsid w:val="00322A95"/>
    <w:rsid w:val="00324B1E"/>
    <w:rsid w:val="0032522B"/>
    <w:rsid w:val="0032578B"/>
    <w:rsid w:val="003259E8"/>
    <w:rsid w:val="00325B87"/>
    <w:rsid w:val="00325F04"/>
    <w:rsid w:val="00325FA3"/>
    <w:rsid w:val="00326B27"/>
    <w:rsid w:val="00326EF9"/>
    <w:rsid w:val="0033135B"/>
    <w:rsid w:val="003318B3"/>
    <w:rsid w:val="00331A81"/>
    <w:rsid w:val="003324B0"/>
    <w:rsid w:val="00332929"/>
    <w:rsid w:val="003331DE"/>
    <w:rsid w:val="00334664"/>
    <w:rsid w:val="00334BFA"/>
    <w:rsid w:val="00334F48"/>
    <w:rsid w:val="00335168"/>
    <w:rsid w:val="00337D4E"/>
    <w:rsid w:val="00340382"/>
    <w:rsid w:val="003425D2"/>
    <w:rsid w:val="003427A2"/>
    <w:rsid w:val="003429A4"/>
    <w:rsid w:val="003430BD"/>
    <w:rsid w:val="0034467D"/>
    <w:rsid w:val="0034554D"/>
    <w:rsid w:val="0034664C"/>
    <w:rsid w:val="00350D0E"/>
    <w:rsid w:val="00350F53"/>
    <w:rsid w:val="0035263C"/>
    <w:rsid w:val="0035273A"/>
    <w:rsid w:val="0035275D"/>
    <w:rsid w:val="00354363"/>
    <w:rsid w:val="00354F51"/>
    <w:rsid w:val="0035537B"/>
    <w:rsid w:val="0035572B"/>
    <w:rsid w:val="00355E63"/>
    <w:rsid w:val="0035642E"/>
    <w:rsid w:val="00356F5F"/>
    <w:rsid w:val="003575E4"/>
    <w:rsid w:val="003579D2"/>
    <w:rsid w:val="0036044D"/>
    <w:rsid w:val="003615AA"/>
    <w:rsid w:val="00361C94"/>
    <w:rsid w:val="0036241A"/>
    <w:rsid w:val="00362C21"/>
    <w:rsid w:val="00362E1E"/>
    <w:rsid w:val="00363450"/>
    <w:rsid w:val="0036359F"/>
    <w:rsid w:val="00363C43"/>
    <w:rsid w:val="00363E38"/>
    <w:rsid w:val="003645EC"/>
    <w:rsid w:val="003645F6"/>
    <w:rsid w:val="00364B5D"/>
    <w:rsid w:val="00365418"/>
    <w:rsid w:val="00365875"/>
    <w:rsid w:val="003665CD"/>
    <w:rsid w:val="00366757"/>
    <w:rsid w:val="00367282"/>
    <w:rsid w:val="003713A6"/>
    <w:rsid w:val="0037148B"/>
    <w:rsid w:val="00373405"/>
    <w:rsid w:val="003735F4"/>
    <w:rsid w:val="00373DAE"/>
    <w:rsid w:val="003743CF"/>
    <w:rsid w:val="00374663"/>
    <w:rsid w:val="003752B4"/>
    <w:rsid w:val="003755C3"/>
    <w:rsid w:val="0037613D"/>
    <w:rsid w:val="0037654B"/>
    <w:rsid w:val="00381218"/>
    <w:rsid w:val="00381650"/>
    <w:rsid w:val="00382536"/>
    <w:rsid w:val="00382569"/>
    <w:rsid w:val="003826EB"/>
    <w:rsid w:val="00384650"/>
    <w:rsid w:val="003863EF"/>
    <w:rsid w:val="0038699A"/>
    <w:rsid w:val="003874AD"/>
    <w:rsid w:val="003875C1"/>
    <w:rsid w:val="00387C52"/>
    <w:rsid w:val="00390269"/>
    <w:rsid w:val="003913A0"/>
    <w:rsid w:val="0039151F"/>
    <w:rsid w:val="00392FFE"/>
    <w:rsid w:val="003931DC"/>
    <w:rsid w:val="00393B60"/>
    <w:rsid w:val="00393CBE"/>
    <w:rsid w:val="00393F1B"/>
    <w:rsid w:val="00394EFA"/>
    <w:rsid w:val="003958A4"/>
    <w:rsid w:val="00396FEF"/>
    <w:rsid w:val="003978E8"/>
    <w:rsid w:val="00397AC0"/>
    <w:rsid w:val="00397C71"/>
    <w:rsid w:val="003A1841"/>
    <w:rsid w:val="003A3204"/>
    <w:rsid w:val="003A3894"/>
    <w:rsid w:val="003A3D1D"/>
    <w:rsid w:val="003A3EFB"/>
    <w:rsid w:val="003A3FF3"/>
    <w:rsid w:val="003A4327"/>
    <w:rsid w:val="003A4691"/>
    <w:rsid w:val="003A4E21"/>
    <w:rsid w:val="003A553A"/>
    <w:rsid w:val="003A6AF7"/>
    <w:rsid w:val="003A6FAC"/>
    <w:rsid w:val="003A7078"/>
    <w:rsid w:val="003B1B43"/>
    <w:rsid w:val="003B28DC"/>
    <w:rsid w:val="003B2BDB"/>
    <w:rsid w:val="003B4307"/>
    <w:rsid w:val="003B4AD7"/>
    <w:rsid w:val="003B702B"/>
    <w:rsid w:val="003B7265"/>
    <w:rsid w:val="003C12BE"/>
    <w:rsid w:val="003C1A60"/>
    <w:rsid w:val="003C1DC7"/>
    <w:rsid w:val="003C3766"/>
    <w:rsid w:val="003C3B74"/>
    <w:rsid w:val="003C4E47"/>
    <w:rsid w:val="003C54A3"/>
    <w:rsid w:val="003C6424"/>
    <w:rsid w:val="003C726B"/>
    <w:rsid w:val="003C7396"/>
    <w:rsid w:val="003D0157"/>
    <w:rsid w:val="003D03B2"/>
    <w:rsid w:val="003D0EC2"/>
    <w:rsid w:val="003D14F8"/>
    <w:rsid w:val="003D1666"/>
    <w:rsid w:val="003D1922"/>
    <w:rsid w:val="003D2083"/>
    <w:rsid w:val="003D3302"/>
    <w:rsid w:val="003D3464"/>
    <w:rsid w:val="003D34FA"/>
    <w:rsid w:val="003D402B"/>
    <w:rsid w:val="003D46DA"/>
    <w:rsid w:val="003D4A8F"/>
    <w:rsid w:val="003D53B3"/>
    <w:rsid w:val="003D5AA8"/>
    <w:rsid w:val="003D6150"/>
    <w:rsid w:val="003D7FDF"/>
    <w:rsid w:val="003E05E4"/>
    <w:rsid w:val="003E0950"/>
    <w:rsid w:val="003E0DEB"/>
    <w:rsid w:val="003E1401"/>
    <w:rsid w:val="003E3081"/>
    <w:rsid w:val="003E45EA"/>
    <w:rsid w:val="003E49AD"/>
    <w:rsid w:val="003E551C"/>
    <w:rsid w:val="003E6020"/>
    <w:rsid w:val="003E680C"/>
    <w:rsid w:val="003E6D32"/>
    <w:rsid w:val="003E72E8"/>
    <w:rsid w:val="003E7B01"/>
    <w:rsid w:val="003F04E2"/>
    <w:rsid w:val="003F0BAF"/>
    <w:rsid w:val="003F132B"/>
    <w:rsid w:val="003F2D37"/>
    <w:rsid w:val="003F4381"/>
    <w:rsid w:val="003F482B"/>
    <w:rsid w:val="003F4855"/>
    <w:rsid w:val="003F4D9F"/>
    <w:rsid w:val="003F513E"/>
    <w:rsid w:val="003F6109"/>
    <w:rsid w:val="003F7B63"/>
    <w:rsid w:val="00400A70"/>
    <w:rsid w:val="00400A7F"/>
    <w:rsid w:val="0040124A"/>
    <w:rsid w:val="004026F2"/>
    <w:rsid w:val="00402764"/>
    <w:rsid w:val="004028C4"/>
    <w:rsid w:val="00403002"/>
    <w:rsid w:val="0040322F"/>
    <w:rsid w:val="0040370E"/>
    <w:rsid w:val="004042AB"/>
    <w:rsid w:val="00404769"/>
    <w:rsid w:val="00404AE8"/>
    <w:rsid w:val="00405492"/>
    <w:rsid w:val="00406025"/>
    <w:rsid w:val="004060A9"/>
    <w:rsid w:val="00410100"/>
    <w:rsid w:val="00410392"/>
    <w:rsid w:val="0041047D"/>
    <w:rsid w:val="004125D3"/>
    <w:rsid w:val="004126B9"/>
    <w:rsid w:val="00413846"/>
    <w:rsid w:val="0041689A"/>
    <w:rsid w:val="00417E12"/>
    <w:rsid w:val="00422847"/>
    <w:rsid w:val="00422C6F"/>
    <w:rsid w:val="00423631"/>
    <w:rsid w:val="0042392B"/>
    <w:rsid w:val="00423A0A"/>
    <w:rsid w:val="00424444"/>
    <w:rsid w:val="0042643F"/>
    <w:rsid w:val="00426644"/>
    <w:rsid w:val="00426783"/>
    <w:rsid w:val="004269F4"/>
    <w:rsid w:val="0042747F"/>
    <w:rsid w:val="004275CD"/>
    <w:rsid w:val="0042767C"/>
    <w:rsid w:val="0043000E"/>
    <w:rsid w:val="0043014B"/>
    <w:rsid w:val="004304F3"/>
    <w:rsid w:val="00431304"/>
    <w:rsid w:val="00431BE1"/>
    <w:rsid w:val="0043311F"/>
    <w:rsid w:val="00434215"/>
    <w:rsid w:val="004348D9"/>
    <w:rsid w:val="004352C7"/>
    <w:rsid w:val="004358DB"/>
    <w:rsid w:val="004363E8"/>
    <w:rsid w:val="00436826"/>
    <w:rsid w:val="00436BAB"/>
    <w:rsid w:val="00440E05"/>
    <w:rsid w:val="00441D9A"/>
    <w:rsid w:val="00442D54"/>
    <w:rsid w:val="0044509C"/>
    <w:rsid w:val="00445304"/>
    <w:rsid w:val="00445969"/>
    <w:rsid w:val="0044611F"/>
    <w:rsid w:val="004464AD"/>
    <w:rsid w:val="00446D65"/>
    <w:rsid w:val="004471F2"/>
    <w:rsid w:val="00447565"/>
    <w:rsid w:val="004475D8"/>
    <w:rsid w:val="00447D18"/>
    <w:rsid w:val="004503F0"/>
    <w:rsid w:val="004505BB"/>
    <w:rsid w:val="00452B57"/>
    <w:rsid w:val="00453567"/>
    <w:rsid w:val="004535CA"/>
    <w:rsid w:val="004540EC"/>
    <w:rsid w:val="004553BA"/>
    <w:rsid w:val="00455E28"/>
    <w:rsid w:val="00456F19"/>
    <w:rsid w:val="00456F8A"/>
    <w:rsid w:val="00457815"/>
    <w:rsid w:val="00457A76"/>
    <w:rsid w:val="00461313"/>
    <w:rsid w:val="00461DB5"/>
    <w:rsid w:val="004620BB"/>
    <w:rsid w:val="0046236A"/>
    <w:rsid w:val="00462607"/>
    <w:rsid w:val="004632DE"/>
    <w:rsid w:val="004633FE"/>
    <w:rsid w:val="00463C15"/>
    <w:rsid w:val="00463DF9"/>
    <w:rsid w:val="00464612"/>
    <w:rsid w:val="00464A11"/>
    <w:rsid w:val="00464B33"/>
    <w:rsid w:val="004664E4"/>
    <w:rsid w:val="00466D06"/>
    <w:rsid w:val="00466E0D"/>
    <w:rsid w:val="004670AA"/>
    <w:rsid w:val="00470390"/>
    <w:rsid w:val="004703B7"/>
    <w:rsid w:val="00470694"/>
    <w:rsid w:val="004713D9"/>
    <w:rsid w:val="0047198B"/>
    <w:rsid w:val="004719FA"/>
    <w:rsid w:val="00472317"/>
    <w:rsid w:val="00473170"/>
    <w:rsid w:val="004736F7"/>
    <w:rsid w:val="00474215"/>
    <w:rsid w:val="0047473D"/>
    <w:rsid w:val="00475270"/>
    <w:rsid w:val="004752FE"/>
    <w:rsid w:val="004754F8"/>
    <w:rsid w:val="004757BA"/>
    <w:rsid w:val="004779FC"/>
    <w:rsid w:val="004827B3"/>
    <w:rsid w:val="00483BCA"/>
    <w:rsid w:val="00483D8C"/>
    <w:rsid w:val="00485500"/>
    <w:rsid w:val="00485C13"/>
    <w:rsid w:val="0048620B"/>
    <w:rsid w:val="00490031"/>
    <w:rsid w:val="00492593"/>
    <w:rsid w:val="0049350C"/>
    <w:rsid w:val="00493FA3"/>
    <w:rsid w:val="00494530"/>
    <w:rsid w:val="00494F7F"/>
    <w:rsid w:val="00496475"/>
    <w:rsid w:val="00496F1B"/>
    <w:rsid w:val="00496FFF"/>
    <w:rsid w:val="004977D0"/>
    <w:rsid w:val="004A0285"/>
    <w:rsid w:val="004A04E1"/>
    <w:rsid w:val="004A0886"/>
    <w:rsid w:val="004A0C82"/>
    <w:rsid w:val="004A11E8"/>
    <w:rsid w:val="004A36B9"/>
    <w:rsid w:val="004A3C51"/>
    <w:rsid w:val="004A50D8"/>
    <w:rsid w:val="004A6169"/>
    <w:rsid w:val="004A6A6A"/>
    <w:rsid w:val="004A7550"/>
    <w:rsid w:val="004B02DC"/>
    <w:rsid w:val="004B158A"/>
    <w:rsid w:val="004B1DA2"/>
    <w:rsid w:val="004B3CC6"/>
    <w:rsid w:val="004B5457"/>
    <w:rsid w:val="004B573B"/>
    <w:rsid w:val="004B6386"/>
    <w:rsid w:val="004B6A66"/>
    <w:rsid w:val="004B796C"/>
    <w:rsid w:val="004B7BFB"/>
    <w:rsid w:val="004C0594"/>
    <w:rsid w:val="004C06CF"/>
    <w:rsid w:val="004C1A4A"/>
    <w:rsid w:val="004C1C51"/>
    <w:rsid w:val="004C22BC"/>
    <w:rsid w:val="004C2EF5"/>
    <w:rsid w:val="004C3219"/>
    <w:rsid w:val="004C4301"/>
    <w:rsid w:val="004C4C53"/>
    <w:rsid w:val="004C4D7B"/>
    <w:rsid w:val="004C4E80"/>
    <w:rsid w:val="004C5078"/>
    <w:rsid w:val="004C583C"/>
    <w:rsid w:val="004C644E"/>
    <w:rsid w:val="004C6A71"/>
    <w:rsid w:val="004C6BA4"/>
    <w:rsid w:val="004C7138"/>
    <w:rsid w:val="004D12F2"/>
    <w:rsid w:val="004D18C1"/>
    <w:rsid w:val="004D1C10"/>
    <w:rsid w:val="004D2FDC"/>
    <w:rsid w:val="004D33A3"/>
    <w:rsid w:val="004D5432"/>
    <w:rsid w:val="004D6364"/>
    <w:rsid w:val="004D7087"/>
    <w:rsid w:val="004E0285"/>
    <w:rsid w:val="004E2AD8"/>
    <w:rsid w:val="004E2F17"/>
    <w:rsid w:val="004E4DF0"/>
    <w:rsid w:val="004E5718"/>
    <w:rsid w:val="004E7F76"/>
    <w:rsid w:val="004F0B3F"/>
    <w:rsid w:val="004F1071"/>
    <w:rsid w:val="004F109A"/>
    <w:rsid w:val="004F1245"/>
    <w:rsid w:val="004F1D4D"/>
    <w:rsid w:val="004F3616"/>
    <w:rsid w:val="004F3755"/>
    <w:rsid w:val="004F3805"/>
    <w:rsid w:val="004F3A37"/>
    <w:rsid w:val="004F4C80"/>
    <w:rsid w:val="004F4CA2"/>
    <w:rsid w:val="004F4DF8"/>
    <w:rsid w:val="004F4EA9"/>
    <w:rsid w:val="004F5B56"/>
    <w:rsid w:val="004F640F"/>
    <w:rsid w:val="00502B49"/>
    <w:rsid w:val="0050415F"/>
    <w:rsid w:val="00504B40"/>
    <w:rsid w:val="00505D1E"/>
    <w:rsid w:val="00505F3E"/>
    <w:rsid w:val="00507339"/>
    <w:rsid w:val="005078BF"/>
    <w:rsid w:val="00512C76"/>
    <w:rsid w:val="00512D8F"/>
    <w:rsid w:val="0051492E"/>
    <w:rsid w:val="00514C65"/>
    <w:rsid w:val="00515543"/>
    <w:rsid w:val="005155D9"/>
    <w:rsid w:val="00515A2E"/>
    <w:rsid w:val="00515B6B"/>
    <w:rsid w:val="00515FE6"/>
    <w:rsid w:val="0051623C"/>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80E"/>
    <w:rsid w:val="00527F3C"/>
    <w:rsid w:val="00530AFF"/>
    <w:rsid w:val="00530C9C"/>
    <w:rsid w:val="00531D09"/>
    <w:rsid w:val="0053277E"/>
    <w:rsid w:val="00533702"/>
    <w:rsid w:val="00534271"/>
    <w:rsid w:val="00535D8A"/>
    <w:rsid w:val="00536B25"/>
    <w:rsid w:val="00536D1E"/>
    <w:rsid w:val="005371BE"/>
    <w:rsid w:val="005374FE"/>
    <w:rsid w:val="005400B6"/>
    <w:rsid w:val="005407E6"/>
    <w:rsid w:val="00540ADF"/>
    <w:rsid w:val="00541C02"/>
    <w:rsid w:val="00541E3C"/>
    <w:rsid w:val="005420A4"/>
    <w:rsid w:val="005426BB"/>
    <w:rsid w:val="00543006"/>
    <w:rsid w:val="005434A8"/>
    <w:rsid w:val="005435E1"/>
    <w:rsid w:val="00543F0A"/>
    <w:rsid w:val="005440FD"/>
    <w:rsid w:val="00544FBF"/>
    <w:rsid w:val="00545170"/>
    <w:rsid w:val="005451B9"/>
    <w:rsid w:val="0054525D"/>
    <w:rsid w:val="00545761"/>
    <w:rsid w:val="00547ABB"/>
    <w:rsid w:val="005503C4"/>
    <w:rsid w:val="00550C72"/>
    <w:rsid w:val="00550DB5"/>
    <w:rsid w:val="0055108C"/>
    <w:rsid w:val="00551706"/>
    <w:rsid w:val="005535BC"/>
    <w:rsid w:val="00554CAC"/>
    <w:rsid w:val="005576BC"/>
    <w:rsid w:val="00557CAC"/>
    <w:rsid w:val="00557DDB"/>
    <w:rsid w:val="005603C7"/>
    <w:rsid w:val="005604AE"/>
    <w:rsid w:val="005604F7"/>
    <w:rsid w:val="00560A68"/>
    <w:rsid w:val="0056110D"/>
    <w:rsid w:val="005617AE"/>
    <w:rsid w:val="0056183B"/>
    <w:rsid w:val="00561880"/>
    <w:rsid w:val="005620C6"/>
    <w:rsid w:val="00562B82"/>
    <w:rsid w:val="00563C96"/>
    <w:rsid w:val="00564718"/>
    <w:rsid w:val="00564E77"/>
    <w:rsid w:val="00565665"/>
    <w:rsid w:val="00566219"/>
    <w:rsid w:val="0056676B"/>
    <w:rsid w:val="005702D2"/>
    <w:rsid w:val="005705CD"/>
    <w:rsid w:val="00570ED2"/>
    <w:rsid w:val="00572F8C"/>
    <w:rsid w:val="00574B48"/>
    <w:rsid w:val="00576648"/>
    <w:rsid w:val="0058050D"/>
    <w:rsid w:val="00581E97"/>
    <w:rsid w:val="005823FB"/>
    <w:rsid w:val="0058373F"/>
    <w:rsid w:val="005838C7"/>
    <w:rsid w:val="00583D37"/>
    <w:rsid w:val="00585663"/>
    <w:rsid w:val="00585E99"/>
    <w:rsid w:val="00586785"/>
    <w:rsid w:val="00586DB6"/>
    <w:rsid w:val="00587855"/>
    <w:rsid w:val="005878EF"/>
    <w:rsid w:val="00587A8A"/>
    <w:rsid w:val="00590774"/>
    <w:rsid w:val="005912CE"/>
    <w:rsid w:val="00591B76"/>
    <w:rsid w:val="0059325D"/>
    <w:rsid w:val="005944CE"/>
    <w:rsid w:val="0059484C"/>
    <w:rsid w:val="0059537A"/>
    <w:rsid w:val="00595807"/>
    <w:rsid w:val="00597876"/>
    <w:rsid w:val="005A0748"/>
    <w:rsid w:val="005A0EF1"/>
    <w:rsid w:val="005A2F5C"/>
    <w:rsid w:val="005A3B53"/>
    <w:rsid w:val="005A4019"/>
    <w:rsid w:val="005A404D"/>
    <w:rsid w:val="005A4125"/>
    <w:rsid w:val="005A56EC"/>
    <w:rsid w:val="005A63F7"/>
    <w:rsid w:val="005A71FA"/>
    <w:rsid w:val="005A7A01"/>
    <w:rsid w:val="005B04C4"/>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A13"/>
    <w:rsid w:val="005D01D4"/>
    <w:rsid w:val="005D11A9"/>
    <w:rsid w:val="005D12BE"/>
    <w:rsid w:val="005D160F"/>
    <w:rsid w:val="005D2DD2"/>
    <w:rsid w:val="005D3C24"/>
    <w:rsid w:val="005D63CD"/>
    <w:rsid w:val="005D69AA"/>
    <w:rsid w:val="005D77C8"/>
    <w:rsid w:val="005D7E12"/>
    <w:rsid w:val="005E1F7F"/>
    <w:rsid w:val="005E2390"/>
    <w:rsid w:val="005E2A0C"/>
    <w:rsid w:val="005E2E79"/>
    <w:rsid w:val="005E2EE0"/>
    <w:rsid w:val="005E333F"/>
    <w:rsid w:val="005E4C78"/>
    <w:rsid w:val="005E50A6"/>
    <w:rsid w:val="005E5352"/>
    <w:rsid w:val="005E6175"/>
    <w:rsid w:val="005E66AE"/>
    <w:rsid w:val="005E77E0"/>
    <w:rsid w:val="005E7833"/>
    <w:rsid w:val="005E7DB6"/>
    <w:rsid w:val="005F013F"/>
    <w:rsid w:val="005F14F6"/>
    <w:rsid w:val="005F1BCD"/>
    <w:rsid w:val="005F4614"/>
    <w:rsid w:val="005F4686"/>
    <w:rsid w:val="005F530A"/>
    <w:rsid w:val="005F5A9E"/>
    <w:rsid w:val="005F657F"/>
    <w:rsid w:val="006000CF"/>
    <w:rsid w:val="006001DF"/>
    <w:rsid w:val="00600242"/>
    <w:rsid w:val="00600C04"/>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FA3"/>
    <w:rsid w:val="006121C4"/>
    <w:rsid w:val="00612439"/>
    <w:rsid w:val="0061309D"/>
    <w:rsid w:val="006137DB"/>
    <w:rsid w:val="006170F2"/>
    <w:rsid w:val="00617369"/>
    <w:rsid w:val="006173C8"/>
    <w:rsid w:val="00621BBB"/>
    <w:rsid w:val="00622FB0"/>
    <w:rsid w:val="00623B78"/>
    <w:rsid w:val="00623F0D"/>
    <w:rsid w:val="00623F13"/>
    <w:rsid w:val="00624B45"/>
    <w:rsid w:val="00625094"/>
    <w:rsid w:val="00625870"/>
    <w:rsid w:val="00625C61"/>
    <w:rsid w:val="00626BB2"/>
    <w:rsid w:val="00627939"/>
    <w:rsid w:val="00631370"/>
    <w:rsid w:val="00631B08"/>
    <w:rsid w:val="00632052"/>
    <w:rsid w:val="006323FF"/>
    <w:rsid w:val="00632AEE"/>
    <w:rsid w:val="00632C4C"/>
    <w:rsid w:val="00633E94"/>
    <w:rsid w:val="006349CB"/>
    <w:rsid w:val="0063542D"/>
    <w:rsid w:val="00640089"/>
    <w:rsid w:val="00640279"/>
    <w:rsid w:val="00640D12"/>
    <w:rsid w:val="006411B1"/>
    <w:rsid w:val="006412B3"/>
    <w:rsid w:val="00643129"/>
    <w:rsid w:val="0064478A"/>
    <w:rsid w:val="00644D1D"/>
    <w:rsid w:val="00645608"/>
    <w:rsid w:val="00646580"/>
    <w:rsid w:val="00647AD0"/>
    <w:rsid w:val="00650142"/>
    <w:rsid w:val="006503E5"/>
    <w:rsid w:val="00651592"/>
    <w:rsid w:val="00651957"/>
    <w:rsid w:val="006540B8"/>
    <w:rsid w:val="006548A5"/>
    <w:rsid w:val="006549DD"/>
    <w:rsid w:val="00654EF3"/>
    <w:rsid w:val="00656E21"/>
    <w:rsid w:val="00657074"/>
    <w:rsid w:val="00660610"/>
    <w:rsid w:val="006613F4"/>
    <w:rsid w:val="0066205F"/>
    <w:rsid w:val="00662D04"/>
    <w:rsid w:val="00663090"/>
    <w:rsid w:val="00663682"/>
    <w:rsid w:val="006639CB"/>
    <w:rsid w:val="006644F1"/>
    <w:rsid w:val="00664997"/>
    <w:rsid w:val="0066526B"/>
    <w:rsid w:val="00665903"/>
    <w:rsid w:val="0066605B"/>
    <w:rsid w:val="00670560"/>
    <w:rsid w:val="0067127F"/>
    <w:rsid w:val="0067166A"/>
    <w:rsid w:val="00671AAC"/>
    <w:rsid w:val="00671B16"/>
    <w:rsid w:val="00672386"/>
    <w:rsid w:val="0067281D"/>
    <w:rsid w:val="00673388"/>
    <w:rsid w:val="006741CA"/>
    <w:rsid w:val="00675608"/>
    <w:rsid w:val="00675848"/>
    <w:rsid w:val="00675CA1"/>
    <w:rsid w:val="0067675C"/>
    <w:rsid w:val="006770D9"/>
    <w:rsid w:val="00680444"/>
    <w:rsid w:val="00681EC0"/>
    <w:rsid w:val="006822A3"/>
    <w:rsid w:val="00682E6D"/>
    <w:rsid w:val="00683E80"/>
    <w:rsid w:val="006845A5"/>
    <w:rsid w:val="00685D6C"/>
    <w:rsid w:val="00686B8E"/>
    <w:rsid w:val="00687723"/>
    <w:rsid w:val="00690A37"/>
    <w:rsid w:val="00691BB9"/>
    <w:rsid w:val="0069340B"/>
    <w:rsid w:val="00695201"/>
    <w:rsid w:val="006952F6"/>
    <w:rsid w:val="00695E8A"/>
    <w:rsid w:val="006961B6"/>
    <w:rsid w:val="0069780F"/>
    <w:rsid w:val="00697DA5"/>
    <w:rsid w:val="00697E8B"/>
    <w:rsid w:val="006A0245"/>
    <w:rsid w:val="006A03FE"/>
    <w:rsid w:val="006A1523"/>
    <w:rsid w:val="006A1F76"/>
    <w:rsid w:val="006A26AC"/>
    <w:rsid w:val="006A30ED"/>
    <w:rsid w:val="006A3A4A"/>
    <w:rsid w:val="006A3CD2"/>
    <w:rsid w:val="006A52D8"/>
    <w:rsid w:val="006A5F9A"/>
    <w:rsid w:val="006A68F5"/>
    <w:rsid w:val="006A797D"/>
    <w:rsid w:val="006B04F0"/>
    <w:rsid w:val="006B14FB"/>
    <w:rsid w:val="006B1A0A"/>
    <w:rsid w:val="006B22BD"/>
    <w:rsid w:val="006B27E7"/>
    <w:rsid w:val="006B27E9"/>
    <w:rsid w:val="006B315F"/>
    <w:rsid w:val="006B445B"/>
    <w:rsid w:val="006B4ECB"/>
    <w:rsid w:val="006B569C"/>
    <w:rsid w:val="006B5D61"/>
    <w:rsid w:val="006B7095"/>
    <w:rsid w:val="006B715D"/>
    <w:rsid w:val="006C06ED"/>
    <w:rsid w:val="006C1C1F"/>
    <w:rsid w:val="006C245F"/>
    <w:rsid w:val="006C24E6"/>
    <w:rsid w:val="006C29A5"/>
    <w:rsid w:val="006C3618"/>
    <w:rsid w:val="006C38B8"/>
    <w:rsid w:val="006C3955"/>
    <w:rsid w:val="006C4455"/>
    <w:rsid w:val="006C512A"/>
    <w:rsid w:val="006C717B"/>
    <w:rsid w:val="006D09EA"/>
    <w:rsid w:val="006D14D2"/>
    <w:rsid w:val="006D18BA"/>
    <w:rsid w:val="006D288F"/>
    <w:rsid w:val="006D40DE"/>
    <w:rsid w:val="006D4E66"/>
    <w:rsid w:val="006D59DE"/>
    <w:rsid w:val="006D6476"/>
    <w:rsid w:val="006D6997"/>
    <w:rsid w:val="006D6A10"/>
    <w:rsid w:val="006E107D"/>
    <w:rsid w:val="006E15E9"/>
    <w:rsid w:val="006E21FD"/>
    <w:rsid w:val="006E2954"/>
    <w:rsid w:val="006E2CC8"/>
    <w:rsid w:val="006E34A1"/>
    <w:rsid w:val="006E3B0A"/>
    <w:rsid w:val="006E51FB"/>
    <w:rsid w:val="006E54DF"/>
    <w:rsid w:val="006E5C52"/>
    <w:rsid w:val="006E5D7E"/>
    <w:rsid w:val="006F1949"/>
    <w:rsid w:val="006F4491"/>
    <w:rsid w:val="006F6C99"/>
    <w:rsid w:val="006F6CA0"/>
    <w:rsid w:val="006F7BAF"/>
    <w:rsid w:val="00701A70"/>
    <w:rsid w:val="00702406"/>
    <w:rsid w:val="00702568"/>
    <w:rsid w:val="00703275"/>
    <w:rsid w:val="007050B4"/>
    <w:rsid w:val="00705498"/>
    <w:rsid w:val="00705A05"/>
    <w:rsid w:val="007072B9"/>
    <w:rsid w:val="007072BB"/>
    <w:rsid w:val="00710AF3"/>
    <w:rsid w:val="00711EB5"/>
    <w:rsid w:val="007144D7"/>
    <w:rsid w:val="007159F1"/>
    <w:rsid w:val="007166E9"/>
    <w:rsid w:val="00716DD8"/>
    <w:rsid w:val="007178DD"/>
    <w:rsid w:val="00717B7F"/>
    <w:rsid w:val="00717F53"/>
    <w:rsid w:val="00720066"/>
    <w:rsid w:val="0072015D"/>
    <w:rsid w:val="0072060A"/>
    <w:rsid w:val="0072071B"/>
    <w:rsid w:val="00720831"/>
    <w:rsid w:val="007211AA"/>
    <w:rsid w:val="00721525"/>
    <w:rsid w:val="00721894"/>
    <w:rsid w:val="00723116"/>
    <w:rsid w:val="00724D7A"/>
    <w:rsid w:val="00724FD0"/>
    <w:rsid w:val="00725C27"/>
    <w:rsid w:val="007267C7"/>
    <w:rsid w:val="007269FF"/>
    <w:rsid w:val="00727CDA"/>
    <w:rsid w:val="007306D1"/>
    <w:rsid w:val="00731F09"/>
    <w:rsid w:val="00732A42"/>
    <w:rsid w:val="00734975"/>
    <w:rsid w:val="00735167"/>
    <w:rsid w:val="00735644"/>
    <w:rsid w:val="007362C4"/>
    <w:rsid w:val="00736308"/>
    <w:rsid w:val="00736D61"/>
    <w:rsid w:val="00736E75"/>
    <w:rsid w:val="00740F29"/>
    <w:rsid w:val="0074175F"/>
    <w:rsid w:val="00742831"/>
    <w:rsid w:val="00742F72"/>
    <w:rsid w:val="0074364F"/>
    <w:rsid w:val="00743BB0"/>
    <w:rsid w:val="007440D1"/>
    <w:rsid w:val="0074599F"/>
    <w:rsid w:val="007464D8"/>
    <w:rsid w:val="0074797A"/>
    <w:rsid w:val="00747A6D"/>
    <w:rsid w:val="007500D4"/>
    <w:rsid w:val="00750FB8"/>
    <w:rsid w:val="00751AF9"/>
    <w:rsid w:val="007525EF"/>
    <w:rsid w:val="00752912"/>
    <w:rsid w:val="007529A3"/>
    <w:rsid w:val="00753987"/>
    <w:rsid w:val="00753CF6"/>
    <w:rsid w:val="007540CD"/>
    <w:rsid w:val="00754146"/>
    <w:rsid w:val="0075460A"/>
    <w:rsid w:val="00754A53"/>
    <w:rsid w:val="00755590"/>
    <w:rsid w:val="007556E2"/>
    <w:rsid w:val="00755E7E"/>
    <w:rsid w:val="00757543"/>
    <w:rsid w:val="00760118"/>
    <w:rsid w:val="007606D3"/>
    <w:rsid w:val="00762B7C"/>
    <w:rsid w:val="00763946"/>
    <w:rsid w:val="00763E6C"/>
    <w:rsid w:val="0076439D"/>
    <w:rsid w:val="00764A2C"/>
    <w:rsid w:val="00765BDE"/>
    <w:rsid w:val="00766391"/>
    <w:rsid w:val="0076699F"/>
    <w:rsid w:val="00770017"/>
    <w:rsid w:val="00772D72"/>
    <w:rsid w:val="00774418"/>
    <w:rsid w:val="007759F6"/>
    <w:rsid w:val="007777F9"/>
    <w:rsid w:val="007802E3"/>
    <w:rsid w:val="007806C1"/>
    <w:rsid w:val="00781A1F"/>
    <w:rsid w:val="00781CAF"/>
    <w:rsid w:val="00782287"/>
    <w:rsid w:val="007838FF"/>
    <w:rsid w:val="0078454F"/>
    <w:rsid w:val="007845B5"/>
    <w:rsid w:val="00785B74"/>
    <w:rsid w:val="00785BED"/>
    <w:rsid w:val="00787485"/>
    <w:rsid w:val="00790D49"/>
    <w:rsid w:val="00791AF9"/>
    <w:rsid w:val="00792109"/>
    <w:rsid w:val="007929C5"/>
    <w:rsid w:val="00792EE8"/>
    <w:rsid w:val="007934E2"/>
    <w:rsid w:val="007947DA"/>
    <w:rsid w:val="00794D38"/>
    <w:rsid w:val="00794F1B"/>
    <w:rsid w:val="00796CCB"/>
    <w:rsid w:val="007A0F7E"/>
    <w:rsid w:val="007A130E"/>
    <w:rsid w:val="007A3C3F"/>
    <w:rsid w:val="007A44FD"/>
    <w:rsid w:val="007A45AA"/>
    <w:rsid w:val="007A4666"/>
    <w:rsid w:val="007A4907"/>
    <w:rsid w:val="007A58F8"/>
    <w:rsid w:val="007A5E58"/>
    <w:rsid w:val="007A6817"/>
    <w:rsid w:val="007A6BFD"/>
    <w:rsid w:val="007A6C04"/>
    <w:rsid w:val="007A72EB"/>
    <w:rsid w:val="007A7885"/>
    <w:rsid w:val="007B1098"/>
    <w:rsid w:val="007B1212"/>
    <w:rsid w:val="007B13DB"/>
    <w:rsid w:val="007B20EB"/>
    <w:rsid w:val="007B22EF"/>
    <w:rsid w:val="007B23A8"/>
    <w:rsid w:val="007B2E0B"/>
    <w:rsid w:val="007B46A9"/>
    <w:rsid w:val="007B4837"/>
    <w:rsid w:val="007B4DAE"/>
    <w:rsid w:val="007B5BCA"/>
    <w:rsid w:val="007B7072"/>
    <w:rsid w:val="007C0066"/>
    <w:rsid w:val="007C196C"/>
    <w:rsid w:val="007C19FB"/>
    <w:rsid w:val="007C1E67"/>
    <w:rsid w:val="007C38CE"/>
    <w:rsid w:val="007C3E7B"/>
    <w:rsid w:val="007C4867"/>
    <w:rsid w:val="007C5CED"/>
    <w:rsid w:val="007C6B06"/>
    <w:rsid w:val="007C7656"/>
    <w:rsid w:val="007D12AF"/>
    <w:rsid w:val="007D149B"/>
    <w:rsid w:val="007D163A"/>
    <w:rsid w:val="007D172B"/>
    <w:rsid w:val="007D2EA6"/>
    <w:rsid w:val="007D4768"/>
    <w:rsid w:val="007D4842"/>
    <w:rsid w:val="007D7977"/>
    <w:rsid w:val="007E05EF"/>
    <w:rsid w:val="007E109A"/>
    <w:rsid w:val="007E11D2"/>
    <w:rsid w:val="007E373D"/>
    <w:rsid w:val="007E3FDD"/>
    <w:rsid w:val="007E43EA"/>
    <w:rsid w:val="007E5A4D"/>
    <w:rsid w:val="007E61F3"/>
    <w:rsid w:val="007E65EA"/>
    <w:rsid w:val="007F0167"/>
    <w:rsid w:val="007F0D45"/>
    <w:rsid w:val="007F1046"/>
    <w:rsid w:val="007F1A74"/>
    <w:rsid w:val="007F1ED9"/>
    <w:rsid w:val="007F468C"/>
    <w:rsid w:val="007F5165"/>
    <w:rsid w:val="007F5692"/>
    <w:rsid w:val="007F6922"/>
    <w:rsid w:val="007F6C8B"/>
    <w:rsid w:val="007F72E2"/>
    <w:rsid w:val="00800D60"/>
    <w:rsid w:val="008011B3"/>
    <w:rsid w:val="00802FAE"/>
    <w:rsid w:val="00803956"/>
    <w:rsid w:val="008040F0"/>
    <w:rsid w:val="008043A9"/>
    <w:rsid w:val="008044C0"/>
    <w:rsid w:val="00804741"/>
    <w:rsid w:val="0080512A"/>
    <w:rsid w:val="008055D4"/>
    <w:rsid w:val="008059CD"/>
    <w:rsid w:val="008065FF"/>
    <w:rsid w:val="00807A76"/>
    <w:rsid w:val="00811296"/>
    <w:rsid w:val="00812052"/>
    <w:rsid w:val="0081246E"/>
    <w:rsid w:val="008147E7"/>
    <w:rsid w:val="00815923"/>
    <w:rsid w:val="00816965"/>
    <w:rsid w:val="008200FE"/>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44B3"/>
    <w:rsid w:val="00834622"/>
    <w:rsid w:val="00834A60"/>
    <w:rsid w:val="00836E00"/>
    <w:rsid w:val="008372F4"/>
    <w:rsid w:val="00837EEB"/>
    <w:rsid w:val="0084018E"/>
    <w:rsid w:val="008404A0"/>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5F2"/>
    <w:rsid w:val="0085395E"/>
    <w:rsid w:val="008540F1"/>
    <w:rsid w:val="00855DAC"/>
    <w:rsid w:val="00855DFA"/>
    <w:rsid w:val="008607E6"/>
    <w:rsid w:val="0086129D"/>
    <w:rsid w:val="00861E13"/>
    <w:rsid w:val="0086400A"/>
    <w:rsid w:val="00864387"/>
    <w:rsid w:val="0086453A"/>
    <w:rsid w:val="0086592F"/>
    <w:rsid w:val="00865F25"/>
    <w:rsid w:val="008661F6"/>
    <w:rsid w:val="0087057C"/>
    <w:rsid w:val="00870D62"/>
    <w:rsid w:val="00870D68"/>
    <w:rsid w:val="008710E9"/>
    <w:rsid w:val="00873F25"/>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87BE2"/>
    <w:rsid w:val="00890A29"/>
    <w:rsid w:val="0089137C"/>
    <w:rsid w:val="00891C9B"/>
    <w:rsid w:val="00891F3D"/>
    <w:rsid w:val="0089385C"/>
    <w:rsid w:val="0089422A"/>
    <w:rsid w:val="00894ABA"/>
    <w:rsid w:val="008951E1"/>
    <w:rsid w:val="0089553C"/>
    <w:rsid w:val="00895934"/>
    <w:rsid w:val="0089597A"/>
    <w:rsid w:val="00895D7D"/>
    <w:rsid w:val="00896159"/>
    <w:rsid w:val="0089719F"/>
    <w:rsid w:val="0089783F"/>
    <w:rsid w:val="00897B04"/>
    <w:rsid w:val="008A09B0"/>
    <w:rsid w:val="008A1402"/>
    <w:rsid w:val="008A2F84"/>
    <w:rsid w:val="008A4A9E"/>
    <w:rsid w:val="008A5938"/>
    <w:rsid w:val="008A5C01"/>
    <w:rsid w:val="008A6922"/>
    <w:rsid w:val="008B019C"/>
    <w:rsid w:val="008B0A72"/>
    <w:rsid w:val="008B0CD3"/>
    <w:rsid w:val="008B220A"/>
    <w:rsid w:val="008B30AE"/>
    <w:rsid w:val="008B3331"/>
    <w:rsid w:val="008B3750"/>
    <w:rsid w:val="008B37D0"/>
    <w:rsid w:val="008B3ACB"/>
    <w:rsid w:val="008B4D91"/>
    <w:rsid w:val="008B62A1"/>
    <w:rsid w:val="008B6F15"/>
    <w:rsid w:val="008B71FF"/>
    <w:rsid w:val="008C1EBD"/>
    <w:rsid w:val="008C2F5E"/>
    <w:rsid w:val="008C30E6"/>
    <w:rsid w:val="008C312E"/>
    <w:rsid w:val="008C3764"/>
    <w:rsid w:val="008C3941"/>
    <w:rsid w:val="008C48EC"/>
    <w:rsid w:val="008C4C72"/>
    <w:rsid w:val="008C67DE"/>
    <w:rsid w:val="008D0342"/>
    <w:rsid w:val="008D0FC7"/>
    <w:rsid w:val="008D24CA"/>
    <w:rsid w:val="008D2909"/>
    <w:rsid w:val="008D434E"/>
    <w:rsid w:val="008D4B25"/>
    <w:rsid w:val="008D695B"/>
    <w:rsid w:val="008D773E"/>
    <w:rsid w:val="008D77F1"/>
    <w:rsid w:val="008E01F7"/>
    <w:rsid w:val="008E0E27"/>
    <w:rsid w:val="008E168A"/>
    <w:rsid w:val="008E3AF3"/>
    <w:rsid w:val="008E3BC5"/>
    <w:rsid w:val="008E448A"/>
    <w:rsid w:val="008E48CF"/>
    <w:rsid w:val="008E56A5"/>
    <w:rsid w:val="008E5F1C"/>
    <w:rsid w:val="008E693E"/>
    <w:rsid w:val="008E7046"/>
    <w:rsid w:val="008E75BD"/>
    <w:rsid w:val="008F0EE3"/>
    <w:rsid w:val="008F3BCA"/>
    <w:rsid w:val="008F5B5E"/>
    <w:rsid w:val="008F6ADE"/>
    <w:rsid w:val="008F76A3"/>
    <w:rsid w:val="008F77F4"/>
    <w:rsid w:val="008F78D1"/>
    <w:rsid w:val="008F7C5D"/>
    <w:rsid w:val="0090093C"/>
    <w:rsid w:val="00900A05"/>
    <w:rsid w:val="00900CC1"/>
    <w:rsid w:val="009016CE"/>
    <w:rsid w:val="00901C69"/>
    <w:rsid w:val="009029A3"/>
    <w:rsid w:val="00902CA3"/>
    <w:rsid w:val="009038CB"/>
    <w:rsid w:val="009044E7"/>
    <w:rsid w:val="00904781"/>
    <w:rsid w:val="00905128"/>
    <w:rsid w:val="009062FA"/>
    <w:rsid w:val="00906710"/>
    <w:rsid w:val="00907DAF"/>
    <w:rsid w:val="00907F56"/>
    <w:rsid w:val="00910468"/>
    <w:rsid w:val="009108F6"/>
    <w:rsid w:val="00910A44"/>
    <w:rsid w:val="0091178F"/>
    <w:rsid w:val="00912B84"/>
    <w:rsid w:val="009131E4"/>
    <w:rsid w:val="009132B1"/>
    <w:rsid w:val="00913627"/>
    <w:rsid w:val="00913672"/>
    <w:rsid w:val="009136AE"/>
    <w:rsid w:val="00914B4E"/>
    <w:rsid w:val="00914E05"/>
    <w:rsid w:val="009166A4"/>
    <w:rsid w:val="009168C9"/>
    <w:rsid w:val="009209EA"/>
    <w:rsid w:val="00920B84"/>
    <w:rsid w:val="00921C63"/>
    <w:rsid w:val="00921F48"/>
    <w:rsid w:val="00922478"/>
    <w:rsid w:val="0092265B"/>
    <w:rsid w:val="009226C0"/>
    <w:rsid w:val="00922D91"/>
    <w:rsid w:val="00924B41"/>
    <w:rsid w:val="00927002"/>
    <w:rsid w:val="00927594"/>
    <w:rsid w:val="00927DFB"/>
    <w:rsid w:val="00930346"/>
    <w:rsid w:val="00931553"/>
    <w:rsid w:val="00931C80"/>
    <w:rsid w:val="00931FD0"/>
    <w:rsid w:val="00932BAC"/>
    <w:rsid w:val="00933011"/>
    <w:rsid w:val="009340A5"/>
    <w:rsid w:val="00934679"/>
    <w:rsid w:val="0093475B"/>
    <w:rsid w:val="00934BF3"/>
    <w:rsid w:val="0093579A"/>
    <w:rsid w:val="009368AB"/>
    <w:rsid w:val="00936C7E"/>
    <w:rsid w:val="00936E12"/>
    <w:rsid w:val="00937AC6"/>
    <w:rsid w:val="00940369"/>
    <w:rsid w:val="00940BA1"/>
    <w:rsid w:val="0094154F"/>
    <w:rsid w:val="00941EB8"/>
    <w:rsid w:val="0094220F"/>
    <w:rsid w:val="00943CC7"/>
    <w:rsid w:val="00944AB7"/>
    <w:rsid w:val="00944CF3"/>
    <w:rsid w:val="009452CD"/>
    <w:rsid w:val="009459B6"/>
    <w:rsid w:val="00945B4A"/>
    <w:rsid w:val="00945C32"/>
    <w:rsid w:val="00945F76"/>
    <w:rsid w:val="0094735D"/>
    <w:rsid w:val="009504A2"/>
    <w:rsid w:val="009507B8"/>
    <w:rsid w:val="00950BD8"/>
    <w:rsid w:val="00951CC2"/>
    <w:rsid w:val="0095209C"/>
    <w:rsid w:val="009522A9"/>
    <w:rsid w:val="00952413"/>
    <w:rsid w:val="009532E2"/>
    <w:rsid w:val="00953F62"/>
    <w:rsid w:val="0095475C"/>
    <w:rsid w:val="00954915"/>
    <w:rsid w:val="009551BF"/>
    <w:rsid w:val="009559DE"/>
    <w:rsid w:val="00956893"/>
    <w:rsid w:val="0095738D"/>
    <w:rsid w:val="00957477"/>
    <w:rsid w:val="0096151A"/>
    <w:rsid w:val="009619C3"/>
    <w:rsid w:val="00961DBA"/>
    <w:rsid w:val="009621D7"/>
    <w:rsid w:val="009630C0"/>
    <w:rsid w:val="00964890"/>
    <w:rsid w:val="00964D40"/>
    <w:rsid w:val="00964EE8"/>
    <w:rsid w:val="0096572F"/>
    <w:rsid w:val="00966076"/>
    <w:rsid w:val="00966F2C"/>
    <w:rsid w:val="00967611"/>
    <w:rsid w:val="00967AE3"/>
    <w:rsid w:val="00967E1D"/>
    <w:rsid w:val="009719B9"/>
    <w:rsid w:val="00971FC0"/>
    <w:rsid w:val="00973FB8"/>
    <w:rsid w:val="009742FC"/>
    <w:rsid w:val="00975744"/>
    <w:rsid w:val="00975AAA"/>
    <w:rsid w:val="00976176"/>
    <w:rsid w:val="00977234"/>
    <w:rsid w:val="00977A25"/>
    <w:rsid w:val="00980237"/>
    <w:rsid w:val="009805F1"/>
    <w:rsid w:val="00981E82"/>
    <w:rsid w:val="0098299C"/>
    <w:rsid w:val="0098309E"/>
    <w:rsid w:val="00983B9A"/>
    <w:rsid w:val="00983CC9"/>
    <w:rsid w:val="00984751"/>
    <w:rsid w:val="0098509B"/>
    <w:rsid w:val="00985F4C"/>
    <w:rsid w:val="00986408"/>
    <w:rsid w:val="009864F0"/>
    <w:rsid w:val="00987BBB"/>
    <w:rsid w:val="009905F9"/>
    <w:rsid w:val="00990A5D"/>
    <w:rsid w:val="00991B6C"/>
    <w:rsid w:val="0099294A"/>
    <w:rsid w:val="00992FD1"/>
    <w:rsid w:val="00994575"/>
    <w:rsid w:val="009955D8"/>
    <w:rsid w:val="00996967"/>
    <w:rsid w:val="00996D2B"/>
    <w:rsid w:val="00997C63"/>
    <w:rsid w:val="009A0DFD"/>
    <w:rsid w:val="009A1172"/>
    <w:rsid w:val="009A251E"/>
    <w:rsid w:val="009A2DA1"/>
    <w:rsid w:val="009A31CB"/>
    <w:rsid w:val="009A477C"/>
    <w:rsid w:val="009A494A"/>
    <w:rsid w:val="009A51DF"/>
    <w:rsid w:val="009B0196"/>
    <w:rsid w:val="009B0385"/>
    <w:rsid w:val="009B0EB5"/>
    <w:rsid w:val="009B1921"/>
    <w:rsid w:val="009B1D6A"/>
    <w:rsid w:val="009B1F90"/>
    <w:rsid w:val="009B25FF"/>
    <w:rsid w:val="009B372C"/>
    <w:rsid w:val="009B3E97"/>
    <w:rsid w:val="009B4776"/>
    <w:rsid w:val="009B4ED0"/>
    <w:rsid w:val="009B4F3F"/>
    <w:rsid w:val="009B4F56"/>
    <w:rsid w:val="009B578A"/>
    <w:rsid w:val="009B57B6"/>
    <w:rsid w:val="009B595D"/>
    <w:rsid w:val="009B5ED8"/>
    <w:rsid w:val="009B6976"/>
    <w:rsid w:val="009B6C77"/>
    <w:rsid w:val="009B712A"/>
    <w:rsid w:val="009C09E2"/>
    <w:rsid w:val="009C11C6"/>
    <w:rsid w:val="009C30CF"/>
    <w:rsid w:val="009C5F83"/>
    <w:rsid w:val="009C6C9A"/>
    <w:rsid w:val="009C7853"/>
    <w:rsid w:val="009D005C"/>
    <w:rsid w:val="009D13D0"/>
    <w:rsid w:val="009D1BE9"/>
    <w:rsid w:val="009D31FF"/>
    <w:rsid w:val="009D3CD7"/>
    <w:rsid w:val="009D55F1"/>
    <w:rsid w:val="009D67B4"/>
    <w:rsid w:val="009D6927"/>
    <w:rsid w:val="009D7A92"/>
    <w:rsid w:val="009E14C2"/>
    <w:rsid w:val="009E1E6A"/>
    <w:rsid w:val="009E215F"/>
    <w:rsid w:val="009E2B80"/>
    <w:rsid w:val="009E2C69"/>
    <w:rsid w:val="009E3759"/>
    <w:rsid w:val="009E4231"/>
    <w:rsid w:val="009E42EA"/>
    <w:rsid w:val="009E459F"/>
    <w:rsid w:val="009E54E4"/>
    <w:rsid w:val="009E5DDD"/>
    <w:rsid w:val="009E5F0B"/>
    <w:rsid w:val="009E63AF"/>
    <w:rsid w:val="009E7A48"/>
    <w:rsid w:val="009F06E9"/>
    <w:rsid w:val="009F0DF2"/>
    <w:rsid w:val="009F2EFF"/>
    <w:rsid w:val="009F43AC"/>
    <w:rsid w:val="009F51B2"/>
    <w:rsid w:val="009F5349"/>
    <w:rsid w:val="009F668B"/>
    <w:rsid w:val="009F7516"/>
    <w:rsid w:val="00A005B7"/>
    <w:rsid w:val="00A006B6"/>
    <w:rsid w:val="00A00775"/>
    <w:rsid w:val="00A01B25"/>
    <w:rsid w:val="00A021F7"/>
    <w:rsid w:val="00A04BB9"/>
    <w:rsid w:val="00A05B34"/>
    <w:rsid w:val="00A0711E"/>
    <w:rsid w:val="00A102BD"/>
    <w:rsid w:val="00A108ED"/>
    <w:rsid w:val="00A11480"/>
    <w:rsid w:val="00A11777"/>
    <w:rsid w:val="00A1232F"/>
    <w:rsid w:val="00A131A0"/>
    <w:rsid w:val="00A136A7"/>
    <w:rsid w:val="00A1442F"/>
    <w:rsid w:val="00A1449D"/>
    <w:rsid w:val="00A163EC"/>
    <w:rsid w:val="00A16BC2"/>
    <w:rsid w:val="00A16D38"/>
    <w:rsid w:val="00A170B4"/>
    <w:rsid w:val="00A17E37"/>
    <w:rsid w:val="00A17F69"/>
    <w:rsid w:val="00A2038B"/>
    <w:rsid w:val="00A2076B"/>
    <w:rsid w:val="00A2190C"/>
    <w:rsid w:val="00A21A32"/>
    <w:rsid w:val="00A22A72"/>
    <w:rsid w:val="00A23668"/>
    <w:rsid w:val="00A2447A"/>
    <w:rsid w:val="00A24690"/>
    <w:rsid w:val="00A24B4E"/>
    <w:rsid w:val="00A27A7E"/>
    <w:rsid w:val="00A3047B"/>
    <w:rsid w:val="00A30DF7"/>
    <w:rsid w:val="00A32695"/>
    <w:rsid w:val="00A332A7"/>
    <w:rsid w:val="00A33849"/>
    <w:rsid w:val="00A33C8E"/>
    <w:rsid w:val="00A34886"/>
    <w:rsid w:val="00A352A6"/>
    <w:rsid w:val="00A35305"/>
    <w:rsid w:val="00A35E86"/>
    <w:rsid w:val="00A363B8"/>
    <w:rsid w:val="00A367DC"/>
    <w:rsid w:val="00A36A0C"/>
    <w:rsid w:val="00A36A65"/>
    <w:rsid w:val="00A37666"/>
    <w:rsid w:val="00A40720"/>
    <w:rsid w:val="00A41A73"/>
    <w:rsid w:val="00A42070"/>
    <w:rsid w:val="00A42CE0"/>
    <w:rsid w:val="00A45143"/>
    <w:rsid w:val="00A451B8"/>
    <w:rsid w:val="00A45B72"/>
    <w:rsid w:val="00A45C3E"/>
    <w:rsid w:val="00A46802"/>
    <w:rsid w:val="00A46C8F"/>
    <w:rsid w:val="00A4756D"/>
    <w:rsid w:val="00A511D2"/>
    <w:rsid w:val="00A526CD"/>
    <w:rsid w:val="00A527F6"/>
    <w:rsid w:val="00A54827"/>
    <w:rsid w:val="00A56119"/>
    <w:rsid w:val="00A56461"/>
    <w:rsid w:val="00A5680A"/>
    <w:rsid w:val="00A56959"/>
    <w:rsid w:val="00A5698B"/>
    <w:rsid w:val="00A56B46"/>
    <w:rsid w:val="00A57A98"/>
    <w:rsid w:val="00A57FE3"/>
    <w:rsid w:val="00A6073D"/>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E4B"/>
    <w:rsid w:val="00A66F26"/>
    <w:rsid w:val="00A6725F"/>
    <w:rsid w:val="00A67871"/>
    <w:rsid w:val="00A702FD"/>
    <w:rsid w:val="00A7112E"/>
    <w:rsid w:val="00A719C0"/>
    <w:rsid w:val="00A72FA3"/>
    <w:rsid w:val="00A74B88"/>
    <w:rsid w:val="00A75CE6"/>
    <w:rsid w:val="00A77D0E"/>
    <w:rsid w:val="00A8007D"/>
    <w:rsid w:val="00A80BF0"/>
    <w:rsid w:val="00A82A38"/>
    <w:rsid w:val="00A83097"/>
    <w:rsid w:val="00A84017"/>
    <w:rsid w:val="00A85226"/>
    <w:rsid w:val="00A8553C"/>
    <w:rsid w:val="00A8581F"/>
    <w:rsid w:val="00A85D0C"/>
    <w:rsid w:val="00A87AC9"/>
    <w:rsid w:val="00A87E5D"/>
    <w:rsid w:val="00A90315"/>
    <w:rsid w:val="00A909BF"/>
    <w:rsid w:val="00A90AF0"/>
    <w:rsid w:val="00A90F82"/>
    <w:rsid w:val="00A91B2D"/>
    <w:rsid w:val="00A91B44"/>
    <w:rsid w:val="00A925EC"/>
    <w:rsid w:val="00A92BD4"/>
    <w:rsid w:val="00A92DCE"/>
    <w:rsid w:val="00A93B0F"/>
    <w:rsid w:val="00A94270"/>
    <w:rsid w:val="00A94666"/>
    <w:rsid w:val="00A94703"/>
    <w:rsid w:val="00A94842"/>
    <w:rsid w:val="00A959F4"/>
    <w:rsid w:val="00A9705D"/>
    <w:rsid w:val="00A97815"/>
    <w:rsid w:val="00A97C0D"/>
    <w:rsid w:val="00AA0184"/>
    <w:rsid w:val="00AA25E7"/>
    <w:rsid w:val="00AA29FC"/>
    <w:rsid w:val="00AA2D8D"/>
    <w:rsid w:val="00AA2F01"/>
    <w:rsid w:val="00AA303E"/>
    <w:rsid w:val="00AA3D49"/>
    <w:rsid w:val="00AA42D2"/>
    <w:rsid w:val="00AA5559"/>
    <w:rsid w:val="00AA5FBA"/>
    <w:rsid w:val="00AA66F6"/>
    <w:rsid w:val="00AB0C3E"/>
    <w:rsid w:val="00AB0CB6"/>
    <w:rsid w:val="00AB2622"/>
    <w:rsid w:val="00AB2819"/>
    <w:rsid w:val="00AB28DC"/>
    <w:rsid w:val="00AB3422"/>
    <w:rsid w:val="00AB38FD"/>
    <w:rsid w:val="00AB4218"/>
    <w:rsid w:val="00AB4581"/>
    <w:rsid w:val="00AB4A5B"/>
    <w:rsid w:val="00AB5F38"/>
    <w:rsid w:val="00AB6B97"/>
    <w:rsid w:val="00AB6D5F"/>
    <w:rsid w:val="00AB731A"/>
    <w:rsid w:val="00AB7AEA"/>
    <w:rsid w:val="00AC0319"/>
    <w:rsid w:val="00AC1D0E"/>
    <w:rsid w:val="00AC2361"/>
    <w:rsid w:val="00AC3489"/>
    <w:rsid w:val="00AC3E8F"/>
    <w:rsid w:val="00AC4208"/>
    <w:rsid w:val="00AC46AC"/>
    <w:rsid w:val="00AC4B39"/>
    <w:rsid w:val="00AC4FC8"/>
    <w:rsid w:val="00AC7D9B"/>
    <w:rsid w:val="00AD0519"/>
    <w:rsid w:val="00AD065B"/>
    <w:rsid w:val="00AD0AE9"/>
    <w:rsid w:val="00AD0EA0"/>
    <w:rsid w:val="00AD1875"/>
    <w:rsid w:val="00AD1FB6"/>
    <w:rsid w:val="00AD260F"/>
    <w:rsid w:val="00AD2741"/>
    <w:rsid w:val="00AD3183"/>
    <w:rsid w:val="00AD31C1"/>
    <w:rsid w:val="00AD382C"/>
    <w:rsid w:val="00AD3D32"/>
    <w:rsid w:val="00AD482D"/>
    <w:rsid w:val="00AD4AF0"/>
    <w:rsid w:val="00AD64C4"/>
    <w:rsid w:val="00AD6A48"/>
    <w:rsid w:val="00AD6B3A"/>
    <w:rsid w:val="00AD6D8D"/>
    <w:rsid w:val="00AD6F81"/>
    <w:rsid w:val="00AD715D"/>
    <w:rsid w:val="00AD7494"/>
    <w:rsid w:val="00AD7C1E"/>
    <w:rsid w:val="00AE1712"/>
    <w:rsid w:val="00AE2067"/>
    <w:rsid w:val="00AE313A"/>
    <w:rsid w:val="00AE4526"/>
    <w:rsid w:val="00AE5790"/>
    <w:rsid w:val="00AE6013"/>
    <w:rsid w:val="00AE68A6"/>
    <w:rsid w:val="00AF0895"/>
    <w:rsid w:val="00AF1A65"/>
    <w:rsid w:val="00AF1C31"/>
    <w:rsid w:val="00AF277E"/>
    <w:rsid w:val="00AF2A64"/>
    <w:rsid w:val="00AF2ABE"/>
    <w:rsid w:val="00AF2BB4"/>
    <w:rsid w:val="00AF3B02"/>
    <w:rsid w:val="00AF3B63"/>
    <w:rsid w:val="00AF41DB"/>
    <w:rsid w:val="00AF424D"/>
    <w:rsid w:val="00AF4A1E"/>
    <w:rsid w:val="00AF53C3"/>
    <w:rsid w:val="00AF5425"/>
    <w:rsid w:val="00AF5842"/>
    <w:rsid w:val="00AF6623"/>
    <w:rsid w:val="00AF758F"/>
    <w:rsid w:val="00AF77DE"/>
    <w:rsid w:val="00AF7E75"/>
    <w:rsid w:val="00AF7EF0"/>
    <w:rsid w:val="00B017A1"/>
    <w:rsid w:val="00B02164"/>
    <w:rsid w:val="00B03CFF"/>
    <w:rsid w:val="00B045CF"/>
    <w:rsid w:val="00B06FAD"/>
    <w:rsid w:val="00B07534"/>
    <w:rsid w:val="00B07587"/>
    <w:rsid w:val="00B07F7F"/>
    <w:rsid w:val="00B10C04"/>
    <w:rsid w:val="00B10E1F"/>
    <w:rsid w:val="00B1125C"/>
    <w:rsid w:val="00B118BE"/>
    <w:rsid w:val="00B136BC"/>
    <w:rsid w:val="00B155E6"/>
    <w:rsid w:val="00B15CC7"/>
    <w:rsid w:val="00B162D6"/>
    <w:rsid w:val="00B17EEB"/>
    <w:rsid w:val="00B204A7"/>
    <w:rsid w:val="00B22C9A"/>
    <w:rsid w:val="00B23F6D"/>
    <w:rsid w:val="00B2469F"/>
    <w:rsid w:val="00B249AD"/>
    <w:rsid w:val="00B24E01"/>
    <w:rsid w:val="00B2558E"/>
    <w:rsid w:val="00B269FC"/>
    <w:rsid w:val="00B271EF"/>
    <w:rsid w:val="00B272EE"/>
    <w:rsid w:val="00B27756"/>
    <w:rsid w:val="00B27B0F"/>
    <w:rsid w:val="00B3003D"/>
    <w:rsid w:val="00B30D05"/>
    <w:rsid w:val="00B31185"/>
    <w:rsid w:val="00B31D16"/>
    <w:rsid w:val="00B33361"/>
    <w:rsid w:val="00B3566F"/>
    <w:rsid w:val="00B36E52"/>
    <w:rsid w:val="00B37038"/>
    <w:rsid w:val="00B3756D"/>
    <w:rsid w:val="00B37A7D"/>
    <w:rsid w:val="00B37B77"/>
    <w:rsid w:val="00B4066D"/>
    <w:rsid w:val="00B40AE3"/>
    <w:rsid w:val="00B40C78"/>
    <w:rsid w:val="00B41B21"/>
    <w:rsid w:val="00B44687"/>
    <w:rsid w:val="00B45726"/>
    <w:rsid w:val="00B4694E"/>
    <w:rsid w:val="00B4722E"/>
    <w:rsid w:val="00B47DA9"/>
    <w:rsid w:val="00B50116"/>
    <w:rsid w:val="00B51DAB"/>
    <w:rsid w:val="00B521C6"/>
    <w:rsid w:val="00B52B61"/>
    <w:rsid w:val="00B5509B"/>
    <w:rsid w:val="00B55A54"/>
    <w:rsid w:val="00B56661"/>
    <w:rsid w:val="00B5761D"/>
    <w:rsid w:val="00B579D2"/>
    <w:rsid w:val="00B57EDB"/>
    <w:rsid w:val="00B60AE7"/>
    <w:rsid w:val="00B60E0B"/>
    <w:rsid w:val="00B61696"/>
    <w:rsid w:val="00B61D2B"/>
    <w:rsid w:val="00B625E4"/>
    <w:rsid w:val="00B626E8"/>
    <w:rsid w:val="00B63380"/>
    <w:rsid w:val="00B63CAC"/>
    <w:rsid w:val="00B6418D"/>
    <w:rsid w:val="00B66111"/>
    <w:rsid w:val="00B66839"/>
    <w:rsid w:val="00B66DF7"/>
    <w:rsid w:val="00B66E27"/>
    <w:rsid w:val="00B67274"/>
    <w:rsid w:val="00B678EC"/>
    <w:rsid w:val="00B70151"/>
    <w:rsid w:val="00B712C6"/>
    <w:rsid w:val="00B72B6A"/>
    <w:rsid w:val="00B733AF"/>
    <w:rsid w:val="00B73943"/>
    <w:rsid w:val="00B74A8E"/>
    <w:rsid w:val="00B755F1"/>
    <w:rsid w:val="00B75C92"/>
    <w:rsid w:val="00B76BE8"/>
    <w:rsid w:val="00B77FED"/>
    <w:rsid w:val="00B815DC"/>
    <w:rsid w:val="00B8216F"/>
    <w:rsid w:val="00B82531"/>
    <w:rsid w:val="00B82774"/>
    <w:rsid w:val="00B8307F"/>
    <w:rsid w:val="00B830B9"/>
    <w:rsid w:val="00B8528E"/>
    <w:rsid w:val="00B8626A"/>
    <w:rsid w:val="00B875C8"/>
    <w:rsid w:val="00B87DDD"/>
    <w:rsid w:val="00B87F47"/>
    <w:rsid w:val="00B90BD9"/>
    <w:rsid w:val="00B923DD"/>
    <w:rsid w:val="00B92728"/>
    <w:rsid w:val="00B93175"/>
    <w:rsid w:val="00B93982"/>
    <w:rsid w:val="00B939E9"/>
    <w:rsid w:val="00B947E6"/>
    <w:rsid w:val="00B94A57"/>
    <w:rsid w:val="00B97E51"/>
    <w:rsid w:val="00BA0103"/>
    <w:rsid w:val="00BA0141"/>
    <w:rsid w:val="00BA1597"/>
    <w:rsid w:val="00BA15F9"/>
    <w:rsid w:val="00BA1877"/>
    <w:rsid w:val="00BA19ED"/>
    <w:rsid w:val="00BA1C44"/>
    <w:rsid w:val="00BA2E63"/>
    <w:rsid w:val="00BA3976"/>
    <w:rsid w:val="00BA4404"/>
    <w:rsid w:val="00BA4971"/>
    <w:rsid w:val="00BA5A5B"/>
    <w:rsid w:val="00BA5B1A"/>
    <w:rsid w:val="00BA5C28"/>
    <w:rsid w:val="00BA6BE2"/>
    <w:rsid w:val="00BA6F94"/>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0346"/>
    <w:rsid w:val="00BC0892"/>
    <w:rsid w:val="00BC20E3"/>
    <w:rsid w:val="00BC2358"/>
    <w:rsid w:val="00BC24D7"/>
    <w:rsid w:val="00BC35BB"/>
    <w:rsid w:val="00BC3B61"/>
    <w:rsid w:val="00BC4E0E"/>
    <w:rsid w:val="00BC502F"/>
    <w:rsid w:val="00BC5266"/>
    <w:rsid w:val="00BC7E5D"/>
    <w:rsid w:val="00BD0406"/>
    <w:rsid w:val="00BD083A"/>
    <w:rsid w:val="00BD122D"/>
    <w:rsid w:val="00BD1535"/>
    <w:rsid w:val="00BD2249"/>
    <w:rsid w:val="00BD39A8"/>
    <w:rsid w:val="00BD4131"/>
    <w:rsid w:val="00BD4C10"/>
    <w:rsid w:val="00BD5F17"/>
    <w:rsid w:val="00BD6845"/>
    <w:rsid w:val="00BD79F7"/>
    <w:rsid w:val="00BE14E1"/>
    <w:rsid w:val="00BE197C"/>
    <w:rsid w:val="00BE215D"/>
    <w:rsid w:val="00BE33EF"/>
    <w:rsid w:val="00BE4765"/>
    <w:rsid w:val="00BF05C4"/>
    <w:rsid w:val="00BF0879"/>
    <w:rsid w:val="00BF1D33"/>
    <w:rsid w:val="00BF2806"/>
    <w:rsid w:val="00BF31E0"/>
    <w:rsid w:val="00BF35C5"/>
    <w:rsid w:val="00BF4B63"/>
    <w:rsid w:val="00BF509A"/>
    <w:rsid w:val="00BF50BE"/>
    <w:rsid w:val="00BF7609"/>
    <w:rsid w:val="00C006BB"/>
    <w:rsid w:val="00C00DAB"/>
    <w:rsid w:val="00C01B82"/>
    <w:rsid w:val="00C01E93"/>
    <w:rsid w:val="00C01EBB"/>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72"/>
    <w:rsid w:val="00C139BF"/>
    <w:rsid w:val="00C14261"/>
    <w:rsid w:val="00C15D62"/>
    <w:rsid w:val="00C16FCF"/>
    <w:rsid w:val="00C17978"/>
    <w:rsid w:val="00C200DC"/>
    <w:rsid w:val="00C208F0"/>
    <w:rsid w:val="00C20D51"/>
    <w:rsid w:val="00C211C0"/>
    <w:rsid w:val="00C21428"/>
    <w:rsid w:val="00C21E25"/>
    <w:rsid w:val="00C22D54"/>
    <w:rsid w:val="00C23FDA"/>
    <w:rsid w:val="00C25AF8"/>
    <w:rsid w:val="00C26B73"/>
    <w:rsid w:val="00C30D18"/>
    <w:rsid w:val="00C30EC6"/>
    <w:rsid w:val="00C31132"/>
    <w:rsid w:val="00C3153B"/>
    <w:rsid w:val="00C317AD"/>
    <w:rsid w:val="00C318F3"/>
    <w:rsid w:val="00C32794"/>
    <w:rsid w:val="00C32CD6"/>
    <w:rsid w:val="00C33113"/>
    <w:rsid w:val="00C3357D"/>
    <w:rsid w:val="00C33811"/>
    <w:rsid w:val="00C3397D"/>
    <w:rsid w:val="00C33B40"/>
    <w:rsid w:val="00C3401B"/>
    <w:rsid w:val="00C34451"/>
    <w:rsid w:val="00C34A9E"/>
    <w:rsid w:val="00C35077"/>
    <w:rsid w:val="00C359AE"/>
    <w:rsid w:val="00C359BD"/>
    <w:rsid w:val="00C35F83"/>
    <w:rsid w:val="00C370A1"/>
    <w:rsid w:val="00C4022B"/>
    <w:rsid w:val="00C408FC"/>
    <w:rsid w:val="00C40F9A"/>
    <w:rsid w:val="00C416D3"/>
    <w:rsid w:val="00C43820"/>
    <w:rsid w:val="00C4575A"/>
    <w:rsid w:val="00C46957"/>
    <w:rsid w:val="00C46CCA"/>
    <w:rsid w:val="00C50882"/>
    <w:rsid w:val="00C50FCA"/>
    <w:rsid w:val="00C5109B"/>
    <w:rsid w:val="00C52BB6"/>
    <w:rsid w:val="00C52D83"/>
    <w:rsid w:val="00C52F77"/>
    <w:rsid w:val="00C537E7"/>
    <w:rsid w:val="00C55E43"/>
    <w:rsid w:val="00C56674"/>
    <w:rsid w:val="00C57DC2"/>
    <w:rsid w:val="00C57E6B"/>
    <w:rsid w:val="00C60BBD"/>
    <w:rsid w:val="00C61DF5"/>
    <w:rsid w:val="00C61FA3"/>
    <w:rsid w:val="00C63353"/>
    <w:rsid w:val="00C64274"/>
    <w:rsid w:val="00C66017"/>
    <w:rsid w:val="00C70389"/>
    <w:rsid w:val="00C70600"/>
    <w:rsid w:val="00C71B9C"/>
    <w:rsid w:val="00C727BB"/>
    <w:rsid w:val="00C75745"/>
    <w:rsid w:val="00C7617A"/>
    <w:rsid w:val="00C767AA"/>
    <w:rsid w:val="00C80629"/>
    <w:rsid w:val="00C80C44"/>
    <w:rsid w:val="00C81046"/>
    <w:rsid w:val="00C816DC"/>
    <w:rsid w:val="00C82B44"/>
    <w:rsid w:val="00C82F2A"/>
    <w:rsid w:val="00C83333"/>
    <w:rsid w:val="00C83512"/>
    <w:rsid w:val="00C83849"/>
    <w:rsid w:val="00C85048"/>
    <w:rsid w:val="00C8515B"/>
    <w:rsid w:val="00C85334"/>
    <w:rsid w:val="00C853D6"/>
    <w:rsid w:val="00C85A03"/>
    <w:rsid w:val="00C862A8"/>
    <w:rsid w:val="00C8641B"/>
    <w:rsid w:val="00C87BDA"/>
    <w:rsid w:val="00C90EA8"/>
    <w:rsid w:val="00C91315"/>
    <w:rsid w:val="00C92FA2"/>
    <w:rsid w:val="00C93E46"/>
    <w:rsid w:val="00C9430F"/>
    <w:rsid w:val="00C94668"/>
    <w:rsid w:val="00C9486B"/>
    <w:rsid w:val="00C955CA"/>
    <w:rsid w:val="00C961E5"/>
    <w:rsid w:val="00C964E2"/>
    <w:rsid w:val="00C96AD4"/>
    <w:rsid w:val="00C97823"/>
    <w:rsid w:val="00C97A7F"/>
    <w:rsid w:val="00CA021D"/>
    <w:rsid w:val="00CA1029"/>
    <w:rsid w:val="00CA1B6C"/>
    <w:rsid w:val="00CA2942"/>
    <w:rsid w:val="00CA2E08"/>
    <w:rsid w:val="00CA3FCB"/>
    <w:rsid w:val="00CA44A8"/>
    <w:rsid w:val="00CA50C0"/>
    <w:rsid w:val="00CA5EB4"/>
    <w:rsid w:val="00CA633F"/>
    <w:rsid w:val="00CA69E1"/>
    <w:rsid w:val="00CA6AD3"/>
    <w:rsid w:val="00CA6B1F"/>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B40"/>
    <w:rsid w:val="00CC237F"/>
    <w:rsid w:val="00CC2451"/>
    <w:rsid w:val="00CC2A9E"/>
    <w:rsid w:val="00CC4F95"/>
    <w:rsid w:val="00CC6472"/>
    <w:rsid w:val="00CD0BB9"/>
    <w:rsid w:val="00CD4CC7"/>
    <w:rsid w:val="00CD605D"/>
    <w:rsid w:val="00CD7280"/>
    <w:rsid w:val="00CE0216"/>
    <w:rsid w:val="00CE0592"/>
    <w:rsid w:val="00CE11D0"/>
    <w:rsid w:val="00CE1978"/>
    <w:rsid w:val="00CE201E"/>
    <w:rsid w:val="00CE36AB"/>
    <w:rsid w:val="00CE3706"/>
    <w:rsid w:val="00CE4409"/>
    <w:rsid w:val="00CE51D6"/>
    <w:rsid w:val="00CE5414"/>
    <w:rsid w:val="00CE62E7"/>
    <w:rsid w:val="00CF0841"/>
    <w:rsid w:val="00CF20A6"/>
    <w:rsid w:val="00CF21C9"/>
    <w:rsid w:val="00CF2305"/>
    <w:rsid w:val="00CF36E5"/>
    <w:rsid w:val="00CF42FD"/>
    <w:rsid w:val="00CF4E46"/>
    <w:rsid w:val="00CF501E"/>
    <w:rsid w:val="00CF62CE"/>
    <w:rsid w:val="00CF634C"/>
    <w:rsid w:val="00CF6923"/>
    <w:rsid w:val="00CF6C15"/>
    <w:rsid w:val="00CF70C8"/>
    <w:rsid w:val="00CF786C"/>
    <w:rsid w:val="00D009E2"/>
    <w:rsid w:val="00D00D5C"/>
    <w:rsid w:val="00D019B3"/>
    <w:rsid w:val="00D01AEF"/>
    <w:rsid w:val="00D02050"/>
    <w:rsid w:val="00D024AE"/>
    <w:rsid w:val="00D02E63"/>
    <w:rsid w:val="00D04562"/>
    <w:rsid w:val="00D046FD"/>
    <w:rsid w:val="00D04AAD"/>
    <w:rsid w:val="00D04D45"/>
    <w:rsid w:val="00D05020"/>
    <w:rsid w:val="00D059E4"/>
    <w:rsid w:val="00D064D2"/>
    <w:rsid w:val="00D070F6"/>
    <w:rsid w:val="00D0764F"/>
    <w:rsid w:val="00D07937"/>
    <w:rsid w:val="00D07ED4"/>
    <w:rsid w:val="00D10BCF"/>
    <w:rsid w:val="00D10D90"/>
    <w:rsid w:val="00D1175D"/>
    <w:rsid w:val="00D1206F"/>
    <w:rsid w:val="00D12540"/>
    <w:rsid w:val="00D134B8"/>
    <w:rsid w:val="00D139B6"/>
    <w:rsid w:val="00D13FFD"/>
    <w:rsid w:val="00D1531C"/>
    <w:rsid w:val="00D156C0"/>
    <w:rsid w:val="00D1634E"/>
    <w:rsid w:val="00D16F16"/>
    <w:rsid w:val="00D17911"/>
    <w:rsid w:val="00D17FCB"/>
    <w:rsid w:val="00D22FD8"/>
    <w:rsid w:val="00D23105"/>
    <w:rsid w:val="00D23AFA"/>
    <w:rsid w:val="00D2416B"/>
    <w:rsid w:val="00D241FB"/>
    <w:rsid w:val="00D24339"/>
    <w:rsid w:val="00D246BB"/>
    <w:rsid w:val="00D24943"/>
    <w:rsid w:val="00D25692"/>
    <w:rsid w:val="00D25937"/>
    <w:rsid w:val="00D278DC"/>
    <w:rsid w:val="00D32378"/>
    <w:rsid w:val="00D32F23"/>
    <w:rsid w:val="00D334CC"/>
    <w:rsid w:val="00D33C9D"/>
    <w:rsid w:val="00D3406E"/>
    <w:rsid w:val="00D344E7"/>
    <w:rsid w:val="00D35562"/>
    <w:rsid w:val="00D35969"/>
    <w:rsid w:val="00D359FE"/>
    <w:rsid w:val="00D35BC1"/>
    <w:rsid w:val="00D35C69"/>
    <w:rsid w:val="00D360F8"/>
    <w:rsid w:val="00D366F6"/>
    <w:rsid w:val="00D409CE"/>
    <w:rsid w:val="00D4138A"/>
    <w:rsid w:val="00D417BC"/>
    <w:rsid w:val="00D41F69"/>
    <w:rsid w:val="00D42106"/>
    <w:rsid w:val="00D429B1"/>
    <w:rsid w:val="00D430B8"/>
    <w:rsid w:val="00D43D94"/>
    <w:rsid w:val="00D43E2A"/>
    <w:rsid w:val="00D4486C"/>
    <w:rsid w:val="00D44964"/>
    <w:rsid w:val="00D44C61"/>
    <w:rsid w:val="00D47118"/>
    <w:rsid w:val="00D47CE9"/>
    <w:rsid w:val="00D50C77"/>
    <w:rsid w:val="00D51AFF"/>
    <w:rsid w:val="00D537DC"/>
    <w:rsid w:val="00D53CB9"/>
    <w:rsid w:val="00D547A0"/>
    <w:rsid w:val="00D5536E"/>
    <w:rsid w:val="00D57398"/>
    <w:rsid w:val="00D576F7"/>
    <w:rsid w:val="00D5774C"/>
    <w:rsid w:val="00D60178"/>
    <w:rsid w:val="00D6111B"/>
    <w:rsid w:val="00D61614"/>
    <w:rsid w:val="00D624FA"/>
    <w:rsid w:val="00D634C1"/>
    <w:rsid w:val="00D661B9"/>
    <w:rsid w:val="00D666DB"/>
    <w:rsid w:val="00D67896"/>
    <w:rsid w:val="00D70FC2"/>
    <w:rsid w:val="00D71067"/>
    <w:rsid w:val="00D71BAE"/>
    <w:rsid w:val="00D7216F"/>
    <w:rsid w:val="00D72323"/>
    <w:rsid w:val="00D723D7"/>
    <w:rsid w:val="00D72A3F"/>
    <w:rsid w:val="00D75D97"/>
    <w:rsid w:val="00D763D9"/>
    <w:rsid w:val="00D7743A"/>
    <w:rsid w:val="00D7781C"/>
    <w:rsid w:val="00D77AA9"/>
    <w:rsid w:val="00D81198"/>
    <w:rsid w:val="00D817BA"/>
    <w:rsid w:val="00D81F22"/>
    <w:rsid w:val="00D836FE"/>
    <w:rsid w:val="00D8435C"/>
    <w:rsid w:val="00D84EC3"/>
    <w:rsid w:val="00D85C89"/>
    <w:rsid w:val="00D87228"/>
    <w:rsid w:val="00D87BF0"/>
    <w:rsid w:val="00D90034"/>
    <w:rsid w:val="00D90C88"/>
    <w:rsid w:val="00D91DA8"/>
    <w:rsid w:val="00D91E0C"/>
    <w:rsid w:val="00D9205E"/>
    <w:rsid w:val="00D93674"/>
    <w:rsid w:val="00D93BBA"/>
    <w:rsid w:val="00D96F02"/>
    <w:rsid w:val="00D97321"/>
    <w:rsid w:val="00D97AF9"/>
    <w:rsid w:val="00DA1E53"/>
    <w:rsid w:val="00DA239E"/>
    <w:rsid w:val="00DA25AC"/>
    <w:rsid w:val="00DA2974"/>
    <w:rsid w:val="00DA324E"/>
    <w:rsid w:val="00DA455B"/>
    <w:rsid w:val="00DA6CA5"/>
    <w:rsid w:val="00DA7582"/>
    <w:rsid w:val="00DB257E"/>
    <w:rsid w:val="00DB3D20"/>
    <w:rsid w:val="00DB4179"/>
    <w:rsid w:val="00DB47E4"/>
    <w:rsid w:val="00DB523A"/>
    <w:rsid w:val="00DB56D0"/>
    <w:rsid w:val="00DB57D3"/>
    <w:rsid w:val="00DB5D3B"/>
    <w:rsid w:val="00DB6B48"/>
    <w:rsid w:val="00DB6E77"/>
    <w:rsid w:val="00DC1505"/>
    <w:rsid w:val="00DC22BB"/>
    <w:rsid w:val="00DC2359"/>
    <w:rsid w:val="00DC2BFD"/>
    <w:rsid w:val="00DC2D17"/>
    <w:rsid w:val="00DC30AD"/>
    <w:rsid w:val="00DC32CC"/>
    <w:rsid w:val="00DC362E"/>
    <w:rsid w:val="00DC4DEE"/>
    <w:rsid w:val="00DC5498"/>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3436"/>
    <w:rsid w:val="00DE54CC"/>
    <w:rsid w:val="00DE5BF5"/>
    <w:rsid w:val="00DE5F8C"/>
    <w:rsid w:val="00DE62D6"/>
    <w:rsid w:val="00DE644A"/>
    <w:rsid w:val="00DE6995"/>
    <w:rsid w:val="00DE6F42"/>
    <w:rsid w:val="00DE73D0"/>
    <w:rsid w:val="00DE7DCF"/>
    <w:rsid w:val="00DF08C0"/>
    <w:rsid w:val="00DF093A"/>
    <w:rsid w:val="00DF0C87"/>
    <w:rsid w:val="00DF1374"/>
    <w:rsid w:val="00DF2BC0"/>
    <w:rsid w:val="00DF2DD6"/>
    <w:rsid w:val="00DF31A6"/>
    <w:rsid w:val="00DF52AB"/>
    <w:rsid w:val="00DF6123"/>
    <w:rsid w:val="00DF62F0"/>
    <w:rsid w:val="00DF758C"/>
    <w:rsid w:val="00DF7F77"/>
    <w:rsid w:val="00E0178A"/>
    <w:rsid w:val="00E01ABA"/>
    <w:rsid w:val="00E01D50"/>
    <w:rsid w:val="00E0215F"/>
    <w:rsid w:val="00E03204"/>
    <w:rsid w:val="00E03840"/>
    <w:rsid w:val="00E03A1C"/>
    <w:rsid w:val="00E03EF8"/>
    <w:rsid w:val="00E04919"/>
    <w:rsid w:val="00E05675"/>
    <w:rsid w:val="00E06A0A"/>
    <w:rsid w:val="00E07163"/>
    <w:rsid w:val="00E07AF3"/>
    <w:rsid w:val="00E07FF0"/>
    <w:rsid w:val="00E10227"/>
    <w:rsid w:val="00E1055B"/>
    <w:rsid w:val="00E1075B"/>
    <w:rsid w:val="00E12018"/>
    <w:rsid w:val="00E13483"/>
    <w:rsid w:val="00E13516"/>
    <w:rsid w:val="00E1478D"/>
    <w:rsid w:val="00E14E29"/>
    <w:rsid w:val="00E15397"/>
    <w:rsid w:val="00E1637A"/>
    <w:rsid w:val="00E17D4C"/>
    <w:rsid w:val="00E20049"/>
    <w:rsid w:val="00E2052D"/>
    <w:rsid w:val="00E20AE7"/>
    <w:rsid w:val="00E2350E"/>
    <w:rsid w:val="00E23731"/>
    <w:rsid w:val="00E23DA8"/>
    <w:rsid w:val="00E2423E"/>
    <w:rsid w:val="00E24400"/>
    <w:rsid w:val="00E24549"/>
    <w:rsid w:val="00E26B91"/>
    <w:rsid w:val="00E26F09"/>
    <w:rsid w:val="00E30DD1"/>
    <w:rsid w:val="00E310FA"/>
    <w:rsid w:val="00E33115"/>
    <w:rsid w:val="00E339F9"/>
    <w:rsid w:val="00E345CF"/>
    <w:rsid w:val="00E34D12"/>
    <w:rsid w:val="00E35869"/>
    <w:rsid w:val="00E35C16"/>
    <w:rsid w:val="00E360A1"/>
    <w:rsid w:val="00E37AD9"/>
    <w:rsid w:val="00E37E5E"/>
    <w:rsid w:val="00E40BE0"/>
    <w:rsid w:val="00E42BCA"/>
    <w:rsid w:val="00E4504C"/>
    <w:rsid w:val="00E50479"/>
    <w:rsid w:val="00E50749"/>
    <w:rsid w:val="00E50BA8"/>
    <w:rsid w:val="00E510F1"/>
    <w:rsid w:val="00E528D2"/>
    <w:rsid w:val="00E53285"/>
    <w:rsid w:val="00E5389D"/>
    <w:rsid w:val="00E53BFE"/>
    <w:rsid w:val="00E541BB"/>
    <w:rsid w:val="00E54608"/>
    <w:rsid w:val="00E5475A"/>
    <w:rsid w:val="00E54BC4"/>
    <w:rsid w:val="00E54ECA"/>
    <w:rsid w:val="00E5620E"/>
    <w:rsid w:val="00E5679E"/>
    <w:rsid w:val="00E569A9"/>
    <w:rsid w:val="00E57279"/>
    <w:rsid w:val="00E5739A"/>
    <w:rsid w:val="00E613A1"/>
    <w:rsid w:val="00E6189B"/>
    <w:rsid w:val="00E63B43"/>
    <w:rsid w:val="00E6549D"/>
    <w:rsid w:val="00E6681B"/>
    <w:rsid w:val="00E66B06"/>
    <w:rsid w:val="00E66C71"/>
    <w:rsid w:val="00E71BD5"/>
    <w:rsid w:val="00E7223B"/>
    <w:rsid w:val="00E73507"/>
    <w:rsid w:val="00E74618"/>
    <w:rsid w:val="00E74C11"/>
    <w:rsid w:val="00E76B60"/>
    <w:rsid w:val="00E770C1"/>
    <w:rsid w:val="00E77139"/>
    <w:rsid w:val="00E77A77"/>
    <w:rsid w:val="00E81F17"/>
    <w:rsid w:val="00E82452"/>
    <w:rsid w:val="00E82601"/>
    <w:rsid w:val="00E82792"/>
    <w:rsid w:val="00E83D57"/>
    <w:rsid w:val="00E84B94"/>
    <w:rsid w:val="00E85016"/>
    <w:rsid w:val="00E86496"/>
    <w:rsid w:val="00E8658D"/>
    <w:rsid w:val="00E87362"/>
    <w:rsid w:val="00E87E5A"/>
    <w:rsid w:val="00E90F31"/>
    <w:rsid w:val="00E90FFA"/>
    <w:rsid w:val="00E91F03"/>
    <w:rsid w:val="00E92DD5"/>
    <w:rsid w:val="00E9388B"/>
    <w:rsid w:val="00E93BF8"/>
    <w:rsid w:val="00E95FB4"/>
    <w:rsid w:val="00E9615C"/>
    <w:rsid w:val="00E96163"/>
    <w:rsid w:val="00E96AAA"/>
    <w:rsid w:val="00E97276"/>
    <w:rsid w:val="00E97285"/>
    <w:rsid w:val="00E976EB"/>
    <w:rsid w:val="00EA1463"/>
    <w:rsid w:val="00EA1E74"/>
    <w:rsid w:val="00EA3564"/>
    <w:rsid w:val="00EA5041"/>
    <w:rsid w:val="00EA622A"/>
    <w:rsid w:val="00EB0693"/>
    <w:rsid w:val="00EB3552"/>
    <w:rsid w:val="00EB370A"/>
    <w:rsid w:val="00EB4828"/>
    <w:rsid w:val="00EB4DC3"/>
    <w:rsid w:val="00EB5F6E"/>
    <w:rsid w:val="00EB69C3"/>
    <w:rsid w:val="00EB6F90"/>
    <w:rsid w:val="00EC00DD"/>
    <w:rsid w:val="00EC084A"/>
    <w:rsid w:val="00EC10A2"/>
    <w:rsid w:val="00EC1102"/>
    <w:rsid w:val="00EC1433"/>
    <w:rsid w:val="00EC1FB5"/>
    <w:rsid w:val="00EC43A4"/>
    <w:rsid w:val="00EC478E"/>
    <w:rsid w:val="00EC4A87"/>
    <w:rsid w:val="00EC5327"/>
    <w:rsid w:val="00EC68A1"/>
    <w:rsid w:val="00EC6DE0"/>
    <w:rsid w:val="00EC6FA7"/>
    <w:rsid w:val="00EC79D2"/>
    <w:rsid w:val="00ED315C"/>
    <w:rsid w:val="00ED3ACD"/>
    <w:rsid w:val="00ED3E84"/>
    <w:rsid w:val="00ED41F5"/>
    <w:rsid w:val="00ED499F"/>
    <w:rsid w:val="00ED4C84"/>
    <w:rsid w:val="00ED5397"/>
    <w:rsid w:val="00ED5762"/>
    <w:rsid w:val="00ED5BF3"/>
    <w:rsid w:val="00ED5D6C"/>
    <w:rsid w:val="00ED61B5"/>
    <w:rsid w:val="00ED6253"/>
    <w:rsid w:val="00EE02B8"/>
    <w:rsid w:val="00EE0912"/>
    <w:rsid w:val="00EE256C"/>
    <w:rsid w:val="00EE349B"/>
    <w:rsid w:val="00EE44E7"/>
    <w:rsid w:val="00EE4943"/>
    <w:rsid w:val="00EE537C"/>
    <w:rsid w:val="00EE67F4"/>
    <w:rsid w:val="00EF0DAF"/>
    <w:rsid w:val="00EF10C2"/>
    <w:rsid w:val="00EF18B9"/>
    <w:rsid w:val="00EF202C"/>
    <w:rsid w:val="00EF3018"/>
    <w:rsid w:val="00EF4780"/>
    <w:rsid w:val="00EF566D"/>
    <w:rsid w:val="00EF5E6F"/>
    <w:rsid w:val="00EF7242"/>
    <w:rsid w:val="00EF77BB"/>
    <w:rsid w:val="00F00822"/>
    <w:rsid w:val="00F015DC"/>
    <w:rsid w:val="00F03DC1"/>
    <w:rsid w:val="00F04EAC"/>
    <w:rsid w:val="00F05357"/>
    <w:rsid w:val="00F05BDA"/>
    <w:rsid w:val="00F05D89"/>
    <w:rsid w:val="00F05EF1"/>
    <w:rsid w:val="00F066E1"/>
    <w:rsid w:val="00F06A3E"/>
    <w:rsid w:val="00F06C78"/>
    <w:rsid w:val="00F073B5"/>
    <w:rsid w:val="00F07A1E"/>
    <w:rsid w:val="00F07ADF"/>
    <w:rsid w:val="00F10926"/>
    <w:rsid w:val="00F10DAA"/>
    <w:rsid w:val="00F116AC"/>
    <w:rsid w:val="00F117A4"/>
    <w:rsid w:val="00F1218C"/>
    <w:rsid w:val="00F13353"/>
    <w:rsid w:val="00F138AF"/>
    <w:rsid w:val="00F14884"/>
    <w:rsid w:val="00F14B9E"/>
    <w:rsid w:val="00F14BBD"/>
    <w:rsid w:val="00F16B9D"/>
    <w:rsid w:val="00F202F9"/>
    <w:rsid w:val="00F208E2"/>
    <w:rsid w:val="00F216A4"/>
    <w:rsid w:val="00F21F15"/>
    <w:rsid w:val="00F23466"/>
    <w:rsid w:val="00F23C41"/>
    <w:rsid w:val="00F23EA4"/>
    <w:rsid w:val="00F241E4"/>
    <w:rsid w:val="00F25913"/>
    <w:rsid w:val="00F266F0"/>
    <w:rsid w:val="00F3006B"/>
    <w:rsid w:val="00F30869"/>
    <w:rsid w:val="00F30CD6"/>
    <w:rsid w:val="00F3282A"/>
    <w:rsid w:val="00F33317"/>
    <w:rsid w:val="00F335C0"/>
    <w:rsid w:val="00F342C3"/>
    <w:rsid w:val="00F3472A"/>
    <w:rsid w:val="00F34912"/>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924"/>
    <w:rsid w:val="00F52AE9"/>
    <w:rsid w:val="00F52B51"/>
    <w:rsid w:val="00F531E8"/>
    <w:rsid w:val="00F53DD3"/>
    <w:rsid w:val="00F54546"/>
    <w:rsid w:val="00F54555"/>
    <w:rsid w:val="00F564E4"/>
    <w:rsid w:val="00F57302"/>
    <w:rsid w:val="00F60384"/>
    <w:rsid w:val="00F60A6A"/>
    <w:rsid w:val="00F61832"/>
    <w:rsid w:val="00F61EF7"/>
    <w:rsid w:val="00F634B5"/>
    <w:rsid w:val="00F64114"/>
    <w:rsid w:val="00F64CE0"/>
    <w:rsid w:val="00F64FFC"/>
    <w:rsid w:val="00F65DBD"/>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2229"/>
    <w:rsid w:val="00F83A5F"/>
    <w:rsid w:val="00F83CAE"/>
    <w:rsid w:val="00F83EB1"/>
    <w:rsid w:val="00F854F2"/>
    <w:rsid w:val="00F87982"/>
    <w:rsid w:val="00F9017F"/>
    <w:rsid w:val="00F90317"/>
    <w:rsid w:val="00F90A86"/>
    <w:rsid w:val="00F90AFC"/>
    <w:rsid w:val="00F916F7"/>
    <w:rsid w:val="00F92F76"/>
    <w:rsid w:val="00F947C3"/>
    <w:rsid w:val="00F953A9"/>
    <w:rsid w:val="00F95889"/>
    <w:rsid w:val="00F95D27"/>
    <w:rsid w:val="00F96749"/>
    <w:rsid w:val="00F96AA3"/>
    <w:rsid w:val="00F96D32"/>
    <w:rsid w:val="00F97303"/>
    <w:rsid w:val="00F977A8"/>
    <w:rsid w:val="00FA034F"/>
    <w:rsid w:val="00FA09A4"/>
    <w:rsid w:val="00FA2A11"/>
    <w:rsid w:val="00FA2EA0"/>
    <w:rsid w:val="00FA360B"/>
    <w:rsid w:val="00FA364D"/>
    <w:rsid w:val="00FA481D"/>
    <w:rsid w:val="00FA4A31"/>
    <w:rsid w:val="00FA4DDB"/>
    <w:rsid w:val="00FA720F"/>
    <w:rsid w:val="00FA74AD"/>
    <w:rsid w:val="00FA7865"/>
    <w:rsid w:val="00FB0C25"/>
    <w:rsid w:val="00FB0D31"/>
    <w:rsid w:val="00FB1351"/>
    <w:rsid w:val="00FB16C7"/>
    <w:rsid w:val="00FB196D"/>
    <w:rsid w:val="00FB1AC4"/>
    <w:rsid w:val="00FB2286"/>
    <w:rsid w:val="00FB2329"/>
    <w:rsid w:val="00FB2960"/>
    <w:rsid w:val="00FB29AB"/>
    <w:rsid w:val="00FB5CA1"/>
    <w:rsid w:val="00FB6398"/>
    <w:rsid w:val="00FB6D5F"/>
    <w:rsid w:val="00FB6E0B"/>
    <w:rsid w:val="00FC02A9"/>
    <w:rsid w:val="00FC137F"/>
    <w:rsid w:val="00FC1751"/>
    <w:rsid w:val="00FC21AD"/>
    <w:rsid w:val="00FC2A67"/>
    <w:rsid w:val="00FC34AB"/>
    <w:rsid w:val="00FC4CBF"/>
    <w:rsid w:val="00FC4E6F"/>
    <w:rsid w:val="00FC502E"/>
    <w:rsid w:val="00FC6826"/>
    <w:rsid w:val="00FC689E"/>
    <w:rsid w:val="00FC6CE8"/>
    <w:rsid w:val="00FC6F80"/>
    <w:rsid w:val="00FD0574"/>
    <w:rsid w:val="00FD22AD"/>
    <w:rsid w:val="00FD234D"/>
    <w:rsid w:val="00FD328F"/>
    <w:rsid w:val="00FD4245"/>
    <w:rsid w:val="00FD4B2C"/>
    <w:rsid w:val="00FD4B7C"/>
    <w:rsid w:val="00FD4BC1"/>
    <w:rsid w:val="00FD5F12"/>
    <w:rsid w:val="00FD6B5B"/>
    <w:rsid w:val="00FD7384"/>
    <w:rsid w:val="00FE0DF5"/>
    <w:rsid w:val="00FE0E01"/>
    <w:rsid w:val="00FE0E36"/>
    <w:rsid w:val="00FE1016"/>
    <w:rsid w:val="00FE173C"/>
    <w:rsid w:val="00FE1EED"/>
    <w:rsid w:val="00FE205D"/>
    <w:rsid w:val="00FE3CFE"/>
    <w:rsid w:val="00FE3F39"/>
    <w:rsid w:val="00FE468A"/>
    <w:rsid w:val="00FE5DB8"/>
    <w:rsid w:val="00FE611F"/>
    <w:rsid w:val="00FE72F7"/>
    <w:rsid w:val="00FE7651"/>
    <w:rsid w:val="00FF1A5B"/>
    <w:rsid w:val="00FF1CB9"/>
    <w:rsid w:val="00FF2CCC"/>
    <w:rsid w:val="00FF302D"/>
    <w:rsid w:val="00FF4D60"/>
    <w:rsid w:val="00FF59F1"/>
    <w:rsid w:val="00FF64A5"/>
    <w:rsid w:val="00FF6921"/>
    <w:rsid w:val="00FF6CDE"/>
    <w:rsid w:val="00FF7D25"/>
    <w:rsid w:val="015E6F4F"/>
    <w:rsid w:val="01740BF2"/>
    <w:rsid w:val="01BF2B9A"/>
    <w:rsid w:val="02A855E1"/>
    <w:rsid w:val="05DB4052"/>
    <w:rsid w:val="09F23606"/>
    <w:rsid w:val="0B6E73CC"/>
    <w:rsid w:val="0D7552AB"/>
    <w:rsid w:val="0FAB1868"/>
    <w:rsid w:val="10986FB0"/>
    <w:rsid w:val="172C7993"/>
    <w:rsid w:val="176729A8"/>
    <w:rsid w:val="1DF4707B"/>
    <w:rsid w:val="25061E2A"/>
    <w:rsid w:val="253363F3"/>
    <w:rsid w:val="26041A8E"/>
    <w:rsid w:val="270C6CB7"/>
    <w:rsid w:val="27831FCF"/>
    <w:rsid w:val="28371EDF"/>
    <w:rsid w:val="2A9A6145"/>
    <w:rsid w:val="2E4D6C2F"/>
    <w:rsid w:val="2F7C7BE3"/>
    <w:rsid w:val="2FDB28EE"/>
    <w:rsid w:val="31492F27"/>
    <w:rsid w:val="3B7B2D4B"/>
    <w:rsid w:val="3DFB4191"/>
    <w:rsid w:val="41B63C5D"/>
    <w:rsid w:val="46090E04"/>
    <w:rsid w:val="493B457E"/>
    <w:rsid w:val="4DEE04B5"/>
    <w:rsid w:val="59A81331"/>
    <w:rsid w:val="5C462448"/>
    <w:rsid w:val="5DDB38BE"/>
    <w:rsid w:val="5F816997"/>
    <w:rsid w:val="615416F1"/>
    <w:rsid w:val="61DD76FB"/>
    <w:rsid w:val="64395601"/>
    <w:rsid w:val="655D464F"/>
    <w:rsid w:val="6B3741A9"/>
    <w:rsid w:val="6CAB154D"/>
    <w:rsid w:val="6D2B2C7A"/>
    <w:rsid w:val="6E78720F"/>
    <w:rsid w:val="70C40E98"/>
    <w:rsid w:val="72D50F47"/>
    <w:rsid w:val="72F60CDC"/>
    <w:rsid w:val="73E619D0"/>
    <w:rsid w:val="77674A82"/>
    <w:rsid w:val="7D644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94"/>
    <w:qFormat/>
    <w:uiPriority w:val="0"/>
    <w:pPr>
      <w:keepNext/>
      <w:keepLines/>
      <w:spacing w:before="340" w:after="330" w:line="578" w:lineRule="auto"/>
      <w:outlineLvl w:val="0"/>
    </w:pPr>
    <w:rPr>
      <w:b/>
      <w:bCs/>
      <w:kern w:val="44"/>
      <w:sz w:val="30"/>
      <w:szCs w:val="44"/>
    </w:rPr>
  </w:style>
  <w:style w:type="paragraph" w:styleId="6">
    <w:name w:val="heading 2"/>
    <w:basedOn w:val="1"/>
    <w:next w:val="1"/>
    <w:link w:val="98"/>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7">
    <w:name w:val="heading 3"/>
    <w:basedOn w:val="1"/>
    <w:next w:val="1"/>
    <w:link w:val="83"/>
    <w:qFormat/>
    <w:uiPriority w:val="0"/>
    <w:pPr>
      <w:keepNext/>
      <w:keepLines/>
      <w:spacing w:before="260" w:after="260" w:line="416" w:lineRule="auto"/>
      <w:jc w:val="center"/>
      <w:outlineLvl w:val="2"/>
    </w:pPr>
    <w:rPr>
      <w:rFonts w:ascii="宋体"/>
      <w:b/>
      <w:bCs/>
      <w:sz w:val="32"/>
      <w:szCs w:val="32"/>
    </w:rPr>
  </w:style>
  <w:style w:type="paragraph" w:styleId="8">
    <w:name w:val="heading 4"/>
    <w:basedOn w:val="1"/>
    <w:next w:val="1"/>
    <w:link w:val="89"/>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101"/>
    <w:qFormat/>
    <w:uiPriority w:val="0"/>
    <w:pPr>
      <w:keepNext/>
      <w:outlineLvl w:val="4"/>
    </w:pPr>
    <w:rPr>
      <w:rFonts w:ascii="宋体" w:hAnsi="Arial"/>
      <w:bCs/>
      <w:sz w:val="28"/>
      <w:szCs w:val="20"/>
    </w:rPr>
  </w:style>
  <w:style w:type="paragraph" w:styleId="10">
    <w:name w:val="heading 6"/>
    <w:basedOn w:val="1"/>
    <w:next w:val="1"/>
    <w:link w:val="103"/>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11">
    <w:name w:val="heading 7"/>
    <w:basedOn w:val="1"/>
    <w:next w:val="1"/>
    <w:link w:val="92"/>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2">
    <w:name w:val="heading 8"/>
    <w:basedOn w:val="1"/>
    <w:next w:val="1"/>
    <w:link w:val="131"/>
    <w:qFormat/>
    <w:uiPriority w:val="0"/>
    <w:pPr>
      <w:keepNext/>
      <w:keepLines/>
      <w:spacing w:line="400" w:lineRule="exact"/>
      <w:jc w:val="center"/>
      <w:outlineLvl w:val="7"/>
    </w:pPr>
    <w:rPr>
      <w:rFonts w:ascii="宋体" w:hAnsi="宋体" w:eastAsia="黑体"/>
      <w:sz w:val="32"/>
      <w:szCs w:val="32"/>
    </w:rPr>
  </w:style>
  <w:style w:type="paragraph" w:styleId="13">
    <w:name w:val="heading 9"/>
    <w:basedOn w:val="12"/>
    <w:next w:val="1"/>
    <w:link w:val="132"/>
    <w:qFormat/>
    <w:uiPriority w:val="0"/>
    <w:pPr>
      <w:tabs>
        <w:tab w:val="left" w:pos="2160"/>
      </w:tabs>
      <w:ind w:left="1559" w:hanging="1559"/>
      <w:outlineLvl w:val="8"/>
    </w:pPr>
    <w:rPr>
      <w:rFonts w:ascii="Times New Roman" w:hAnsi="Times New Roman" w:eastAsia="宋体"/>
      <w:b/>
      <w:bCs/>
      <w:sz w:val="30"/>
      <w:szCs w:val="18"/>
    </w:rPr>
  </w:style>
  <w:style w:type="character" w:default="1" w:styleId="68">
    <w:name w:val="Default Paragraph Font"/>
    <w:semiHidden/>
    <w:unhideWhenUsed/>
    <w:qFormat/>
    <w:uiPriority w:val="1"/>
  </w:style>
  <w:style w:type="table" w:default="1" w:styleId="6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86"/>
    <w:unhideWhenUsed/>
    <w:qFormat/>
    <w:uiPriority w:val="0"/>
    <w:pPr>
      <w:spacing w:after="120"/>
      <w:ind w:left="420" w:leftChars="200" w:firstLine="420" w:firstLineChars="200"/>
    </w:pPr>
    <w:rPr>
      <w:rFonts w:ascii="Times New Roman" w:cstheme="minorBidi"/>
      <w:sz w:val="21"/>
      <w:szCs w:val="22"/>
    </w:rPr>
  </w:style>
  <w:style w:type="paragraph" w:styleId="3">
    <w:name w:val="Body Text Indent"/>
    <w:basedOn w:val="1"/>
    <w:next w:val="4"/>
    <w:link w:val="105"/>
    <w:qFormat/>
    <w:uiPriority w:val="99"/>
    <w:pPr>
      <w:ind w:firstLine="645"/>
    </w:pPr>
    <w:rPr>
      <w:rFonts w:ascii="楷体_GB2312" w:eastAsia="楷体_GB2312"/>
      <w:sz w:val="32"/>
      <w:szCs w:val="20"/>
    </w:rPr>
  </w:style>
  <w:style w:type="paragraph" w:styleId="4">
    <w:name w:val="envelope return"/>
    <w:basedOn w:val="1"/>
    <w:unhideWhenUsed/>
    <w:qFormat/>
    <w:uiPriority w:val="99"/>
    <w:pPr>
      <w:snapToGrid w:val="0"/>
    </w:pPr>
    <w:rPr>
      <w:rFonts w:ascii="Arial" w:hAnsi="Arial"/>
    </w:rPr>
  </w:style>
  <w:style w:type="paragraph" w:styleId="14">
    <w:name w:val="List 3"/>
    <w:basedOn w:val="1"/>
    <w:qFormat/>
    <w:uiPriority w:val="0"/>
    <w:pPr>
      <w:ind w:left="100" w:leftChars="400" w:hanging="200" w:hangingChars="200"/>
    </w:pPr>
    <w:rPr>
      <w:rFonts w:ascii="Calibri" w:hAnsi="Calibri"/>
    </w:rPr>
  </w:style>
  <w:style w:type="paragraph" w:styleId="15">
    <w:name w:val="toc 7"/>
    <w:basedOn w:val="1"/>
    <w:next w:val="1"/>
    <w:qFormat/>
    <w:uiPriority w:val="39"/>
    <w:pPr>
      <w:ind w:left="1260"/>
      <w:jc w:val="left"/>
    </w:pPr>
    <w:rPr>
      <w:szCs w:val="21"/>
    </w:rPr>
  </w:style>
  <w:style w:type="paragraph" w:styleId="16">
    <w:name w:val="table of authorities"/>
    <w:basedOn w:val="1"/>
    <w:next w:val="1"/>
    <w:qFormat/>
    <w:uiPriority w:val="0"/>
    <w:pPr>
      <w:ind w:left="420" w:leftChars="200"/>
    </w:pPr>
    <w:rPr>
      <w:szCs w:val="20"/>
    </w:rPr>
  </w:style>
  <w:style w:type="paragraph" w:styleId="17">
    <w:name w:val="index 8"/>
    <w:basedOn w:val="1"/>
    <w:next w:val="1"/>
    <w:qFormat/>
    <w:uiPriority w:val="0"/>
    <w:pPr>
      <w:ind w:left="1400" w:leftChars="1400"/>
    </w:pPr>
    <w:rPr>
      <w:szCs w:val="20"/>
    </w:rPr>
  </w:style>
  <w:style w:type="paragraph" w:styleId="18">
    <w:name w:val="Normal Indent"/>
    <w:basedOn w:val="1"/>
    <w:link w:val="336"/>
    <w:unhideWhenUsed/>
    <w:qFormat/>
    <w:uiPriority w:val="0"/>
    <w:pPr>
      <w:ind w:firstLine="420" w:firstLineChars="200"/>
    </w:pPr>
    <w:rPr>
      <w:rFonts w:ascii="Calibri" w:hAnsi="Calibri"/>
    </w:rPr>
  </w:style>
  <w:style w:type="paragraph" w:styleId="19">
    <w:name w:val="caption"/>
    <w:basedOn w:val="1"/>
    <w:next w:val="1"/>
    <w:qFormat/>
    <w:uiPriority w:val="0"/>
    <w:pPr>
      <w:spacing w:before="152" w:after="160"/>
    </w:pPr>
    <w:rPr>
      <w:rFonts w:ascii="Arial" w:hAnsi="Arial" w:eastAsia="黑体" w:cs="Arial"/>
      <w:sz w:val="20"/>
      <w:szCs w:val="20"/>
    </w:rPr>
  </w:style>
  <w:style w:type="paragraph" w:styleId="20">
    <w:name w:val="index 5"/>
    <w:basedOn w:val="1"/>
    <w:next w:val="1"/>
    <w:qFormat/>
    <w:uiPriority w:val="0"/>
    <w:pPr>
      <w:ind w:left="800" w:leftChars="800"/>
    </w:pPr>
    <w:rPr>
      <w:szCs w:val="20"/>
    </w:rPr>
  </w:style>
  <w:style w:type="paragraph" w:styleId="21">
    <w:name w:val="Document Map"/>
    <w:basedOn w:val="1"/>
    <w:link w:val="107"/>
    <w:qFormat/>
    <w:uiPriority w:val="0"/>
    <w:pPr>
      <w:shd w:val="clear" w:color="auto" w:fill="000080"/>
    </w:pPr>
    <w:rPr>
      <w:szCs w:val="20"/>
    </w:rPr>
  </w:style>
  <w:style w:type="paragraph" w:styleId="22">
    <w:name w:val="toa heading"/>
    <w:basedOn w:val="1"/>
    <w:next w:val="1"/>
    <w:qFormat/>
    <w:uiPriority w:val="0"/>
    <w:pPr>
      <w:spacing w:before="120"/>
    </w:pPr>
    <w:rPr>
      <w:rFonts w:ascii="Arial" w:hAnsi="Arial"/>
      <w:b/>
      <w:bCs/>
      <w:szCs w:val="24"/>
    </w:rPr>
  </w:style>
  <w:style w:type="paragraph" w:styleId="23">
    <w:name w:val="annotation text"/>
    <w:basedOn w:val="1"/>
    <w:link w:val="95"/>
    <w:qFormat/>
    <w:uiPriority w:val="0"/>
    <w:pPr>
      <w:jc w:val="left"/>
    </w:pPr>
    <w:rPr>
      <w:szCs w:val="20"/>
    </w:rPr>
  </w:style>
  <w:style w:type="paragraph" w:styleId="24">
    <w:name w:val="index 6"/>
    <w:basedOn w:val="1"/>
    <w:next w:val="1"/>
    <w:qFormat/>
    <w:uiPriority w:val="0"/>
    <w:pPr>
      <w:ind w:left="1000" w:leftChars="1000"/>
    </w:pPr>
    <w:rPr>
      <w:szCs w:val="20"/>
    </w:rPr>
  </w:style>
  <w:style w:type="paragraph" w:styleId="25">
    <w:name w:val="Salutation"/>
    <w:basedOn w:val="1"/>
    <w:next w:val="1"/>
    <w:link w:val="137"/>
    <w:qFormat/>
    <w:uiPriority w:val="0"/>
    <w:rPr>
      <w:rFonts w:ascii="仿宋_GB2312" w:hAnsi="Calibri" w:eastAsia="仿宋_GB2312"/>
      <w:bCs/>
      <w:sz w:val="28"/>
      <w:szCs w:val="20"/>
    </w:rPr>
  </w:style>
  <w:style w:type="paragraph" w:styleId="26">
    <w:name w:val="Body Text 3"/>
    <w:basedOn w:val="1"/>
    <w:link w:val="85"/>
    <w:qFormat/>
    <w:uiPriority w:val="0"/>
    <w:rPr>
      <w:rFonts w:ascii="黑体" w:hAnsi="Arial" w:eastAsia="黑体"/>
      <w:b/>
      <w:sz w:val="28"/>
      <w:szCs w:val="20"/>
    </w:rPr>
  </w:style>
  <w:style w:type="paragraph" w:styleId="27">
    <w:name w:val="Body Text"/>
    <w:basedOn w:val="1"/>
    <w:link w:val="91"/>
    <w:qFormat/>
    <w:uiPriority w:val="0"/>
    <w:rPr>
      <w:rFonts w:ascii="宋体" w:hAnsi="Arial"/>
      <w:sz w:val="28"/>
      <w:szCs w:val="20"/>
    </w:rPr>
  </w:style>
  <w:style w:type="paragraph" w:styleId="28">
    <w:name w:val="List 2"/>
    <w:basedOn w:val="1"/>
    <w:qFormat/>
    <w:uiPriority w:val="0"/>
    <w:pPr>
      <w:ind w:left="100" w:leftChars="200" w:hanging="200" w:hangingChars="200"/>
    </w:pPr>
    <w:rPr>
      <w:rFonts w:ascii="Calibri" w:hAnsi="Calibri"/>
    </w:rPr>
  </w:style>
  <w:style w:type="paragraph" w:styleId="29">
    <w:name w:val="List Continue"/>
    <w:basedOn w:val="1"/>
    <w:qFormat/>
    <w:uiPriority w:val="0"/>
    <w:pPr>
      <w:spacing w:after="120"/>
      <w:ind w:left="420" w:leftChars="200"/>
    </w:pPr>
    <w:rPr>
      <w:rFonts w:ascii="Calibri" w:hAnsi="Calibri"/>
    </w:rPr>
  </w:style>
  <w:style w:type="paragraph" w:styleId="30">
    <w:name w:val="Block Text"/>
    <w:basedOn w:val="1"/>
    <w:qFormat/>
    <w:uiPriority w:val="0"/>
    <w:pPr>
      <w:spacing w:after="156"/>
    </w:pPr>
    <w:rPr>
      <w:rFonts w:ascii="宋体"/>
    </w:rPr>
  </w:style>
  <w:style w:type="paragraph" w:styleId="31">
    <w:name w:val="index 4"/>
    <w:basedOn w:val="1"/>
    <w:next w:val="1"/>
    <w:qFormat/>
    <w:uiPriority w:val="0"/>
    <w:pPr>
      <w:ind w:left="600" w:leftChars="600"/>
    </w:pPr>
    <w:rPr>
      <w:szCs w:val="20"/>
    </w:rPr>
  </w:style>
  <w:style w:type="paragraph" w:styleId="32">
    <w:name w:val="toc 5"/>
    <w:basedOn w:val="1"/>
    <w:next w:val="1"/>
    <w:qFormat/>
    <w:uiPriority w:val="39"/>
    <w:pPr>
      <w:ind w:left="840"/>
      <w:jc w:val="left"/>
    </w:pPr>
    <w:rPr>
      <w:szCs w:val="21"/>
    </w:rPr>
  </w:style>
  <w:style w:type="paragraph" w:styleId="33">
    <w:name w:val="toc 3"/>
    <w:basedOn w:val="1"/>
    <w:next w:val="1"/>
    <w:qFormat/>
    <w:uiPriority w:val="39"/>
    <w:pPr>
      <w:tabs>
        <w:tab w:val="right" w:leader="dot" w:pos="9403"/>
      </w:tabs>
      <w:spacing w:line="380" w:lineRule="exact"/>
      <w:ind w:left="420"/>
      <w:jc w:val="left"/>
    </w:pPr>
    <w:rPr>
      <w:i/>
      <w:iCs/>
      <w:szCs w:val="24"/>
    </w:rPr>
  </w:style>
  <w:style w:type="paragraph" w:styleId="34">
    <w:name w:val="Plain Text"/>
    <w:basedOn w:val="1"/>
    <w:link w:val="96"/>
    <w:qFormat/>
    <w:uiPriority w:val="0"/>
    <w:rPr>
      <w:rFonts w:ascii="宋体" w:hAnsi="Courier New"/>
      <w:szCs w:val="20"/>
    </w:rPr>
  </w:style>
  <w:style w:type="paragraph" w:styleId="35">
    <w:name w:val="toc 8"/>
    <w:basedOn w:val="1"/>
    <w:next w:val="1"/>
    <w:qFormat/>
    <w:uiPriority w:val="39"/>
    <w:pPr>
      <w:ind w:left="1470"/>
      <w:jc w:val="left"/>
    </w:pPr>
    <w:rPr>
      <w:szCs w:val="21"/>
    </w:rPr>
  </w:style>
  <w:style w:type="paragraph" w:styleId="36">
    <w:name w:val="index 3"/>
    <w:basedOn w:val="1"/>
    <w:next w:val="1"/>
    <w:qFormat/>
    <w:uiPriority w:val="0"/>
    <w:pPr>
      <w:ind w:left="400" w:leftChars="400"/>
    </w:pPr>
    <w:rPr>
      <w:szCs w:val="20"/>
    </w:rPr>
  </w:style>
  <w:style w:type="paragraph" w:styleId="37">
    <w:name w:val="Date"/>
    <w:basedOn w:val="1"/>
    <w:next w:val="1"/>
    <w:link w:val="86"/>
    <w:qFormat/>
    <w:uiPriority w:val="0"/>
    <w:rPr>
      <w:b/>
      <w:sz w:val="28"/>
      <w:szCs w:val="20"/>
    </w:rPr>
  </w:style>
  <w:style w:type="paragraph" w:styleId="38">
    <w:name w:val="Body Text Indent 2"/>
    <w:basedOn w:val="1"/>
    <w:link w:val="93"/>
    <w:qFormat/>
    <w:uiPriority w:val="0"/>
    <w:pPr>
      <w:ind w:left="630" w:firstLine="645"/>
    </w:pPr>
    <w:rPr>
      <w:rFonts w:ascii="Arial" w:hAnsi="Arial" w:eastAsia="仿宋_GB2312"/>
      <w:sz w:val="32"/>
      <w:szCs w:val="20"/>
    </w:rPr>
  </w:style>
  <w:style w:type="paragraph" w:styleId="39">
    <w:name w:val="Balloon Text"/>
    <w:basedOn w:val="1"/>
    <w:link w:val="84"/>
    <w:qFormat/>
    <w:uiPriority w:val="0"/>
    <w:rPr>
      <w:sz w:val="18"/>
      <w:szCs w:val="18"/>
    </w:rPr>
  </w:style>
  <w:style w:type="paragraph" w:styleId="40">
    <w:name w:val="footer"/>
    <w:basedOn w:val="1"/>
    <w:link w:val="88"/>
    <w:qFormat/>
    <w:uiPriority w:val="99"/>
    <w:pPr>
      <w:tabs>
        <w:tab w:val="center" w:pos="4153"/>
        <w:tab w:val="right" w:pos="8306"/>
      </w:tabs>
      <w:snapToGrid w:val="0"/>
      <w:jc w:val="left"/>
    </w:pPr>
    <w:rPr>
      <w:sz w:val="18"/>
      <w:szCs w:val="20"/>
    </w:rPr>
  </w:style>
  <w:style w:type="paragraph" w:styleId="41">
    <w:name w:val="header"/>
    <w:basedOn w:val="1"/>
    <w:link w:val="97"/>
    <w:qFormat/>
    <w:uiPriority w:val="0"/>
    <w:pPr>
      <w:pBdr>
        <w:bottom w:val="single" w:color="auto" w:sz="6" w:space="1"/>
      </w:pBdr>
      <w:tabs>
        <w:tab w:val="center" w:pos="4153"/>
        <w:tab w:val="right" w:pos="8306"/>
      </w:tabs>
      <w:snapToGrid w:val="0"/>
      <w:jc w:val="center"/>
    </w:pPr>
    <w:rPr>
      <w:sz w:val="18"/>
      <w:szCs w:val="20"/>
    </w:rPr>
  </w:style>
  <w:style w:type="paragraph" w:styleId="42">
    <w:name w:val="toc 1"/>
    <w:basedOn w:val="1"/>
    <w:next w:val="1"/>
    <w:qFormat/>
    <w:uiPriority w:val="39"/>
    <w:pPr>
      <w:spacing w:before="120" w:after="120"/>
      <w:jc w:val="left"/>
    </w:pPr>
    <w:rPr>
      <w:caps/>
      <w:szCs w:val="24"/>
    </w:rPr>
  </w:style>
  <w:style w:type="paragraph" w:styleId="43">
    <w:name w:val="List Continue 4"/>
    <w:basedOn w:val="1"/>
    <w:qFormat/>
    <w:uiPriority w:val="0"/>
    <w:pPr>
      <w:spacing w:after="120"/>
      <w:ind w:left="1680" w:leftChars="800"/>
    </w:pPr>
    <w:rPr>
      <w:rFonts w:ascii="Calibri" w:hAnsi="Calibri"/>
    </w:rPr>
  </w:style>
  <w:style w:type="paragraph" w:styleId="44">
    <w:name w:val="toc 4"/>
    <w:basedOn w:val="1"/>
    <w:next w:val="1"/>
    <w:qFormat/>
    <w:uiPriority w:val="39"/>
    <w:pPr>
      <w:ind w:left="630"/>
      <w:jc w:val="left"/>
    </w:pPr>
    <w:rPr>
      <w:szCs w:val="21"/>
    </w:rPr>
  </w:style>
  <w:style w:type="paragraph" w:styleId="45">
    <w:name w:val="index heading"/>
    <w:basedOn w:val="1"/>
    <w:next w:val="46"/>
    <w:qFormat/>
    <w:uiPriority w:val="0"/>
    <w:rPr>
      <w:szCs w:val="20"/>
    </w:rPr>
  </w:style>
  <w:style w:type="paragraph" w:styleId="46">
    <w:name w:val="index 1"/>
    <w:basedOn w:val="1"/>
    <w:next w:val="1"/>
    <w:qFormat/>
    <w:uiPriority w:val="0"/>
    <w:pPr>
      <w:jc w:val="center"/>
    </w:pPr>
    <w:rPr>
      <w:rFonts w:ascii="仿宋_GB2312" w:eastAsia="仿宋_GB2312"/>
      <w:b/>
      <w:bCs/>
      <w:sz w:val="28"/>
      <w:szCs w:val="20"/>
    </w:rPr>
  </w:style>
  <w:style w:type="paragraph" w:styleId="47">
    <w:name w:val="Subtitle"/>
    <w:basedOn w:val="1"/>
    <w:link w:val="243"/>
    <w:qFormat/>
    <w:uiPriority w:val="0"/>
    <w:pPr>
      <w:spacing w:before="240" w:after="60" w:line="312" w:lineRule="auto"/>
      <w:jc w:val="center"/>
      <w:outlineLvl w:val="1"/>
    </w:pPr>
    <w:rPr>
      <w:rFonts w:ascii="Arial" w:hAnsi="Arial"/>
      <w:b/>
      <w:bCs/>
      <w:kern w:val="28"/>
      <w:sz w:val="32"/>
      <w:szCs w:val="32"/>
    </w:rPr>
  </w:style>
  <w:style w:type="paragraph" w:styleId="48">
    <w:name w:val="List"/>
    <w:basedOn w:val="1"/>
    <w:qFormat/>
    <w:uiPriority w:val="0"/>
    <w:pPr>
      <w:ind w:left="200" w:hanging="200" w:hangingChars="200"/>
    </w:pPr>
    <w:rPr>
      <w:rFonts w:ascii="Calibri" w:hAnsi="Calibri"/>
    </w:rPr>
  </w:style>
  <w:style w:type="paragraph" w:styleId="49">
    <w:name w:val="footnote text"/>
    <w:basedOn w:val="1"/>
    <w:link w:val="156"/>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50">
    <w:name w:val="toc 6"/>
    <w:basedOn w:val="1"/>
    <w:next w:val="1"/>
    <w:qFormat/>
    <w:uiPriority w:val="39"/>
    <w:pPr>
      <w:ind w:left="1050"/>
      <w:jc w:val="left"/>
    </w:pPr>
    <w:rPr>
      <w:szCs w:val="21"/>
    </w:rPr>
  </w:style>
  <w:style w:type="paragraph" w:styleId="51">
    <w:name w:val="Body Text Indent 3"/>
    <w:basedOn w:val="1"/>
    <w:link w:val="102"/>
    <w:qFormat/>
    <w:uiPriority w:val="0"/>
    <w:pPr>
      <w:ind w:firstLine="645"/>
    </w:pPr>
    <w:rPr>
      <w:rFonts w:ascii="仿宋_GB2312" w:hAnsi="Arial" w:eastAsia="仿宋_GB2312"/>
      <w:color w:val="000000"/>
      <w:sz w:val="30"/>
      <w:szCs w:val="20"/>
    </w:rPr>
  </w:style>
  <w:style w:type="paragraph" w:styleId="52">
    <w:name w:val="index 7"/>
    <w:basedOn w:val="1"/>
    <w:next w:val="1"/>
    <w:qFormat/>
    <w:uiPriority w:val="0"/>
    <w:pPr>
      <w:ind w:left="1200" w:leftChars="1200"/>
    </w:pPr>
    <w:rPr>
      <w:szCs w:val="20"/>
    </w:rPr>
  </w:style>
  <w:style w:type="paragraph" w:styleId="53">
    <w:name w:val="index 9"/>
    <w:basedOn w:val="1"/>
    <w:next w:val="1"/>
    <w:qFormat/>
    <w:uiPriority w:val="0"/>
    <w:pPr>
      <w:ind w:left="1600" w:leftChars="1600"/>
    </w:pPr>
    <w:rPr>
      <w:szCs w:val="20"/>
    </w:rPr>
  </w:style>
  <w:style w:type="paragraph" w:styleId="54">
    <w:name w:val="table of figures"/>
    <w:basedOn w:val="1"/>
    <w:next w:val="1"/>
    <w:qFormat/>
    <w:uiPriority w:val="0"/>
    <w:pPr>
      <w:widowControl/>
      <w:spacing w:line="240" w:lineRule="exact"/>
      <w:ind w:left="200" w:leftChars="200" w:hanging="200" w:hangingChars="200"/>
      <w:jc w:val="left"/>
    </w:pPr>
    <w:rPr>
      <w:szCs w:val="24"/>
    </w:rPr>
  </w:style>
  <w:style w:type="paragraph" w:styleId="55">
    <w:name w:val="toc 2"/>
    <w:basedOn w:val="1"/>
    <w:next w:val="1"/>
    <w:qFormat/>
    <w:uiPriority w:val="39"/>
    <w:pPr>
      <w:tabs>
        <w:tab w:val="right" w:leader="dot" w:pos="9403"/>
      </w:tabs>
      <w:ind w:left="210"/>
      <w:jc w:val="left"/>
    </w:pPr>
    <w:rPr>
      <w:smallCaps/>
      <w:sz w:val="28"/>
      <w:szCs w:val="24"/>
    </w:rPr>
  </w:style>
  <w:style w:type="paragraph" w:styleId="56">
    <w:name w:val="toc 9"/>
    <w:basedOn w:val="1"/>
    <w:next w:val="1"/>
    <w:qFormat/>
    <w:uiPriority w:val="39"/>
    <w:pPr>
      <w:ind w:left="1680"/>
      <w:jc w:val="left"/>
    </w:pPr>
    <w:rPr>
      <w:szCs w:val="21"/>
    </w:rPr>
  </w:style>
  <w:style w:type="paragraph" w:styleId="57">
    <w:name w:val="Body Text 2"/>
    <w:basedOn w:val="1"/>
    <w:link w:val="90"/>
    <w:qFormat/>
    <w:uiPriority w:val="0"/>
    <w:rPr>
      <w:rFonts w:ascii="仿宋_GB2312" w:eastAsia="仿宋_GB2312"/>
      <w:b/>
      <w:sz w:val="24"/>
      <w:szCs w:val="20"/>
    </w:rPr>
  </w:style>
  <w:style w:type="paragraph" w:styleId="58">
    <w:name w:val="List 4"/>
    <w:basedOn w:val="1"/>
    <w:qFormat/>
    <w:uiPriority w:val="0"/>
    <w:pPr>
      <w:ind w:left="100" w:leftChars="600" w:hanging="200" w:hangingChars="200"/>
    </w:pPr>
    <w:rPr>
      <w:rFonts w:ascii="Calibri" w:hAnsi="Calibri"/>
    </w:rPr>
  </w:style>
  <w:style w:type="paragraph" w:styleId="59">
    <w:name w:val="List Continue 2"/>
    <w:basedOn w:val="1"/>
    <w:qFormat/>
    <w:uiPriority w:val="0"/>
    <w:pPr>
      <w:spacing w:after="120"/>
      <w:ind w:left="840" w:leftChars="400"/>
    </w:pPr>
    <w:rPr>
      <w:rFonts w:ascii="Calibri" w:hAnsi="Calibri"/>
    </w:rPr>
  </w:style>
  <w:style w:type="paragraph" w:styleId="60">
    <w:name w:val="HTML Preformatted"/>
    <w:basedOn w:val="1"/>
    <w:link w:val="38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heme="minorEastAsia" w:cstheme="minorBidi"/>
      <w:kern w:val="0"/>
      <w:sz w:val="24"/>
      <w:szCs w:val="24"/>
    </w:rPr>
  </w:style>
  <w:style w:type="paragraph" w:styleId="61">
    <w:name w:val="Normal (Web)"/>
    <w:basedOn w:val="1"/>
    <w:link w:val="385"/>
    <w:qFormat/>
    <w:uiPriority w:val="0"/>
    <w:pPr>
      <w:widowControl/>
      <w:spacing w:before="100" w:beforeAutospacing="1" w:after="100" w:afterAutospacing="1"/>
      <w:jc w:val="left"/>
    </w:pPr>
    <w:rPr>
      <w:rFonts w:ascii="宋体" w:hAnsi="宋体"/>
      <w:kern w:val="0"/>
      <w:sz w:val="24"/>
      <w:szCs w:val="24"/>
    </w:rPr>
  </w:style>
  <w:style w:type="paragraph" w:styleId="62">
    <w:name w:val="index 2"/>
    <w:basedOn w:val="1"/>
    <w:next w:val="1"/>
    <w:qFormat/>
    <w:uiPriority w:val="0"/>
    <w:pPr>
      <w:ind w:left="200" w:leftChars="200"/>
    </w:pPr>
    <w:rPr>
      <w:szCs w:val="20"/>
    </w:rPr>
  </w:style>
  <w:style w:type="paragraph" w:styleId="63">
    <w:name w:val="Title"/>
    <w:basedOn w:val="6"/>
    <w:next w:val="1"/>
    <w:link w:val="151"/>
    <w:qFormat/>
    <w:uiPriority w:val="0"/>
    <w:pPr>
      <w:spacing w:before="0" w:after="0" w:line="360" w:lineRule="auto"/>
      <w:ind w:firstLine="0"/>
    </w:pPr>
    <w:rPr>
      <w:rFonts w:ascii="宋体" w:hAnsi="宋体"/>
      <w:bCs w:val="0"/>
      <w:smallCaps/>
      <w:snapToGrid w:val="0"/>
      <w:sz w:val="44"/>
      <w:szCs w:val="24"/>
    </w:rPr>
  </w:style>
  <w:style w:type="paragraph" w:styleId="64">
    <w:name w:val="annotation subject"/>
    <w:basedOn w:val="23"/>
    <w:next w:val="23"/>
    <w:link w:val="106"/>
    <w:unhideWhenUsed/>
    <w:qFormat/>
    <w:uiPriority w:val="0"/>
    <w:rPr>
      <w:b/>
      <w:bCs/>
      <w:szCs w:val="22"/>
    </w:rPr>
  </w:style>
  <w:style w:type="paragraph" w:styleId="65">
    <w:name w:val="Body Text First Indent"/>
    <w:basedOn w:val="1"/>
    <w:link w:val="87"/>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table" w:styleId="67">
    <w:name w:val="Table Grid"/>
    <w:basedOn w:val="66"/>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9">
    <w:name w:val="Strong"/>
    <w:qFormat/>
    <w:uiPriority w:val="0"/>
    <w:rPr>
      <w:b/>
      <w:bCs/>
    </w:rPr>
  </w:style>
  <w:style w:type="character" w:styleId="70">
    <w:name w:val="page number"/>
    <w:qFormat/>
    <w:uiPriority w:val="99"/>
  </w:style>
  <w:style w:type="character" w:styleId="71">
    <w:name w:val="FollowedHyperlink"/>
    <w:qFormat/>
    <w:uiPriority w:val="0"/>
    <w:rPr>
      <w:color w:val="800080"/>
      <w:u w:val="single"/>
    </w:rPr>
  </w:style>
  <w:style w:type="character" w:styleId="72">
    <w:name w:val="Emphasis"/>
    <w:qFormat/>
    <w:uiPriority w:val="0"/>
    <w:rPr>
      <w:color w:val="CC0033"/>
    </w:rPr>
  </w:style>
  <w:style w:type="character" w:styleId="73">
    <w:name w:val="HTML Definition"/>
    <w:qFormat/>
    <w:uiPriority w:val="0"/>
  </w:style>
  <w:style w:type="character" w:styleId="74">
    <w:name w:val="HTML Typewriter"/>
    <w:qFormat/>
    <w:uiPriority w:val="0"/>
    <w:rPr>
      <w:rFonts w:ascii="宋体" w:hAnsi="宋体" w:eastAsia="宋体" w:cs="宋体"/>
      <w:sz w:val="24"/>
      <w:szCs w:val="24"/>
    </w:rPr>
  </w:style>
  <w:style w:type="character" w:styleId="75">
    <w:name w:val="HTML Variable"/>
    <w:qFormat/>
    <w:uiPriority w:val="0"/>
  </w:style>
  <w:style w:type="character" w:styleId="76">
    <w:name w:val="Hyperlink"/>
    <w:qFormat/>
    <w:uiPriority w:val="99"/>
    <w:rPr>
      <w:color w:val="0000FF"/>
      <w:u w:val="single"/>
    </w:rPr>
  </w:style>
  <w:style w:type="character" w:styleId="77">
    <w:name w:val="HTML Code"/>
    <w:qFormat/>
    <w:uiPriority w:val="0"/>
    <w:rPr>
      <w:rFonts w:hint="eastAsia" w:ascii="Arial" w:hAnsi="Arial" w:cs="Arial"/>
      <w:sz w:val="20"/>
    </w:rPr>
  </w:style>
  <w:style w:type="character" w:styleId="78">
    <w:name w:val="annotation reference"/>
    <w:unhideWhenUsed/>
    <w:qFormat/>
    <w:uiPriority w:val="99"/>
    <w:rPr>
      <w:sz w:val="21"/>
      <w:szCs w:val="21"/>
    </w:rPr>
  </w:style>
  <w:style w:type="character" w:styleId="79">
    <w:name w:val="HTML Cite"/>
    <w:qFormat/>
    <w:uiPriority w:val="0"/>
  </w:style>
  <w:style w:type="character" w:styleId="80">
    <w:name w:val="footnote reference"/>
    <w:qFormat/>
    <w:uiPriority w:val="0"/>
    <w:rPr>
      <w:vertAlign w:val="superscript"/>
    </w:rPr>
  </w:style>
  <w:style w:type="character" w:styleId="81">
    <w:name w:val="HTML Keyboard"/>
    <w:qFormat/>
    <w:uiPriority w:val="0"/>
    <w:rPr>
      <w:rFonts w:hint="default" w:ascii="Arial" w:hAnsi="Arial" w:cs="Arial"/>
      <w:sz w:val="20"/>
    </w:rPr>
  </w:style>
  <w:style w:type="character" w:styleId="82">
    <w:name w:val="HTML Sample"/>
    <w:qFormat/>
    <w:uiPriority w:val="0"/>
    <w:rPr>
      <w:rFonts w:hint="default" w:ascii="Arial" w:hAnsi="Arial" w:cs="Arial"/>
    </w:rPr>
  </w:style>
  <w:style w:type="character" w:customStyle="1" w:styleId="83">
    <w:name w:val="标题 3 Char"/>
    <w:link w:val="7"/>
    <w:qFormat/>
    <w:uiPriority w:val="0"/>
    <w:rPr>
      <w:rFonts w:ascii="宋体" w:hAnsi="Times New Roman"/>
      <w:b/>
      <w:bCs/>
      <w:kern w:val="2"/>
      <w:sz w:val="32"/>
      <w:szCs w:val="32"/>
    </w:rPr>
  </w:style>
  <w:style w:type="character" w:customStyle="1" w:styleId="84">
    <w:name w:val="批注框文本 Char"/>
    <w:link w:val="39"/>
    <w:qFormat/>
    <w:uiPriority w:val="0"/>
    <w:rPr>
      <w:rFonts w:ascii="Times New Roman" w:hAnsi="Times New Roman"/>
      <w:kern w:val="2"/>
      <w:sz w:val="18"/>
      <w:szCs w:val="18"/>
    </w:rPr>
  </w:style>
  <w:style w:type="character" w:customStyle="1" w:styleId="85">
    <w:name w:val="正文文本 3 Char"/>
    <w:link w:val="26"/>
    <w:qFormat/>
    <w:uiPriority w:val="0"/>
    <w:rPr>
      <w:rFonts w:ascii="黑体" w:hAnsi="Arial" w:eastAsia="黑体"/>
      <w:b/>
      <w:kern w:val="2"/>
      <w:sz w:val="28"/>
    </w:rPr>
  </w:style>
  <w:style w:type="character" w:customStyle="1" w:styleId="86">
    <w:name w:val="日期 Char"/>
    <w:link w:val="37"/>
    <w:qFormat/>
    <w:uiPriority w:val="0"/>
    <w:rPr>
      <w:rFonts w:ascii="Times New Roman" w:hAnsi="Times New Roman"/>
      <w:b/>
      <w:kern w:val="2"/>
      <w:sz w:val="28"/>
    </w:rPr>
  </w:style>
  <w:style w:type="character" w:customStyle="1" w:styleId="87">
    <w:name w:val="正文首行缩进 Char"/>
    <w:link w:val="65"/>
    <w:qFormat/>
    <w:uiPriority w:val="0"/>
    <w:rPr>
      <w:rFonts w:ascii="Arial" w:hAnsi="Arial" w:eastAsia="仿宋_GB2312" w:cs="Arial"/>
      <w:kern w:val="2"/>
      <w:sz w:val="24"/>
      <w:szCs w:val="32"/>
    </w:rPr>
  </w:style>
  <w:style w:type="character" w:customStyle="1" w:styleId="88">
    <w:name w:val="页脚 Char"/>
    <w:link w:val="40"/>
    <w:qFormat/>
    <w:uiPriority w:val="99"/>
    <w:rPr>
      <w:rFonts w:ascii="Times New Roman" w:hAnsi="Times New Roman"/>
      <w:kern w:val="2"/>
      <w:sz w:val="18"/>
    </w:rPr>
  </w:style>
  <w:style w:type="character" w:customStyle="1" w:styleId="89">
    <w:name w:val="标题 4 Char"/>
    <w:link w:val="8"/>
    <w:qFormat/>
    <w:uiPriority w:val="0"/>
    <w:rPr>
      <w:rFonts w:ascii="Arial" w:hAnsi="Arial" w:eastAsia="黑体"/>
      <w:b/>
      <w:bCs/>
      <w:kern w:val="2"/>
      <w:sz w:val="28"/>
      <w:szCs w:val="28"/>
    </w:rPr>
  </w:style>
  <w:style w:type="character" w:customStyle="1" w:styleId="90">
    <w:name w:val="正文文本 2 Char"/>
    <w:link w:val="57"/>
    <w:qFormat/>
    <w:uiPriority w:val="0"/>
    <w:rPr>
      <w:rFonts w:ascii="仿宋_GB2312" w:hAnsi="Times New Roman" w:eastAsia="仿宋_GB2312"/>
      <w:b/>
      <w:kern w:val="2"/>
      <w:sz w:val="24"/>
    </w:rPr>
  </w:style>
  <w:style w:type="character" w:customStyle="1" w:styleId="91">
    <w:name w:val="正文文本 Char"/>
    <w:link w:val="27"/>
    <w:qFormat/>
    <w:uiPriority w:val="0"/>
    <w:rPr>
      <w:rFonts w:ascii="宋体" w:hAnsi="Arial"/>
      <w:kern w:val="2"/>
      <w:sz w:val="28"/>
    </w:rPr>
  </w:style>
  <w:style w:type="character" w:customStyle="1" w:styleId="92">
    <w:name w:val="标题 7 Char"/>
    <w:link w:val="11"/>
    <w:qFormat/>
    <w:uiPriority w:val="0"/>
    <w:rPr>
      <w:rFonts w:ascii="Arial" w:hAnsi="Arial" w:eastAsia="仿宋_GB2312" w:cs="Arial"/>
      <w:b/>
      <w:bCs/>
      <w:spacing w:val="-4"/>
      <w:kern w:val="2"/>
      <w:sz w:val="24"/>
      <w:szCs w:val="24"/>
    </w:rPr>
  </w:style>
  <w:style w:type="character" w:customStyle="1" w:styleId="93">
    <w:name w:val="正文文本缩进 2 Char"/>
    <w:link w:val="38"/>
    <w:qFormat/>
    <w:uiPriority w:val="0"/>
    <w:rPr>
      <w:rFonts w:ascii="Arial" w:hAnsi="Arial" w:eastAsia="仿宋_GB2312"/>
      <w:kern w:val="2"/>
      <w:sz w:val="32"/>
    </w:rPr>
  </w:style>
  <w:style w:type="character" w:customStyle="1" w:styleId="94">
    <w:name w:val="标题 1 Char"/>
    <w:link w:val="5"/>
    <w:qFormat/>
    <w:uiPriority w:val="0"/>
    <w:rPr>
      <w:rFonts w:ascii="Times New Roman" w:hAnsi="Times New Roman"/>
      <w:b/>
      <w:bCs/>
      <w:kern w:val="44"/>
      <w:sz w:val="30"/>
      <w:szCs w:val="44"/>
    </w:rPr>
  </w:style>
  <w:style w:type="character" w:customStyle="1" w:styleId="95">
    <w:name w:val="批注文字 Char"/>
    <w:link w:val="23"/>
    <w:qFormat/>
    <w:uiPriority w:val="0"/>
    <w:rPr>
      <w:rFonts w:ascii="Times New Roman" w:hAnsi="Times New Roman"/>
      <w:kern w:val="2"/>
      <w:sz w:val="21"/>
    </w:rPr>
  </w:style>
  <w:style w:type="character" w:customStyle="1" w:styleId="96">
    <w:name w:val="纯文本 Char1"/>
    <w:link w:val="34"/>
    <w:qFormat/>
    <w:locked/>
    <w:uiPriority w:val="0"/>
    <w:rPr>
      <w:rFonts w:ascii="宋体" w:hAnsi="Courier New"/>
      <w:kern w:val="2"/>
      <w:sz w:val="21"/>
    </w:rPr>
  </w:style>
  <w:style w:type="character" w:customStyle="1" w:styleId="97">
    <w:name w:val="页眉 Char"/>
    <w:link w:val="41"/>
    <w:qFormat/>
    <w:uiPriority w:val="0"/>
    <w:rPr>
      <w:rFonts w:ascii="Times New Roman" w:hAnsi="Times New Roman"/>
      <w:kern w:val="2"/>
      <w:sz w:val="18"/>
    </w:rPr>
  </w:style>
  <w:style w:type="character" w:customStyle="1" w:styleId="98">
    <w:name w:val="标题 2 Char"/>
    <w:link w:val="6"/>
    <w:qFormat/>
    <w:uiPriority w:val="0"/>
    <w:rPr>
      <w:rFonts w:ascii="Arial" w:hAnsi="Arial" w:eastAsia="黑体"/>
      <w:b/>
      <w:bCs/>
      <w:kern w:val="2"/>
      <w:sz w:val="32"/>
      <w:szCs w:val="32"/>
    </w:rPr>
  </w:style>
  <w:style w:type="character" w:customStyle="1" w:styleId="99">
    <w:name w:val="样式1 Char Char"/>
    <w:link w:val="100"/>
    <w:qFormat/>
    <w:locked/>
    <w:uiPriority w:val="0"/>
    <w:rPr>
      <w:rFonts w:ascii="宋体" w:hAnsi="宋体"/>
      <w:sz w:val="21"/>
    </w:rPr>
  </w:style>
  <w:style w:type="paragraph" w:customStyle="1" w:styleId="100">
    <w:name w:val="样式1"/>
    <w:basedOn w:val="1"/>
    <w:link w:val="99"/>
    <w:qFormat/>
    <w:uiPriority w:val="0"/>
    <w:pPr>
      <w:tabs>
        <w:tab w:val="left" w:pos="709"/>
      </w:tabs>
      <w:adjustRightInd w:val="0"/>
      <w:ind w:left="709" w:hanging="709"/>
      <w:textAlignment w:val="baseline"/>
    </w:pPr>
    <w:rPr>
      <w:rFonts w:ascii="宋体" w:hAnsi="宋体"/>
      <w:kern w:val="0"/>
      <w:szCs w:val="20"/>
    </w:rPr>
  </w:style>
  <w:style w:type="character" w:customStyle="1" w:styleId="101">
    <w:name w:val="标题 5 Char"/>
    <w:link w:val="9"/>
    <w:qFormat/>
    <w:uiPriority w:val="0"/>
    <w:rPr>
      <w:rFonts w:ascii="宋体" w:hAnsi="Arial"/>
      <w:bCs/>
      <w:kern w:val="2"/>
      <w:sz w:val="28"/>
    </w:rPr>
  </w:style>
  <w:style w:type="character" w:customStyle="1" w:styleId="102">
    <w:name w:val="正文文本缩进 3 Char"/>
    <w:link w:val="51"/>
    <w:qFormat/>
    <w:uiPriority w:val="0"/>
    <w:rPr>
      <w:rFonts w:ascii="仿宋_GB2312" w:hAnsi="Arial" w:eastAsia="仿宋_GB2312"/>
      <w:color w:val="000000"/>
      <w:kern w:val="2"/>
      <w:sz w:val="30"/>
    </w:rPr>
  </w:style>
  <w:style w:type="character" w:customStyle="1" w:styleId="103">
    <w:name w:val="标题 6 Char"/>
    <w:link w:val="10"/>
    <w:qFormat/>
    <w:uiPriority w:val="0"/>
    <w:rPr>
      <w:rFonts w:ascii="宋体" w:hAnsi="宋体"/>
      <w:sz w:val="28"/>
    </w:rPr>
  </w:style>
  <w:style w:type="character" w:customStyle="1" w:styleId="104">
    <w:name w:val="纯文本 Char"/>
    <w:qFormat/>
    <w:uiPriority w:val="99"/>
    <w:rPr>
      <w:rFonts w:ascii="宋体" w:hAnsi="Courier New" w:cs="Courier New"/>
      <w:kern w:val="2"/>
      <w:sz w:val="21"/>
      <w:szCs w:val="21"/>
    </w:rPr>
  </w:style>
  <w:style w:type="character" w:customStyle="1" w:styleId="105">
    <w:name w:val="正文文本缩进 Char"/>
    <w:link w:val="3"/>
    <w:qFormat/>
    <w:uiPriority w:val="99"/>
    <w:rPr>
      <w:rFonts w:ascii="楷体_GB2312" w:hAnsi="Times New Roman" w:eastAsia="楷体_GB2312"/>
      <w:kern w:val="2"/>
      <w:sz w:val="32"/>
    </w:rPr>
  </w:style>
  <w:style w:type="character" w:customStyle="1" w:styleId="106">
    <w:name w:val="批注主题 Char"/>
    <w:link w:val="64"/>
    <w:qFormat/>
    <w:uiPriority w:val="0"/>
    <w:rPr>
      <w:rFonts w:ascii="Times New Roman" w:hAnsi="Times New Roman"/>
      <w:b/>
      <w:bCs/>
      <w:kern w:val="2"/>
      <w:sz w:val="21"/>
      <w:szCs w:val="22"/>
    </w:rPr>
  </w:style>
  <w:style w:type="character" w:customStyle="1" w:styleId="107">
    <w:name w:val="文档结构图 Char"/>
    <w:link w:val="21"/>
    <w:qFormat/>
    <w:uiPriority w:val="0"/>
    <w:rPr>
      <w:rFonts w:ascii="Times New Roman" w:hAnsi="Times New Roman"/>
      <w:kern w:val="2"/>
      <w:sz w:val="21"/>
      <w:shd w:val="clear" w:color="auto" w:fill="000080"/>
    </w:rPr>
  </w:style>
  <w:style w:type="paragraph" w:customStyle="1" w:styleId="108">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09">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1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1">
    <w:name w:val="p0"/>
    <w:basedOn w:val="1"/>
    <w:qFormat/>
    <w:uiPriority w:val="0"/>
    <w:pPr>
      <w:widowControl/>
    </w:pPr>
    <w:rPr>
      <w:kern w:val="0"/>
      <w:szCs w:val="21"/>
    </w:rPr>
  </w:style>
  <w:style w:type="paragraph" w:customStyle="1" w:styleId="112">
    <w:name w:val="Char"/>
    <w:basedOn w:val="1"/>
    <w:qFormat/>
    <w:uiPriority w:val="0"/>
    <w:rPr>
      <w:rFonts w:ascii="Tahoma" w:hAnsi="Tahoma"/>
      <w:sz w:val="24"/>
      <w:szCs w:val="20"/>
    </w:rPr>
  </w:style>
  <w:style w:type="paragraph" w:customStyle="1" w:styleId="113">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14">
    <w:name w:val="xl31"/>
    <w:basedOn w:val="1"/>
    <w:uiPriority w:val="0"/>
    <w:pPr>
      <w:widowControl/>
      <w:spacing w:before="100" w:beforeAutospacing="1" w:after="100" w:afterAutospacing="1"/>
      <w:jc w:val="center"/>
    </w:pPr>
    <w:rPr>
      <w:rFonts w:ascii="宋体" w:hAnsi="宋体"/>
      <w:b/>
      <w:bCs/>
      <w:kern w:val="0"/>
      <w:sz w:val="28"/>
      <w:szCs w:val="28"/>
    </w:rPr>
  </w:style>
  <w:style w:type="paragraph" w:customStyle="1" w:styleId="115">
    <w:name w:val="二级标题"/>
    <w:basedOn w:val="1"/>
    <w:next w:val="116"/>
    <w:qFormat/>
    <w:uiPriority w:val="0"/>
    <w:pPr>
      <w:tabs>
        <w:tab w:val="left" w:pos="992"/>
      </w:tabs>
      <w:ind w:left="992" w:hanging="567"/>
      <w:outlineLvl w:val="1"/>
    </w:pPr>
    <w:rPr>
      <w:rFonts w:ascii="黑体" w:eastAsia="黑体"/>
      <w:sz w:val="28"/>
      <w:szCs w:val="24"/>
    </w:rPr>
  </w:style>
  <w:style w:type="paragraph" w:customStyle="1" w:styleId="116">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17">
    <w:name w:val="Char Char Char Char"/>
    <w:basedOn w:val="1"/>
    <w:qFormat/>
    <w:uiPriority w:val="0"/>
    <w:pPr>
      <w:widowControl/>
      <w:spacing w:after="160" w:line="240" w:lineRule="exact"/>
      <w:jc w:val="left"/>
    </w:pPr>
    <w:rPr>
      <w:kern w:val="0"/>
      <w:sz w:val="24"/>
      <w:szCs w:val="24"/>
    </w:rPr>
  </w:style>
  <w:style w:type="paragraph" w:styleId="118">
    <w:name w:val="List Paragraph"/>
    <w:basedOn w:val="1"/>
    <w:qFormat/>
    <w:uiPriority w:val="0"/>
    <w:pPr>
      <w:ind w:firstLine="420" w:firstLineChars="200"/>
    </w:pPr>
  </w:style>
  <w:style w:type="paragraph" w:customStyle="1" w:styleId="119">
    <w:name w:val="一级标题"/>
    <w:basedOn w:val="1"/>
    <w:next w:val="115"/>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2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22">
    <w:name w:val="Char Char Char Char Char Char Char1 Char"/>
    <w:basedOn w:val="1"/>
    <w:qFormat/>
    <w:uiPriority w:val="0"/>
    <w:rPr>
      <w:rFonts w:ascii="Tahoma" w:hAnsi="Tahoma"/>
      <w:sz w:val="24"/>
      <w:szCs w:val="20"/>
    </w:rPr>
  </w:style>
  <w:style w:type="paragraph" w:customStyle="1" w:styleId="123">
    <w:name w:val="基本文字 Char"/>
    <w:basedOn w:val="1"/>
    <w:qFormat/>
    <w:uiPriority w:val="0"/>
    <w:pPr>
      <w:spacing w:before="156" w:line="400" w:lineRule="atLeast"/>
      <w:ind w:firstLine="540" w:firstLineChars="225"/>
    </w:pPr>
    <w:rPr>
      <w:sz w:val="24"/>
      <w:szCs w:val="20"/>
    </w:rPr>
  </w:style>
  <w:style w:type="paragraph" w:customStyle="1" w:styleId="12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5">
    <w:name w:val="SUR-需求定义-第4级"/>
    <w:basedOn w:val="8"/>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26">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27">
    <w:name w:val="font6"/>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12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9">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0">
    <w:name w:val="D&amp;L"/>
    <w:basedOn w:val="41"/>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131">
    <w:name w:val="标题 8 Char"/>
    <w:basedOn w:val="68"/>
    <w:link w:val="12"/>
    <w:qFormat/>
    <w:uiPriority w:val="0"/>
    <w:rPr>
      <w:rFonts w:ascii="宋体" w:hAnsi="宋体" w:eastAsia="黑体"/>
      <w:kern w:val="2"/>
      <w:sz w:val="32"/>
      <w:szCs w:val="32"/>
    </w:rPr>
  </w:style>
  <w:style w:type="character" w:customStyle="1" w:styleId="132">
    <w:name w:val="标题 9 Char"/>
    <w:basedOn w:val="68"/>
    <w:link w:val="13"/>
    <w:qFormat/>
    <w:uiPriority w:val="0"/>
    <w:rPr>
      <w:b/>
      <w:bCs/>
      <w:kern w:val="2"/>
      <w:sz w:val="30"/>
      <w:szCs w:val="18"/>
    </w:rPr>
  </w:style>
  <w:style w:type="paragraph" w:customStyle="1" w:styleId="133">
    <w:name w:val="样式 标题 3 + (中文) 黑体 小四 非加粗 段前: 7.8 磅 段后: 0 磅 行距: 固定值 20 磅"/>
    <w:basedOn w:val="7"/>
    <w:qFormat/>
    <w:uiPriority w:val="0"/>
    <w:pPr>
      <w:spacing w:line="400" w:lineRule="exact"/>
      <w:jc w:val="both"/>
    </w:pPr>
    <w:rPr>
      <w:rFonts w:ascii="Calibri" w:hAnsi="Calibri" w:eastAsia="黑体" w:cs="宋体"/>
      <w:b w:val="0"/>
      <w:bCs w:val="0"/>
      <w:szCs w:val="20"/>
    </w:rPr>
  </w:style>
  <w:style w:type="paragraph" w:customStyle="1" w:styleId="134">
    <w:name w:val="样式 标题 2 + Times New Roman 四号 非加粗 段前: 5 磅 段后: 0 磅 行距: 固定值 20..."/>
    <w:basedOn w:val="6"/>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3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6">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137">
    <w:name w:val="称呼 Char"/>
    <w:basedOn w:val="68"/>
    <w:link w:val="25"/>
    <w:qFormat/>
    <w:uiPriority w:val="0"/>
    <w:rPr>
      <w:rFonts w:ascii="仿宋_GB2312" w:hAnsi="Calibri" w:eastAsia="仿宋_GB2312"/>
      <w:bCs/>
      <w:kern w:val="2"/>
      <w:sz w:val="28"/>
    </w:rPr>
  </w:style>
  <w:style w:type="paragraph" w:customStyle="1" w:styleId="138">
    <w:name w:val="Char1"/>
    <w:basedOn w:val="1"/>
    <w:qFormat/>
    <w:uiPriority w:val="0"/>
    <w:rPr>
      <w:rFonts w:ascii="Calibri" w:hAnsi="Calibri"/>
    </w:rPr>
  </w:style>
  <w:style w:type="paragraph" w:customStyle="1" w:styleId="139">
    <w:name w:val="Char Char Char Char Char Char"/>
    <w:basedOn w:val="1"/>
    <w:qFormat/>
    <w:uiPriority w:val="0"/>
    <w:rPr>
      <w:rFonts w:ascii="Tahoma" w:hAnsi="Tahoma"/>
      <w:sz w:val="24"/>
      <w:szCs w:val="20"/>
    </w:rPr>
  </w:style>
  <w:style w:type="paragraph" w:customStyle="1" w:styleId="140">
    <w:name w:val="_Style 1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Blockquote"/>
    <w:basedOn w:val="1"/>
    <w:link w:val="142"/>
    <w:qFormat/>
    <w:uiPriority w:val="0"/>
    <w:pPr>
      <w:autoSpaceDE w:val="0"/>
      <w:autoSpaceDN w:val="0"/>
      <w:adjustRightInd w:val="0"/>
      <w:spacing w:before="100" w:after="100"/>
      <w:ind w:left="360" w:right="360"/>
      <w:jc w:val="left"/>
    </w:pPr>
    <w:rPr>
      <w:kern w:val="0"/>
      <w:sz w:val="24"/>
      <w:szCs w:val="20"/>
    </w:rPr>
  </w:style>
  <w:style w:type="character" w:customStyle="1" w:styleId="142">
    <w:name w:val="Blockquote Char"/>
    <w:link w:val="141"/>
    <w:qFormat/>
    <w:uiPriority w:val="0"/>
    <w:rPr>
      <w:sz w:val="24"/>
    </w:rPr>
  </w:style>
  <w:style w:type="paragraph" w:customStyle="1" w:styleId="143">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4">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character" w:customStyle="1" w:styleId="145">
    <w:name w:val="tdrownotice1"/>
    <w:qFormat/>
    <w:uiPriority w:val="0"/>
    <w:rPr>
      <w:sz w:val="22"/>
    </w:rPr>
  </w:style>
  <w:style w:type="paragraph" w:customStyle="1" w:styleId="146">
    <w:name w:val="段落2"/>
    <w:basedOn w:val="1"/>
    <w:qFormat/>
    <w:uiPriority w:val="0"/>
    <w:pPr>
      <w:spacing w:line="360" w:lineRule="auto"/>
      <w:ind w:firstLine="480" w:firstLineChars="200"/>
    </w:pPr>
    <w:rPr>
      <w:rFonts w:ascii="Calibri" w:hAnsi="Calibri" w:cs="Courier New"/>
      <w:sz w:val="24"/>
      <w:szCs w:val="21"/>
    </w:rPr>
  </w:style>
  <w:style w:type="paragraph" w:customStyle="1" w:styleId="147">
    <w:name w:val="目录"/>
    <w:basedOn w:val="1"/>
    <w:qFormat/>
    <w:uiPriority w:val="0"/>
    <w:pPr>
      <w:widowControl/>
      <w:jc w:val="center"/>
    </w:pPr>
    <w:rPr>
      <w:rFonts w:ascii="宋体" w:hAnsi="Calibri"/>
      <w:b/>
      <w:kern w:val="0"/>
      <w:sz w:val="36"/>
      <w:szCs w:val="20"/>
    </w:rPr>
  </w:style>
  <w:style w:type="paragraph" w:customStyle="1" w:styleId="148">
    <w:name w:val="目录文字"/>
    <w:basedOn w:val="1"/>
    <w:qFormat/>
    <w:uiPriority w:val="0"/>
    <w:pPr>
      <w:widowControl/>
      <w:spacing w:line="480" w:lineRule="auto"/>
      <w:jc w:val="left"/>
    </w:pPr>
    <w:rPr>
      <w:rFonts w:ascii="宋体" w:hAnsi="宋体"/>
      <w:kern w:val="0"/>
      <w:sz w:val="24"/>
      <w:szCs w:val="20"/>
    </w:rPr>
  </w:style>
  <w:style w:type="paragraph" w:customStyle="1" w:styleId="14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0">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character" w:customStyle="1" w:styleId="151">
    <w:name w:val="标题 Char"/>
    <w:basedOn w:val="68"/>
    <w:link w:val="63"/>
    <w:qFormat/>
    <w:uiPriority w:val="0"/>
    <w:rPr>
      <w:rFonts w:ascii="宋体" w:hAnsi="宋体" w:eastAsia="黑体"/>
      <w:b/>
      <w:smallCaps/>
      <w:snapToGrid w:val="0"/>
      <w:kern w:val="2"/>
      <w:sz w:val="44"/>
      <w:szCs w:val="24"/>
    </w:rPr>
  </w:style>
  <w:style w:type="paragraph" w:customStyle="1" w:styleId="152">
    <w:name w:val="段落1 Char"/>
    <w:basedOn w:val="34"/>
    <w:qFormat/>
    <w:uiPriority w:val="0"/>
    <w:pPr>
      <w:spacing w:line="360" w:lineRule="auto"/>
    </w:pPr>
    <w:rPr>
      <w:rFonts w:ascii="Times New Roman" w:hAnsi="Times New Roman" w:cs="Courier New"/>
      <w:sz w:val="24"/>
      <w:szCs w:val="21"/>
    </w:rPr>
  </w:style>
  <w:style w:type="paragraph" w:customStyle="1" w:styleId="153">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54">
    <w:name w:val="简单回函地址"/>
    <w:basedOn w:val="1"/>
    <w:qFormat/>
    <w:uiPriority w:val="0"/>
    <w:rPr>
      <w:rFonts w:ascii="Calibri" w:hAnsi="Calibri"/>
    </w:rPr>
  </w:style>
  <w:style w:type="paragraph" w:customStyle="1" w:styleId="155">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character" w:customStyle="1" w:styleId="156">
    <w:name w:val="脚注文本 Char"/>
    <w:basedOn w:val="68"/>
    <w:link w:val="49"/>
    <w:qFormat/>
    <w:uiPriority w:val="0"/>
    <w:rPr>
      <w:rFonts w:ascii="Calibri" w:hAnsi="Calibri"/>
      <w:bCs/>
      <w:sz w:val="18"/>
    </w:rPr>
  </w:style>
  <w:style w:type="character" w:customStyle="1" w:styleId="157">
    <w:name w:val="t_tag"/>
    <w:basedOn w:val="68"/>
    <w:qFormat/>
    <w:uiPriority w:val="0"/>
  </w:style>
  <w:style w:type="character" w:customStyle="1" w:styleId="158">
    <w:name w:val="批注框文本 Char1"/>
    <w:basedOn w:val="68"/>
    <w:qFormat/>
    <w:uiPriority w:val="0"/>
    <w:rPr>
      <w:rFonts w:ascii="Calibri" w:hAnsi="Calibri"/>
      <w:kern w:val="2"/>
      <w:sz w:val="18"/>
      <w:szCs w:val="18"/>
    </w:rPr>
  </w:style>
  <w:style w:type="character" w:customStyle="1" w:styleId="159">
    <w:name w:val="批注文字 Char1"/>
    <w:basedOn w:val="68"/>
    <w:semiHidden/>
    <w:qFormat/>
    <w:uiPriority w:val="99"/>
    <w:rPr>
      <w:rFonts w:ascii="Calibri" w:hAnsi="Calibri"/>
      <w:kern w:val="2"/>
      <w:sz w:val="21"/>
      <w:szCs w:val="22"/>
    </w:rPr>
  </w:style>
  <w:style w:type="character" w:customStyle="1" w:styleId="160">
    <w:name w:val="批注主题 Char1"/>
    <w:basedOn w:val="159"/>
    <w:qFormat/>
    <w:uiPriority w:val="0"/>
    <w:rPr>
      <w:rFonts w:ascii="Calibri" w:hAnsi="Calibri"/>
      <w:kern w:val="2"/>
      <w:sz w:val="21"/>
      <w:szCs w:val="22"/>
    </w:rPr>
  </w:style>
  <w:style w:type="paragraph" w:customStyle="1" w:styleId="161">
    <w:name w:val="Char10 Char Char Char Char Char Char Char Char Char"/>
    <w:basedOn w:val="1"/>
    <w:next w:val="1"/>
    <w:qFormat/>
    <w:uiPriority w:val="0"/>
    <w:rPr>
      <w:rFonts w:ascii="Calibri" w:hAnsi="Calibri"/>
    </w:rPr>
  </w:style>
  <w:style w:type="character" w:customStyle="1" w:styleId="162">
    <w:name w:val="普通文字1 Char"/>
    <w:qFormat/>
    <w:uiPriority w:val="99"/>
    <w:rPr>
      <w:rFonts w:ascii="宋体" w:hAnsi="Courier New" w:eastAsia="宋体" w:cs="Courier New"/>
      <w:szCs w:val="21"/>
    </w:rPr>
  </w:style>
  <w:style w:type="paragraph" w:customStyle="1" w:styleId="163">
    <w:name w:val="TOC 标题1"/>
    <w:basedOn w:val="5"/>
    <w:next w:val="1"/>
    <w:qFormat/>
    <w:uiPriority w:val="0"/>
    <w:pPr>
      <w:widowControl/>
      <w:spacing w:before="480" w:after="0" w:line="276" w:lineRule="auto"/>
      <w:jc w:val="left"/>
      <w:outlineLvl w:val="9"/>
    </w:pPr>
    <w:rPr>
      <w:rFonts w:ascii="Cambria" w:hAnsi="Cambria"/>
      <w:bCs w:val="0"/>
      <w:snapToGrid w:val="0"/>
      <w:color w:val="365F91"/>
      <w:kern w:val="0"/>
      <w:sz w:val="28"/>
    </w:rPr>
  </w:style>
  <w:style w:type="character" w:customStyle="1" w:styleId="164">
    <w:name w:val="标题 1 Char1"/>
    <w:qFormat/>
    <w:uiPriority w:val="0"/>
    <w:rPr>
      <w:rFonts w:ascii="Calibri" w:hAnsi="Calibri" w:eastAsia="宋体"/>
      <w:b/>
      <w:kern w:val="44"/>
      <w:sz w:val="44"/>
      <w:szCs w:val="44"/>
    </w:rPr>
  </w:style>
  <w:style w:type="character" w:customStyle="1" w:styleId="165">
    <w:name w:val="标题 3 Char1"/>
    <w:semiHidden/>
    <w:qFormat/>
    <w:uiPriority w:val="0"/>
    <w:rPr>
      <w:rFonts w:ascii="Calibri" w:hAnsi="Calibri" w:eastAsia="宋体"/>
      <w:b/>
      <w:kern w:val="2"/>
      <w:sz w:val="32"/>
    </w:rPr>
  </w:style>
  <w:style w:type="character" w:customStyle="1" w:styleId="166">
    <w:name w:val="标题 4 Char1"/>
    <w:semiHidden/>
    <w:qFormat/>
    <w:uiPriority w:val="0"/>
    <w:rPr>
      <w:rFonts w:ascii="Cambria" w:hAnsi="Cambria" w:eastAsia="宋体"/>
      <w:b/>
      <w:kern w:val="2"/>
      <w:sz w:val="28"/>
      <w:szCs w:val="28"/>
    </w:rPr>
  </w:style>
  <w:style w:type="character" w:customStyle="1" w:styleId="167">
    <w:name w:val="标题 5 Char1"/>
    <w:semiHidden/>
    <w:qFormat/>
    <w:uiPriority w:val="0"/>
    <w:rPr>
      <w:rFonts w:ascii="Calibri" w:hAnsi="Calibri" w:eastAsia="宋体"/>
      <w:b/>
      <w:kern w:val="2"/>
      <w:sz w:val="28"/>
      <w:szCs w:val="28"/>
    </w:rPr>
  </w:style>
  <w:style w:type="character" w:customStyle="1" w:styleId="168">
    <w:name w:val="标题 6 Char1"/>
    <w:semiHidden/>
    <w:qFormat/>
    <w:uiPriority w:val="0"/>
    <w:rPr>
      <w:rFonts w:ascii="Cambria" w:hAnsi="Cambria" w:eastAsia="宋体"/>
      <w:b/>
      <w:kern w:val="2"/>
      <w:sz w:val="24"/>
      <w:szCs w:val="24"/>
    </w:rPr>
  </w:style>
  <w:style w:type="character" w:customStyle="1" w:styleId="169">
    <w:name w:val="标题 7 Char1"/>
    <w:semiHidden/>
    <w:qFormat/>
    <w:uiPriority w:val="0"/>
    <w:rPr>
      <w:rFonts w:ascii="Calibri" w:hAnsi="Calibri" w:eastAsia="宋体"/>
      <w:b/>
      <w:kern w:val="2"/>
      <w:sz w:val="24"/>
      <w:szCs w:val="24"/>
    </w:rPr>
  </w:style>
  <w:style w:type="character" w:customStyle="1" w:styleId="170">
    <w:name w:val="标题 8 Char1"/>
    <w:semiHidden/>
    <w:qFormat/>
    <w:uiPriority w:val="0"/>
    <w:rPr>
      <w:rFonts w:ascii="Cambria" w:hAnsi="Cambria" w:eastAsia="宋体"/>
      <w:kern w:val="2"/>
      <w:sz w:val="24"/>
      <w:szCs w:val="24"/>
    </w:rPr>
  </w:style>
  <w:style w:type="character" w:customStyle="1" w:styleId="171">
    <w:name w:val="标题 9 Char1"/>
    <w:semiHidden/>
    <w:qFormat/>
    <w:uiPriority w:val="0"/>
    <w:rPr>
      <w:rFonts w:ascii="Cambria" w:hAnsi="Cambria" w:eastAsia="宋体"/>
      <w:kern w:val="2"/>
      <w:sz w:val="21"/>
      <w:szCs w:val="21"/>
    </w:rPr>
  </w:style>
  <w:style w:type="paragraph" w:customStyle="1" w:styleId="172">
    <w:name w:val="Char Char Char Char Char Char1"/>
    <w:basedOn w:val="1"/>
    <w:qFormat/>
    <w:uiPriority w:val="0"/>
    <w:rPr>
      <w:rFonts w:ascii="Tahoma" w:hAnsi="Tahoma"/>
      <w:sz w:val="24"/>
      <w:szCs w:val="20"/>
    </w:rPr>
  </w:style>
  <w:style w:type="paragraph" w:customStyle="1" w:styleId="173">
    <w:name w:val="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74">
    <w:name w:val="Char10 Char Char Char Char Char Char Char Char Char1"/>
    <w:basedOn w:val="1"/>
    <w:next w:val="1"/>
    <w:qFormat/>
    <w:uiPriority w:val="0"/>
    <w:rPr>
      <w:rFonts w:ascii="Calibri" w:hAnsi="Calibri"/>
    </w:rPr>
  </w:style>
  <w:style w:type="paragraph" w:customStyle="1" w:styleId="175">
    <w:name w:val="MsoNormal"/>
    <w:basedOn w:val="176"/>
    <w:qFormat/>
    <w:uiPriority w:val="0"/>
    <w:rPr>
      <w:rFonts w:ascii="Calibri" w:hAnsi="Calibri" w:eastAsia="Calibri"/>
      <w:sz w:val="21"/>
    </w:rPr>
  </w:style>
  <w:style w:type="paragraph" w:customStyle="1" w:styleId="176">
    <w:name w:val="Normal_0"/>
    <w:qFormat/>
    <w:uiPriority w:val="0"/>
    <w:rPr>
      <w:rFonts w:ascii="Times New Roman" w:hAnsi="Times New Roman" w:eastAsia="宋体" w:cs="Times New Roman"/>
      <w:sz w:val="24"/>
      <w:szCs w:val="24"/>
      <w:lang w:val="en-US" w:eastAsia="zh-CN" w:bidi="ar-SA"/>
    </w:rPr>
  </w:style>
  <w:style w:type="paragraph" w:customStyle="1" w:styleId="177">
    <w:name w:val="标题 2_0"/>
    <w:basedOn w:val="178"/>
    <w:next w:val="113"/>
    <w:link w:val="179"/>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78">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9">
    <w:name w:val="标题 2 Char_0"/>
    <w:link w:val="177"/>
    <w:qFormat/>
    <w:uiPriority w:val="0"/>
    <w:rPr>
      <w:rFonts w:ascii="黑体" w:hAnsi="宋体" w:eastAsia="黑体"/>
      <w:b/>
      <w:smallCaps/>
      <w:snapToGrid w:val="0"/>
      <w:sz w:val="36"/>
      <w:szCs w:val="24"/>
    </w:rPr>
  </w:style>
  <w:style w:type="paragraph" w:customStyle="1" w:styleId="180">
    <w:name w:val="纯文本_0"/>
    <w:basedOn w:val="113"/>
    <w:link w:val="181"/>
    <w:qFormat/>
    <w:uiPriority w:val="99"/>
    <w:rPr>
      <w:rFonts w:ascii="宋体" w:hAnsi="Courier New" w:cs="Times New Roman"/>
      <w:szCs w:val="21"/>
    </w:rPr>
  </w:style>
  <w:style w:type="character" w:customStyle="1" w:styleId="181">
    <w:name w:val="Texte Char1"/>
    <w:link w:val="180"/>
    <w:qFormat/>
    <w:uiPriority w:val="99"/>
    <w:rPr>
      <w:rFonts w:ascii="宋体" w:hAnsi="Courier New"/>
      <w:kern w:val="2"/>
      <w:sz w:val="21"/>
      <w:szCs w:val="21"/>
      <w:lang w:val="en-US" w:eastAsia="zh-CN"/>
    </w:rPr>
  </w:style>
  <w:style w:type="paragraph" w:customStyle="1" w:styleId="182">
    <w:name w:val="纯文本_1"/>
    <w:basedOn w:val="183"/>
    <w:link w:val="184"/>
    <w:qFormat/>
    <w:uiPriority w:val="0"/>
    <w:rPr>
      <w:rFonts w:ascii="宋体" w:hAnsi="Courier New"/>
      <w:szCs w:val="21"/>
    </w:rPr>
  </w:style>
  <w:style w:type="paragraph" w:customStyle="1" w:styleId="183">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4">
    <w:name w:val="纯文本 Char1_0"/>
    <w:link w:val="182"/>
    <w:qFormat/>
    <w:uiPriority w:val="0"/>
    <w:rPr>
      <w:rFonts w:ascii="宋体" w:hAnsi="Courier New"/>
      <w:kern w:val="2"/>
      <w:sz w:val="21"/>
      <w:szCs w:val="21"/>
    </w:rPr>
  </w:style>
  <w:style w:type="paragraph" w:customStyle="1" w:styleId="185">
    <w:name w:val="标题 3_0"/>
    <w:basedOn w:val="186"/>
    <w:next w:val="187"/>
    <w:link w:val="198"/>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8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正文缩进_0"/>
    <w:basedOn w:val="186"/>
    <w:unhideWhenUsed/>
    <w:qFormat/>
    <w:uiPriority w:val="0"/>
    <w:pPr>
      <w:ind w:firstLine="420" w:firstLineChars="200"/>
    </w:pPr>
    <w:rPr>
      <w:rFonts w:ascii="Calibri" w:hAnsi="Calibri"/>
      <w:bCs/>
      <w:szCs w:val="32"/>
    </w:rPr>
  </w:style>
  <w:style w:type="paragraph" w:customStyle="1" w:styleId="188">
    <w:name w:val="标题 1_0"/>
    <w:basedOn w:val="186"/>
    <w:next w:val="186"/>
    <w:link w:val="189"/>
    <w:qFormat/>
    <w:uiPriority w:val="0"/>
    <w:pPr>
      <w:keepNext/>
      <w:widowControl/>
      <w:numPr>
        <w:ilvl w:val="0"/>
        <w:numId w:val="1"/>
      </w:numPr>
      <w:jc w:val="center"/>
      <w:outlineLvl w:val="0"/>
    </w:pPr>
    <w:rPr>
      <w:rFonts w:ascii="黑体" w:eastAsia="黑体"/>
      <w:kern w:val="0"/>
      <w:sz w:val="52"/>
      <w:szCs w:val="20"/>
    </w:rPr>
  </w:style>
  <w:style w:type="character" w:customStyle="1" w:styleId="189">
    <w:name w:val="标题 1 Char_0"/>
    <w:link w:val="188"/>
    <w:qFormat/>
    <w:uiPriority w:val="0"/>
    <w:rPr>
      <w:rFonts w:ascii="黑体" w:hAnsi="Times New Roman" w:eastAsia="黑体" w:cs="Times New Roman"/>
      <w:sz w:val="52"/>
    </w:rPr>
  </w:style>
  <w:style w:type="paragraph" w:customStyle="1" w:styleId="190">
    <w:name w:val="标题 6_0"/>
    <w:basedOn w:val="186"/>
    <w:next w:val="186"/>
    <w:link w:val="19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91">
    <w:name w:val="标题 6 Char_0"/>
    <w:link w:val="190"/>
    <w:qFormat/>
    <w:uiPriority w:val="0"/>
    <w:rPr>
      <w:rFonts w:ascii="Arial" w:hAnsi="Arial" w:eastAsia="黑体" w:cs="Times New Roman"/>
      <w:b/>
      <w:bCs/>
      <w:sz w:val="24"/>
      <w:szCs w:val="24"/>
    </w:rPr>
  </w:style>
  <w:style w:type="paragraph" w:customStyle="1" w:styleId="192">
    <w:name w:val="标题 7_0"/>
    <w:basedOn w:val="186"/>
    <w:next w:val="186"/>
    <w:link w:val="193"/>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93">
    <w:name w:val="标题 7 Char_0"/>
    <w:link w:val="192"/>
    <w:qFormat/>
    <w:uiPriority w:val="0"/>
    <w:rPr>
      <w:rFonts w:ascii="Times New Roman" w:hAnsi="Times New Roman" w:eastAsia="宋体" w:cs="Times New Roman"/>
      <w:b/>
      <w:bCs/>
      <w:sz w:val="24"/>
      <w:szCs w:val="24"/>
    </w:rPr>
  </w:style>
  <w:style w:type="paragraph" w:customStyle="1" w:styleId="194">
    <w:name w:val="标题 8_0"/>
    <w:basedOn w:val="186"/>
    <w:next w:val="186"/>
    <w:link w:val="195"/>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95">
    <w:name w:val="标题 8 Char_0"/>
    <w:link w:val="194"/>
    <w:qFormat/>
    <w:uiPriority w:val="0"/>
    <w:rPr>
      <w:rFonts w:ascii="Arial" w:hAnsi="Arial" w:eastAsia="黑体" w:cs="Times New Roman"/>
      <w:sz w:val="24"/>
      <w:szCs w:val="24"/>
    </w:rPr>
  </w:style>
  <w:style w:type="paragraph" w:customStyle="1" w:styleId="196">
    <w:name w:val="标题 9_0"/>
    <w:basedOn w:val="186"/>
    <w:next w:val="186"/>
    <w:link w:val="197"/>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97">
    <w:name w:val="标题 9 Char_0"/>
    <w:link w:val="196"/>
    <w:qFormat/>
    <w:uiPriority w:val="0"/>
    <w:rPr>
      <w:rFonts w:ascii="Arial" w:hAnsi="Arial" w:eastAsia="黑体" w:cs="Times New Roman"/>
      <w:sz w:val="21"/>
      <w:szCs w:val="21"/>
    </w:rPr>
  </w:style>
  <w:style w:type="character" w:customStyle="1" w:styleId="198">
    <w:name w:val="标题 3 Char_0"/>
    <w:link w:val="185"/>
    <w:qFormat/>
    <w:uiPriority w:val="0"/>
    <w:rPr>
      <w:rFonts w:ascii="Times New Roman" w:hAnsi="Times New Roman" w:eastAsia="宋体" w:cs="Times New Roman"/>
      <w:b/>
      <w:sz w:val="32"/>
    </w:rPr>
  </w:style>
  <w:style w:type="paragraph" w:customStyle="1" w:styleId="199">
    <w:name w:val="Blockquote_0"/>
    <w:basedOn w:val="186"/>
    <w:link w:val="200"/>
    <w:qFormat/>
    <w:uiPriority w:val="0"/>
    <w:pPr>
      <w:autoSpaceDE w:val="0"/>
      <w:autoSpaceDN w:val="0"/>
      <w:adjustRightInd w:val="0"/>
      <w:spacing w:before="100" w:after="100"/>
      <w:ind w:left="360" w:right="360"/>
      <w:jc w:val="left"/>
    </w:pPr>
    <w:rPr>
      <w:kern w:val="0"/>
      <w:sz w:val="24"/>
      <w:szCs w:val="20"/>
    </w:rPr>
  </w:style>
  <w:style w:type="character" w:customStyle="1" w:styleId="200">
    <w:name w:val="Blockquote Char_0"/>
    <w:link w:val="199"/>
    <w:qFormat/>
    <w:locked/>
    <w:uiPriority w:val="0"/>
    <w:rPr>
      <w:sz w:val="24"/>
    </w:rPr>
  </w:style>
  <w:style w:type="paragraph" w:customStyle="1" w:styleId="201">
    <w:name w:val="标题 4_0"/>
    <w:basedOn w:val="186"/>
    <w:next w:val="186"/>
    <w:link w:val="202"/>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202">
    <w:name w:val="标题 4 Char_0"/>
    <w:link w:val="201"/>
    <w:qFormat/>
    <w:uiPriority w:val="0"/>
    <w:rPr>
      <w:rFonts w:ascii="Arial" w:hAnsi="Arial" w:eastAsia="黑体"/>
      <w:sz w:val="28"/>
    </w:rPr>
  </w:style>
  <w:style w:type="paragraph" w:customStyle="1" w:styleId="203">
    <w:name w:val="纯文本_2"/>
    <w:basedOn w:val="186"/>
    <w:link w:val="204"/>
    <w:qFormat/>
    <w:uiPriority w:val="0"/>
    <w:rPr>
      <w:rFonts w:ascii="宋体" w:hAnsi="Courier New"/>
      <w:szCs w:val="21"/>
    </w:rPr>
  </w:style>
  <w:style w:type="character" w:customStyle="1" w:styleId="204">
    <w:name w:val="纯文本 Char1_1"/>
    <w:link w:val="203"/>
    <w:qFormat/>
    <w:uiPriority w:val="0"/>
    <w:rPr>
      <w:rFonts w:ascii="宋体" w:hAnsi="Courier New"/>
      <w:kern w:val="2"/>
      <w:sz w:val="21"/>
      <w:szCs w:val="21"/>
    </w:rPr>
  </w:style>
  <w:style w:type="paragraph" w:customStyle="1" w:styleId="205">
    <w:name w:val="Blockquote_0_1"/>
    <w:basedOn w:val="206"/>
    <w:link w:val="207"/>
    <w:qFormat/>
    <w:uiPriority w:val="0"/>
    <w:pPr>
      <w:autoSpaceDE w:val="0"/>
      <w:autoSpaceDN w:val="0"/>
      <w:adjustRightInd w:val="0"/>
      <w:spacing w:before="100" w:after="100"/>
      <w:ind w:left="360" w:right="360"/>
      <w:jc w:val="left"/>
    </w:pPr>
    <w:rPr>
      <w:kern w:val="0"/>
      <w:sz w:val="24"/>
      <w:szCs w:val="20"/>
    </w:rPr>
  </w:style>
  <w:style w:type="paragraph" w:customStyle="1" w:styleId="206">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7">
    <w:name w:val="Blockquote Char_0_1"/>
    <w:link w:val="205"/>
    <w:qFormat/>
    <w:locked/>
    <w:uiPriority w:val="0"/>
    <w:rPr>
      <w:sz w:val="24"/>
    </w:rPr>
  </w:style>
  <w:style w:type="paragraph" w:customStyle="1" w:styleId="208">
    <w:name w:val="正文文本_0"/>
    <w:basedOn w:val="186"/>
    <w:link w:val="209"/>
    <w:qFormat/>
    <w:uiPriority w:val="0"/>
    <w:pPr>
      <w:spacing w:after="120"/>
    </w:pPr>
  </w:style>
  <w:style w:type="character" w:customStyle="1" w:styleId="209">
    <w:name w:val="正文文本 Char_0"/>
    <w:link w:val="208"/>
    <w:qFormat/>
    <w:uiPriority w:val="0"/>
    <w:rPr>
      <w:kern w:val="2"/>
      <w:sz w:val="21"/>
      <w:szCs w:val="24"/>
    </w:rPr>
  </w:style>
  <w:style w:type="paragraph" w:customStyle="1" w:styleId="210">
    <w:name w:val="普通(网站)_0"/>
    <w:basedOn w:val="186"/>
    <w:qFormat/>
    <w:uiPriority w:val="0"/>
    <w:pPr>
      <w:widowControl/>
      <w:spacing w:before="100" w:beforeAutospacing="1" w:after="100" w:afterAutospacing="1"/>
      <w:jc w:val="left"/>
    </w:pPr>
    <w:rPr>
      <w:rFonts w:ascii="宋体" w:hAnsi="宋体"/>
      <w:kern w:val="0"/>
      <w:sz w:val="24"/>
    </w:rPr>
  </w:style>
  <w:style w:type="paragraph" w:customStyle="1" w:styleId="21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3">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4">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5">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6">
    <w:name w:val="脚注文本_0"/>
    <w:basedOn w:val="212"/>
    <w:link w:val="217"/>
    <w:unhideWhenUsed/>
    <w:qFormat/>
    <w:uiPriority w:val="0"/>
    <w:pPr>
      <w:adjustRightInd w:val="0"/>
      <w:snapToGrid w:val="0"/>
      <w:spacing w:line="420" w:lineRule="atLeast"/>
      <w:ind w:firstLine="454"/>
      <w:jc w:val="left"/>
    </w:pPr>
    <w:rPr>
      <w:rFonts w:ascii="Times New Roman" w:hAnsi="Times New Roman"/>
      <w:kern w:val="0"/>
      <w:sz w:val="18"/>
      <w:szCs w:val="20"/>
    </w:rPr>
  </w:style>
  <w:style w:type="character" w:customStyle="1" w:styleId="217">
    <w:name w:val="脚注文本 Char_0"/>
    <w:link w:val="216"/>
    <w:qFormat/>
    <w:uiPriority w:val="0"/>
    <w:rPr>
      <w:sz w:val="18"/>
    </w:rPr>
  </w:style>
  <w:style w:type="paragraph" w:customStyle="1" w:styleId="218">
    <w:name w:val="Normal_1"/>
    <w:qFormat/>
    <w:uiPriority w:val="0"/>
    <w:rPr>
      <w:rFonts w:ascii="Times New Roman" w:hAnsi="Times New Roman" w:eastAsia="Times New Roman" w:cs="Times New Roman"/>
      <w:sz w:val="24"/>
      <w:szCs w:val="24"/>
      <w:lang w:val="en-US" w:eastAsia="zh-CN" w:bidi="ar-SA"/>
    </w:rPr>
  </w:style>
  <w:style w:type="paragraph" w:customStyle="1" w:styleId="219">
    <w:name w:val="Normal_2"/>
    <w:qFormat/>
    <w:uiPriority w:val="0"/>
    <w:rPr>
      <w:rFonts w:ascii="Times New Roman" w:hAnsi="Times New Roman" w:eastAsia="Times New Roman" w:cs="Times New Roman"/>
      <w:sz w:val="24"/>
      <w:szCs w:val="24"/>
      <w:lang w:val="en-US" w:eastAsia="zh-CN" w:bidi="ar-SA"/>
    </w:rPr>
  </w:style>
  <w:style w:type="paragraph" w:customStyle="1" w:styleId="220">
    <w:name w:val="Normal_3"/>
    <w:qFormat/>
    <w:uiPriority w:val="0"/>
    <w:rPr>
      <w:rFonts w:ascii="Times New Roman" w:hAnsi="Times New Roman" w:eastAsia="Times New Roman" w:cs="Times New Roman"/>
      <w:sz w:val="24"/>
      <w:szCs w:val="24"/>
      <w:lang w:val="en-US" w:eastAsia="zh-CN" w:bidi="ar-SA"/>
    </w:rPr>
  </w:style>
  <w:style w:type="paragraph" w:customStyle="1" w:styleId="22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2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6">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2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3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3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23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23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3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6">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7">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38">
    <w:name w:val="xl43"/>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39">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0">
    <w:name w:val="xl45"/>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1">
    <w:name w:val="Char Char Char Char Char"/>
    <w:basedOn w:val="1"/>
    <w:qFormat/>
    <w:uiPriority w:val="0"/>
    <w:rPr>
      <w:rFonts w:ascii="Tahoma" w:hAnsi="Tahoma"/>
      <w:sz w:val="24"/>
      <w:szCs w:val="20"/>
    </w:rPr>
  </w:style>
  <w:style w:type="paragraph" w:customStyle="1" w:styleId="242">
    <w:name w:val="范本目录"/>
    <w:basedOn w:val="1"/>
    <w:qFormat/>
    <w:uiPriority w:val="0"/>
    <w:pPr>
      <w:adjustRightInd w:val="0"/>
      <w:snapToGrid w:val="0"/>
      <w:spacing w:beforeLines="20" w:afterLines="20" w:line="540" w:lineRule="exact"/>
      <w:jc w:val="center"/>
    </w:pPr>
    <w:rPr>
      <w:rFonts w:hAnsi="宋体"/>
      <w:b/>
      <w:bCs/>
      <w:sz w:val="36"/>
      <w:szCs w:val="24"/>
    </w:rPr>
  </w:style>
  <w:style w:type="character" w:customStyle="1" w:styleId="243">
    <w:name w:val="副标题 Char"/>
    <w:basedOn w:val="68"/>
    <w:link w:val="47"/>
    <w:qFormat/>
    <w:uiPriority w:val="0"/>
    <w:rPr>
      <w:rFonts w:ascii="Arial" w:hAnsi="Arial"/>
      <w:b/>
      <w:bCs/>
      <w:kern w:val="28"/>
      <w:sz w:val="32"/>
      <w:szCs w:val="32"/>
    </w:rPr>
  </w:style>
  <w:style w:type="character" w:customStyle="1" w:styleId="244">
    <w:name w:val="Char Char"/>
    <w:qFormat/>
    <w:uiPriority w:val="0"/>
    <w:rPr>
      <w:rFonts w:ascii="宋体" w:hAnsi="Courier New" w:eastAsia="宋体" w:cs="Courier New"/>
      <w:kern w:val="2"/>
      <w:sz w:val="21"/>
      <w:szCs w:val="21"/>
      <w:lang w:val="en-US" w:eastAsia="zh-CN" w:bidi="ar-SA"/>
    </w:rPr>
  </w:style>
  <w:style w:type="character" w:customStyle="1" w:styleId="245">
    <w:name w:val="标题4 Char Char"/>
    <w:link w:val="246"/>
    <w:qFormat/>
    <w:uiPriority w:val="0"/>
    <w:rPr>
      <w:rFonts w:ascii="Arial" w:hAnsi="Arial"/>
      <w:b/>
      <w:bCs/>
      <w:sz w:val="24"/>
      <w:szCs w:val="32"/>
    </w:rPr>
  </w:style>
  <w:style w:type="paragraph" w:customStyle="1" w:styleId="246">
    <w:name w:val="标题4"/>
    <w:basedOn w:val="6"/>
    <w:next w:val="31"/>
    <w:link w:val="245"/>
    <w:qFormat/>
    <w:uiPriority w:val="0"/>
    <w:pPr>
      <w:spacing w:before="0" w:after="0" w:line="413" w:lineRule="auto"/>
      <w:ind w:firstLine="0"/>
      <w:jc w:val="both"/>
    </w:pPr>
    <w:rPr>
      <w:rFonts w:eastAsia="宋体"/>
      <w:kern w:val="0"/>
      <w:sz w:val="24"/>
    </w:rPr>
  </w:style>
  <w:style w:type="character" w:customStyle="1" w:styleId="247">
    <w:name w:val="明显引用 Char"/>
    <w:link w:val="248"/>
    <w:qFormat/>
    <w:uiPriority w:val="0"/>
    <w:rPr>
      <w:b/>
      <w:bCs/>
      <w:i/>
      <w:iCs/>
      <w:color w:val="4F81BD"/>
      <w:kern w:val="2"/>
      <w:sz w:val="21"/>
      <w:szCs w:val="22"/>
    </w:rPr>
  </w:style>
  <w:style w:type="paragraph" w:styleId="248">
    <w:name w:val="Intense Quote"/>
    <w:basedOn w:val="1"/>
    <w:next w:val="1"/>
    <w:link w:val="247"/>
    <w:qFormat/>
    <w:uiPriority w:val="0"/>
    <w:pPr>
      <w:pBdr>
        <w:bottom w:val="single" w:color="4F81BD" w:sz="4" w:space="4"/>
      </w:pBdr>
      <w:spacing w:before="200" w:after="280"/>
      <w:ind w:left="936" w:right="936"/>
    </w:pPr>
    <w:rPr>
      <w:b/>
      <w:bCs/>
      <w:i/>
      <w:iCs/>
      <w:color w:val="4F81BD"/>
    </w:rPr>
  </w:style>
  <w:style w:type="character" w:customStyle="1" w:styleId="249">
    <w:name w:val="明显引用 Char1"/>
    <w:basedOn w:val="68"/>
    <w:qFormat/>
    <w:uiPriority w:val="30"/>
    <w:rPr>
      <w:b/>
      <w:bCs/>
      <w:i/>
      <w:iCs/>
      <w:color w:val="4F81BD"/>
      <w:kern w:val="2"/>
      <w:sz w:val="21"/>
      <w:szCs w:val="22"/>
    </w:rPr>
  </w:style>
  <w:style w:type="character" w:customStyle="1" w:styleId="250">
    <w:name w:val="标题5 Char Char"/>
    <w:link w:val="251"/>
    <w:qFormat/>
    <w:uiPriority w:val="0"/>
    <w:rPr>
      <w:rFonts w:ascii="Arial" w:hAnsi="Arial"/>
      <w:b/>
      <w:bCs/>
      <w:sz w:val="24"/>
      <w:szCs w:val="32"/>
    </w:rPr>
  </w:style>
  <w:style w:type="paragraph" w:customStyle="1" w:styleId="251">
    <w:name w:val="标题5"/>
    <w:basedOn w:val="7"/>
    <w:link w:val="250"/>
    <w:qFormat/>
    <w:uiPriority w:val="0"/>
    <w:pPr>
      <w:spacing w:line="413" w:lineRule="auto"/>
      <w:jc w:val="both"/>
    </w:pPr>
    <w:rPr>
      <w:rFonts w:ascii="Arial" w:hAnsi="Arial"/>
      <w:kern w:val="0"/>
      <w:sz w:val="24"/>
    </w:rPr>
  </w:style>
  <w:style w:type="character" w:customStyle="1" w:styleId="252">
    <w:name w:val="引用 Char"/>
    <w:link w:val="253"/>
    <w:qFormat/>
    <w:uiPriority w:val="0"/>
    <w:rPr>
      <w:i/>
      <w:iCs/>
      <w:color w:val="000000"/>
      <w:kern w:val="2"/>
      <w:sz w:val="21"/>
      <w:szCs w:val="22"/>
    </w:rPr>
  </w:style>
  <w:style w:type="paragraph" w:styleId="253">
    <w:name w:val="Quote"/>
    <w:basedOn w:val="1"/>
    <w:next w:val="1"/>
    <w:link w:val="252"/>
    <w:qFormat/>
    <w:uiPriority w:val="0"/>
    <w:rPr>
      <w:i/>
      <w:iCs/>
      <w:color w:val="000000"/>
    </w:rPr>
  </w:style>
  <w:style w:type="character" w:customStyle="1" w:styleId="254">
    <w:name w:val="引用 Char1"/>
    <w:basedOn w:val="68"/>
    <w:qFormat/>
    <w:uiPriority w:val="29"/>
    <w:rPr>
      <w:i/>
      <w:iCs/>
      <w:color w:val="000000"/>
      <w:kern w:val="2"/>
      <w:sz w:val="21"/>
      <w:szCs w:val="22"/>
    </w:rPr>
  </w:style>
  <w:style w:type="character" w:customStyle="1" w:styleId="255">
    <w:name w:val="ask-title2"/>
    <w:qFormat/>
    <w:uiPriority w:val="0"/>
  </w:style>
  <w:style w:type="paragraph" w:customStyle="1" w:styleId="256">
    <w:name w:val="_Style 24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7">
    <w:name w:val="正文文本缩进 Char1"/>
    <w:basedOn w:val="68"/>
    <w:semiHidden/>
    <w:qFormat/>
    <w:uiPriority w:val="99"/>
  </w:style>
  <w:style w:type="character" w:customStyle="1" w:styleId="258">
    <w:name w:val="正文文本 2 Char1"/>
    <w:basedOn w:val="68"/>
    <w:semiHidden/>
    <w:qFormat/>
    <w:uiPriority w:val="99"/>
  </w:style>
  <w:style w:type="character" w:customStyle="1" w:styleId="259">
    <w:name w:val="纯文本 Char2"/>
    <w:semiHidden/>
    <w:qFormat/>
    <w:uiPriority w:val="99"/>
    <w:rPr>
      <w:rFonts w:ascii="宋体" w:hAnsi="Courier New" w:eastAsia="宋体" w:cs="Courier New"/>
      <w:szCs w:val="21"/>
    </w:rPr>
  </w:style>
  <w:style w:type="character" w:customStyle="1" w:styleId="260">
    <w:name w:val="页眉 Char1"/>
    <w:semiHidden/>
    <w:qFormat/>
    <w:uiPriority w:val="99"/>
    <w:rPr>
      <w:sz w:val="18"/>
      <w:szCs w:val="18"/>
    </w:rPr>
  </w:style>
  <w:style w:type="character" w:customStyle="1" w:styleId="261">
    <w:name w:val="正文文本 3 Char1"/>
    <w:semiHidden/>
    <w:qFormat/>
    <w:uiPriority w:val="99"/>
    <w:rPr>
      <w:sz w:val="16"/>
      <w:szCs w:val="16"/>
    </w:rPr>
  </w:style>
  <w:style w:type="character" w:customStyle="1" w:styleId="262">
    <w:name w:val="正文文本缩进 3 Char1"/>
    <w:semiHidden/>
    <w:qFormat/>
    <w:uiPriority w:val="99"/>
    <w:rPr>
      <w:sz w:val="16"/>
      <w:szCs w:val="16"/>
    </w:rPr>
  </w:style>
  <w:style w:type="character" w:customStyle="1" w:styleId="263">
    <w:name w:val="Char Char1"/>
    <w:qFormat/>
    <w:uiPriority w:val="0"/>
    <w:rPr>
      <w:rFonts w:ascii="宋体" w:hAnsi="Courier New" w:eastAsia="宋体" w:cs="Courier New"/>
      <w:kern w:val="2"/>
      <w:sz w:val="21"/>
      <w:szCs w:val="21"/>
      <w:lang w:val="en-US" w:eastAsia="zh-CN" w:bidi="ar-SA"/>
    </w:rPr>
  </w:style>
  <w:style w:type="character" w:customStyle="1" w:styleId="264">
    <w:name w:val="正文文本 Char1"/>
    <w:qFormat/>
    <w:uiPriority w:val="0"/>
    <w:rPr>
      <w:rFonts w:ascii="Calibri" w:hAnsi="Calibri" w:eastAsia="宋体" w:cs="Times New Roman"/>
    </w:rPr>
  </w:style>
  <w:style w:type="character" w:customStyle="1" w:styleId="265">
    <w:name w:val="正文首行缩进 Char1"/>
    <w:qFormat/>
    <w:uiPriority w:val="0"/>
    <w:rPr>
      <w:rFonts w:ascii="Calibri" w:hAnsi="Calibri" w:eastAsia="宋体"/>
      <w:kern w:val="2"/>
      <w:sz w:val="21"/>
      <w:szCs w:val="22"/>
      <w:lang w:val="en-US" w:eastAsia="zh-CN" w:bidi="ar-SA"/>
    </w:rPr>
  </w:style>
  <w:style w:type="character" w:customStyle="1" w:styleId="266">
    <w:name w:val="日期 Char1"/>
    <w:basedOn w:val="68"/>
    <w:qFormat/>
    <w:uiPriority w:val="0"/>
  </w:style>
  <w:style w:type="character" w:customStyle="1" w:styleId="267">
    <w:name w:val="文档结构图 Char1"/>
    <w:qFormat/>
    <w:uiPriority w:val="0"/>
    <w:rPr>
      <w:rFonts w:ascii="宋体" w:eastAsia="宋体"/>
      <w:sz w:val="18"/>
      <w:szCs w:val="18"/>
    </w:rPr>
  </w:style>
  <w:style w:type="character" w:customStyle="1" w:styleId="268">
    <w:name w:val="页脚 Char1"/>
    <w:semiHidden/>
    <w:qFormat/>
    <w:uiPriority w:val="99"/>
    <w:rPr>
      <w:sz w:val="18"/>
      <w:szCs w:val="18"/>
    </w:rPr>
  </w:style>
  <w:style w:type="character" w:customStyle="1" w:styleId="269">
    <w:name w:val="正文文本缩进 2 Char1"/>
    <w:basedOn w:val="68"/>
    <w:semiHidden/>
    <w:qFormat/>
    <w:uiPriority w:val="99"/>
  </w:style>
  <w:style w:type="paragraph" w:customStyle="1" w:styleId="270">
    <w:name w:val="Char Char Char Char2"/>
    <w:basedOn w:val="1"/>
    <w:qFormat/>
    <w:uiPriority w:val="0"/>
    <w:pPr>
      <w:snapToGrid w:val="0"/>
      <w:spacing w:line="360" w:lineRule="auto"/>
      <w:ind w:firstLine="200" w:firstLineChars="200"/>
    </w:pPr>
    <w:rPr>
      <w:rFonts w:ascii="Calibri" w:hAnsi="Calibri" w:eastAsia="仿宋_GB2312"/>
      <w:sz w:val="24"/>
    </w:rPr>
  </w:style>
  <w:style w:type="paragraph" w:customStyle="1" w:styleId="271">
    <w:name w:val="Char Char Char Char Char1"/>
    <w:basedOn w:val="1"/>
    <w:qFormat/>
    <w:uiPriority w:val="0"/>
    <w:rPr>
      <w:rFonts w:ascii="Tahoma" w:hAnsi="Tahoma"/>
      <w:sz w:val="24"/>
      <w:szCs w:val="20"/>
    </w:rPr>
  </w:style>
  <w:style w:type="paragraph" w:customStyle="1" w:styleId="272">
    <w:name w:val="默认段落字体 Para Char"/>
    <w:basedOn w:val="1"/>
    <w:qFormat/>
    <w:uiPriority w:val="0"/>
    <w:rPr>
      <w:szCs w:val="20"/>
    </w:rPr>
  </w:style>
  <w:style w:type="paragraph" w:customStyle="1" w:styleId="273">
    <w:name w:val="正文首行缩进 4 字符"/>
    <w:basedOn w:val="65"/>
    <w:qFormat/>
    <w:uiPriority w:val="0"/>
    <w:pPr>
      <w:snapToGrid w:val="0"/>
      <w:spacing w:beforeLines="25"/>
      <w:ind w:left="100" w:leftChars="100" w:right="-10" w:firstLine="480" w:firstLineChars="200"/>
    </w:pPr>
    <w:rPr>
      <w:rFonts w:ascii="宋体" w:hAnsi="Italic" w:eastAsia="宋体"/>
      <w:sz w:val="21"/>
      <w:szCs w:val="21"/>
    </w:rPr>
  </w:style>
  <w:style w:type="paragraph" w:customStyle="1" w:styleId="274">
    <w:name w:val="Char2"/>
    <w:basedOn w:val="1"/>
    <w:qFormat/>
    <w:uiPriority w:val="0"/>
    <w:rPr>
      <w:rFonts w:ascii="Calibri" w:hAnsi="Calibri"/>
    </w:rPr>
  </w:style>
  <w:style w:type="paragraph" w:customStyle="1" w:styleId="275">
    <w:name w:val="Char Char Char Char Char Char2"/>
    <w:basedOn w:val="1"/>
    <w:qFormat/>
    <w:uiPriority w:val="0"/>
    <w:rPr>
      <w:rFonts w:ascii="Tahoma" w:hAnsi="Tahoma"/>
      <w:sz w:val="24"/>
      <w:szCs w:val="20"/>
    </w:rPr>
  </w:style>
  <w:style w:type="paragraph" w:customStyle="1" w:styleId="276">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77">
    <w:name w:val="修订1"/>
    <w:qFormat/>
    <w:uiPriority w:val="0"/>
    <w:rPr>
      <w:rFonts w:ascii="Calibri" w:hAnsi="Calibri" w:eastAsia="宋体" w:cs="Times New Roman"/>
      <w:kern w:val="2"/>
      <w:sz w:val="21"/>
      <w:szCs w:val="22"/>
      <w:lang w:val="en-US" w:eastAsia="zh-CN" w:bidi="ar-SA"/>
    </w:rPr>
  </w:style>
  <w:style w:type="paragraph" w:customStyle="1" w:styleId="278">
    <w:name w:val="Char10 Char Char Char Char Char Char Char Char Char2"/>
    <w:basedOn w:val="1"/>
    <w:next w:val="1"/>
    <w:qFormat/>
    <w:uiPriority w:val="0"/>
    <w:rPr>
      <w:rFonts w:ascii="Calibri" w:hAnsi="Calibri"/>
    </w:rPr>
  </w:style>
  <w:style w:type="table" w:customStyle="1" w:styleId="279">
    <w:name w:val="网格型1"/>
    <w:basedOn w:val="6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80">
    <w:name w:val="Table Paragraph"/>
    <w:basedOn w:val="1"/>
    <w:qFormat/>
    <w:uiPriority w:val="1"/>
    <w:rPr>
      <w:rFonts w:ascii="宋体" w:hAnsi="宋体" w:cs="宋体"/>
      <w:lang w:val="zh-CN" w:bidi="zh-CN"/>
    </w:rPr>
  </w:style>
  <w:style w:type="table" w:customStyle="1" w:styleId="281">
    <w:name w:val="Table Normal"/>
    <w:semiHidden/>
    <w:unhideWhenUsed/>
    <w:qFormat/>
    <w:uiPriority w:val="2"/>
    <w:tblPr>
      <w:tblCellMar>
        <w:top w:w="0" w:type="dxa"/>
        <w:left w:w="0" w:type="dxa"/>
        <w:bottom w:w="0" w:type="dxa"/>
        <w:right w:w="0" w:type="dxa"/>
      </w:tblCellMar>
    </w:tblPr>
  </w:style>
  <w:style w:type="paragraph" w:customStyle="1" w:styleId="282">
    <w:name w:val="标题 11"/>
    <w:basedOn w:val="1"/>
    <w:qFormat/>
    <w:uiPriority w:val="1"/>
    <w:pPr>
      <w:ind w:left="152"/>
      <w:outlineLvl w:val="1"/>
    </w:pPr>
    <w:rPr>
      <w:rFonts w:ascii="宋体" w:hAnsi="宋体"/>
      <w:b/>
      <w:bCs/>
      <w:szCs w:val="21"/>
    </w:rPr>
  </w:style>
  <w:style w:type="character" w:customStyle="1" w:styleId="283">
    <w:name w:val="批注框文本 Char2"/>
    <w:basedOn w:val="68"/>
    <w:semiHidden/>
    <w:qFormat/>
    <w:uiPriority w:val="99"/>
    <w:rPr>
      <w:rFonts w:ascii="Calibri" w:hAnsi="Calibri" w:eastAsia="宋体" w:cs="Times New Roman"/>
      <w:sz w:val="18"/>
      <w:szCs w:val="18"/>
    </w:rPr>
  </w:style>
  <w:style w:type="character" w:customStyle="1" w:styleId="284">
    <w:name w:val="正文文本缩进 3 Char2"/>
    <w:basedOn w:val="68"/>
    <w:semiHidden/>
    <w:qFormat/>
    <w:uiPriority w:val="99"/>
    <w:rPr>
      <w:rFonts w:ascii="Calibri" w:hAnsi="Calibri" w:eastAsia="宋体" w:cs="Times New Roman"/>
      <w:sz w:val="16"/>
      <w:szCs w:val="16"/>
    </w:rPr>
  </w:style>
  <w:style w:type="character" w:customStyle="1" w:styleId="285">
    <w:name w:val="文档结构图 Char2"/>
    <w:basedOn w:val="68"/>
    <w:semiHidden/>
    <w:qFormat/>
    <w:uiPriority w:val="99"/>
    <w:rPr>
      <w:rFonts w:ascii="宋体" w:hAnsi="Calibri" w:eastAsia="宋体" w:cs="Times New Roman"/>
      <w:sz w:val="18"/>
      <w:szCs w:val="18"/>
    </w:rPr>
  </w:style>
  <w:style w:type="character" w:customStyle="1" w:styleId="286">
    <w:name w:val="正文文本 3 Char2"/>
    <w:basedOn w:val="68"/>
    <w:semiHidden/>
    <w:qFormat/>
    <w:uiPriority w:val="99"/>
    <w:rPr>
      <w:rFonts w:ascii="Calibri" w:hAnsi="Calibri" w:eastAsia="宋体" w:cs="Times New Roman"/>
      <w:sz w:val="16"/>
      <w:szCs w:val="16"/>
    </w:rPr>
  </w:style>
  <w:style w:type="character" w:customStyle="1" w:styleId="287">
    <w:name w:val="页眉 Char2"/>
    <w:basedOn w:val="68"/>
    <w:semiHidden/>
    <w:qFormat/>
    <w:uiPriority w:val="99"/>
    <w:rPr>
      <w:rFonts w:ascii="Calibri" w:hAnsi="Calibri" w:eastAsia="宋体" w:cs="Times New Roman"/>
      <w:sz w:val="18"/>
      <w:szCs w:val="18"/>
    </w:rPr>
  </w:style>
  <w:style w:type="character" w:customStyle="1" w:styleId="288">
    <w:name w:val="日期 Char2"/>
    <w:basedOn w:val="68"/>
    <w:semiHidden/>
    <w:qFormat/>
    <w:uiPriority w:val="99"/>
    <w:rPr>
      <w:rFonts w:ascii="Calibri" w:hAnsi="Calibri" w:eastAsia="宋体" w:cs="Times New Roman"/>
    </w:rPr>
  </w:style>
  <w:style w:type="character" w:customStyle="1" w:styleId="289">
    <w:name w:val="称呼 Char1"/>
    <w:basedOn w:val="68"/>
    <w:semiHidden/>
    <w:qFormat/>
    <w:uiPriority w:val="0"/>
    <w:rPr>
      <w:rFonts w:ascii="Calibri" w:hAnsi="Calibri" w:eastAsia="宋体" w:cs="Times New Roman"/>
    </w:rPr>
  </w:style>
  <w:style w:type="character" w:customStyle="1" w:styleId="290">
    <w:name w:val="脚注文本 Char1"/>
    <w:basedOn w:val="68"/>
    <w:qFormat/>
    <w:uiPriority w:val="0"/>
    <w:rPr>
      <w:rFonts w:ascii="Calibri" w:hAnsi="Calibri" w:eastAsia="宋体" w:cs="Times New Roman"/>
      <w:sz w:val="18"/>
      <w:szCs w:val="18"/>
    </w:rPr>
  </w:style>
  <w:style w:type="character" w:customStyle="1" w:styleId="291">
    <w:name w:val="正文文本缩进 2 Char2"/>
    <w:basedOn w:val="68"/>
    <w:semiHidden/>
    <w:qFormat/>
    <w:uiPriority w:val="99"/>
    <w:rPr>
      <w:rFonts w:ascii="Calibri" w:hAnsi="Calibri" w:eastAsia="宋体" w:cs="Times New Roman"/>
    </w:rPr>
  </w:style>
  <w:style w:type="character" w:customStyle="1" w:styleId="292">
    <w:name w:val="页脚 Char2"/>
    <w:basedOn w:val="68"/>
    <w:semiHidden/>
    <w:qFormat/>
    <w:uiPriority w:val="99"/>
    <w:rPr>
      <w:rFonts w:ascii="Calibri" w:hAnsi="Calibri" w:eastAsia="宋体" w:cs="Times New Roman"/>
      <w:sz w:val="18"/>
      <w:szCs w:val="18"/>
    </w:rPr>
  </w:style>
  <w:style w:type="character" w:customStyle="1" w:styleId="293">
    <w:name w:val="正文文本 2 Char2"/>
    <w:basedOn w:val="68"/>
    <w:semiHidden/>
    <w:qFormat/>
    <w:uiPriority w:val="99"/>
    <w:rPr>
      <w:rFonts w:ascii="Calibri" w:hAnsi="Calibri" w:eastAsia="宋体" w:cs="Times New Roman"/>
    </w:rPr>
  </w:style>
  <w:style w:type="character" w:customStyle="1" w:styleId="294">
    <w:name w:val="副标题 Char1"/>
    <w:basedOn w:val="68"/>
    <w:qFormat/>
    <w:uiPriority w:val="11"/>
    <w:rPr>
      <w:rFonts w:eastAsia="宋体" w:asciiTheme="majorHAnsi" w:hAnsiTheme="majorHAnsi" w:cstheme="majorBidi"/>
      <w:b/>
      <w:bCs/>
      <w:kern w:val="28"/>
      <w:sz w:val="32"/>
      <w:szCs w:val="32"/>
    </w:rPr>
  </w:style>
  <w:style w:type="character" w:customStyle="1" w:styleId="295">
    <w:name w:val="标题 Char1"/>
    <w:basedOn w:val="68"/>
    <w:qFormat/>
    <w:uiPriority w:val="10"/>
    <w:rPr>
      <w:rFonts w:eastAsia="宋体" w:asciiTheme="majorHAnsi" w:hAnsiTheme="majorHAnsi" w:cstheme="majorBidi"/>
      <w:b/>
      <w:bCs/>
      <w:sz w:val="32"/>
      <w:szCs w:val="32"/>
    </w:rPr>
  </w:style>
  <w:style w:type="character" w:customStyle="1" w:styleId="296">
    <w:name w:val="正文文本缩进 Char2"/>
    <w:basedOn w:val="68"/>
    <w:semiHidden/>
    <w:qFormat/>
    <w:uiPriority w:val="99"/>
    <w:rPr>
      <w:rFonts w:ascii="Calibri" w:hAnsi="Calibri" w:eastAsia="宋体" w:cs="Times New Roman"/>
    </w:rPr>
  </w:style>
  <w:style w:type="character" w:customStyle="1" w:styleId="297">
    <w:name w:val="批注文字 Char2"/>
    <w:basedOn w:val="68"/>
    <w:qFormat/>
    <w:uiPriority w:val="0"/>
    <w:rPr>
      <w:rFonts w:ascii="Calibri" w:hAnsi="Calibri" w:eastAsia="宋体" w:cs="Times New Roman"/>
    </w:rPr>
  </w:style>
  <w:style w:type="character" w:customStyle="1" w:styleId="298">
    <w:name w:val="批注主题 Char2"/>
    <w:basedOn w:val="297"/>
    <w:semiHidden/>
    <w:qFormat/>
    <w:uiPriority w:val="99"/>
    <w:rPr>
      <w:rFonts w:ascii="Calibri" w:hAnsi="Calibri" w:eastAsia="宋体" w:cs="Times New Roman"/>
      <w:b/>
      <w:bCs/>
    </w:rPr>
  </w:style>
  <w:style w:type="character" w:customStyle="1" w:styleId="299">
    <w:name w:val="正文文本 Char2"/>
    <w:basedOn w:val="68"/>
    <w:qFormat/>
    <w:uiPriority w:val="0"/>
    <w:rPr>
      <w:rFonts w:ascii="Calibri" w:hAnsi="Calibri" w:eastAsia="宋体" w:cs="Times New Roman"/>
    </w:rPr>
  </w:style>
  <w:style w:type="character" w:customStyle="1" w:styleId="300">
    <w:name w:val="正文首行缩进 Char2"/>
    <w:basedOn w:val="299"/>
    <w:semiHidden/>
    <w:qFormat/>
    <w:uiPriority w:val="99"/>
    <w:rPr>
      <w:rFonts w:ascii="Calibri" w:hAnsi="Calibri" w:eastAsia="宋体" w:cs="Times New Roman"/>
    </w:rPr>
  </w:style>
  <w:style w:type="character" w:customStyle="1" w:styleId="301">
    <w:name w:val="明显引用 Char2"/>
    <w:basedOn w:val="68"/>
    <w:qFormat/>
    <w:uiPriority w:val="0"/>
    <w:rPr>
      <w:rFonts w:ascii="Calibri" w:hAnsi="Calibri" w:eastAsia="宋体" w:cs="Times New Roman"/>
      <w:b/>
      <w:bCs/>
      <w:i/>
      <w:iCs/>
      <w:color w:val="4F81BD" w:themeColor="accent1"/>
      <w14:textFill>
        <w14:solidFill>
          <w14:schemeClr w14:val="accent1"/>
        </w14:solidFill>
      </w14:textFill>
    </w:rPr>
  </w:style>
  <w:style w:type="paragraph" w:customStyle="1" w:styleId="302">
    <w:name w:val="TOC 标题2"/>
    <w:basedOn w:val="5"/>
    <w:next w:val="1"/>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303">
    <w:name w:val="修订2"/>
    <w:uiPriority w:val="0"/>
    <w:rPr>
      <w:rFonts w:ascii="Calibri" w:hAnsi="Calibri" w:eastAsia="宋体" w:cs="Times New Roman"/>
      <w:kern w:val="2"/>
      <w:sz w:val="21"/>
      <w:szCs w:val="22"/>
      <w:lang w:val="en-US" w:eastAsia="zh-CN" w:bidi="ar-SA"/>
    </w:rPr>
  </w:style>
  <w:style w:type="character" w:customStyle="1" w:styleId="304">
    <w:name w:val="引用 Char2"/>
    <w:basedOn w:val="68"/>
    <w:qFormat/>
    <w:uiPriority w:val="0"/>
    <w:rPr>
      <w:rFonts w:ascii="Calibri" w:hAnsi="Calibri" w:eastAsia="宋体" w:cs="Times New Roman"/>
      <w:i/>
      <w:iCs/>
      <w:color w:val="000000" w:themeColor="text1"/>
      <w14:textFill>
        <w14:solidFill>
          <w14:schemeClr w14:val="tx1"/>
        </w14:solidFill>
      </w14:textFill>
    </w:rPr>
  </w:style>
  <w:style w:type="table" w:customStyle="1" w:styleId="305">
    <w:name w:val="网格型2"/>
    <w:basedOn w:val="6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06">
    <w:name w:val="Intense Quote Char"/>
    <w:link w:val="307"/>
    <w:qFormat/>
    <w:locked/>
    <w:uiPriority w:val="0"/>
    <w:rPr>
      <w:b/>
      <w:i/>
      <w:color w:val="4F81BD"/>
      <w:sz w:val="22"/>
    </w:rPr>
  </w:style>
  <w:style w:type="paragraph" w:customStyle="1" w:styleId="307">
    <w:name w:val="明显引用1"/>
    <w:basedOn w:val="1"/>
    <w:next w:val="1"/>
    <w:link w:val="306"/>
    <w:qFormat/>
    <w:uiPriority w:val="0"/>
    <w:pPr>
      <w:pBdr>
        <w:bottom w:val="single" w:color="4F81BD" w:sz="4" w:space="4"/>
      </w:pBdr>
      <w:spacing w:before="200" w:after="280"/>
      <w:ind w:left="936" w:right="936"/>
    </w:pPr>
    <w:rPr>
      <w:rFonts w:asciiTheme="minorHAnsi" w:hAnsiTheme="minorHAnsi" w:eastAsiaTheme="minorEastAsia" w:cstheme="minorBidi"/>
      <w:b/>
      <w:i/>
      <w:color w:val="4F81BD"/>
      <w:kern w:val="0"/>
      <w:sz w:val="22"/>
      <w:szCs w:val="20"/>
    </w:rPr>
  </w:style>
  <w:style w:type="character" w:customStyle="1" w:styleId="308">
    <w:name w:val="书籍标题1"/>
    <w:qFormat/>
    <w:uiPriority w:val="0"/>
    <w:rPr>
      <w:b/>
      <w:smallCaps/>
      <w:spacing w:val="5"/>
    </w:rPr>
  </w:style>
  <w:style w:type="character" w:customStyle="1" w:styleId="309">
    <w:name w:val="明显强调1"/>
    <w:qFormat/>
    <w:uiPriority w:val="0"/>
    <w:rPr>
      <w:b/>
      <w:i/>
      <w:color w:val="4F81BD"/>
    </w:rPr>
  </w:style>
  <w:style w:type="character" w:customStyle="1" w:styleId="310">
    <w:name w:val="textcontents"/>
    <w:qFormat/>
    <w:uiPriority w:val="0"/>
  </w:style>
  <w:style w:type="character" w:customStyle="1" w:styleId="311">
    <w:name w:val="不明显强调1"/>
    <w:qFormat/>
    <w:uiPriority w:val="0"/>
    <w:rPr>
      <w:i/>
      <w:color w:val="808080"/>
    </w:rPr>
  </w:style>
  <w:style w:type="character" w:customStyle="1" w:styleId="312">
    <w:name w:val="不明显参考1"/>
    <w:qFormat/>
    <w:uiPriority w:val="0"/>
    <w:rPr>
      <w:smallCaps/>
      <w:color w:val="C0504D"/>
      <w:u w:val="single"/>
    </w:rPr>
  </w:style>
  <w:style w:type="character" w:customStyle="1" w:styleId="313">
    <w:name w:val="批注文字 Char Char"/>
    <w:qFormat/>
    <w:uiPriority w:val="0"/>
    <w:rPr>
      <w:rFonts w:ascii="宋体" w:hAnsi="Times New Roman" w:eastAsia="宋体"/>
      <w:sz w:val="20"/>
    </w:rPr>
  </w:style>
  <w:style w:type="character" w:customStyle="1" w:styleId="314">
    <w:name w:val="明显参考1"/>
    <w:qFormat/>
    <w:uiPriority w:val="0"/>
    <w:rPr>
      <w:b/>
      <w:smallCaps/>
      <w:color w:val="C0504D"/>
      <w:spacing w:val="5"/>
      <w:u w:val="single"/>
    </w:rPr>
  </w:style>
  <w:style w:type="character" w:customStyle="1" w:styleId="315">
    <w:name w:val="Quote Char"/>
    <w:link w:val="316"/>
    <w:qFormat/>
    <w:locked/>
    <w:uiPriority w:val="0"/>
    <w:rPr>
      <w:i/>
      <w:color w:val="000000"/>
      <w:sz w:val="22"/>
    </w:rPr>
  </w:style>
  <w:style w:type="paragraph" w:customStyle="1" w:styleId="316">
    <w:name w:val="引用1"/>
    <w:basedOn w:val="1"/>
    <w:next w:val="1"/>
    <w:link w:val="315"/>
    <w:qFormat/>
    <w:uiPriority w:val="0"/>
    <w:rPr>
      <w:rFonts w:asciiTheme="minorHAnsi" w:hAnsiTheme="minorHAnsi" w:eastAsiaTheme="minorEastAsia" w:cstheme="minorBidi"/>
      <w:i/>
      <w:color w:val="000000"/>
      <w:kern w:val="0"/>
      <w:sz w:val="22"/>
      <w:szCs w:val="20"/>
    </w:rPr>
  </w:style>
  <w:style w:type="paragraph" w:customStyle="1" w:styleId="31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8">
    <w:name w:val="列出段落1"/>
    <w:basedOn w:val="1"/>
    <w:qFormat/>
    <w:uiPriority w:val="0"/>
    <w:pPr>
      <w:ind w:firstLine="420" w:firstLineChars="200"/>
    </w:pPr>
    <w:rPr>
      <w:rFonts w:ascii="Calibri" w:hAnsi="Calibri"/>
    </w:rPr>
  </w:style>
  <w:style w:type="paragraph" w:customStyle="1" w:styleId="3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20">
    <w:name w:val="空半行"/>
    <w:basedOn w:val="1"/>
    <w:qFormat/>
    <w:uiPriority w:val="0"/>
    <w:pPr>
      <w:adjustRightInd w:val="0"/>
      <w:spacing w:line="120" w:lineRule="exact"/>
      <w:textAlignment w:val="baseline"/>
    </w:pPr>
    <w:rPr>
      <w:rFonts w:eastAsia="仿宋_GB2312"/>
      <w:color w:val="FFFFFF"/>
      <w:kern w:val="0"/>
      <w:sz w:val="30"/>
      <w:szCs w:val="20"/>
    </w:rPr>
  </w:style>
  <w:style w:type="character" w:customStyle="1" w:styleId="321">
    <w:name w:val="Char Char8"/>
    <w:qFormat/>
    <w:uiPriority w:val="0"/>
    <w:rPr>
      <w:rFonts w:ascii="Arial" w:hAnsi="Arial" w:eastAsia="黑体"/>
      <w:b/>
      <w:bCs/>
      <w:kern w:val="2"/>
      <w:sz w:val="32"/>
      <w:szCs w:val="32"/>
      <w:lang w:val="en-US" w:eastAsia="zh-CN" w:bidi="ar-SA"/>
    </w:rPr>
  </w:style>
  <w:style w:type="character" w:customStyle="1" w:styleId="322">
    <w:name w:val="font161"/>
    <w:qFormat/>
    <w:uiPriority w:val="0"/>
    <w:rPr>
      <w:b/>
      <w:bCs/>
      <w:sz w:val="32"/>
      <w:szCs w:val="32"/>
    </w:rPr>
  </w:style>
  <w:style w:type="character" w:customStyle="1" w:styleId="323">
    <w:name w:val="Char Char2"/>
    <w:qFormat/>
    <w:uiPriority w:val="0"/>
    <w:rPr>
      <w:rFonts w:eastAsia="宋体"/>
      <w:kern w:val="2"/>
      <w:sz w:val="21"/>
      <w:szCs w:val="24"/>
      <w:lang w:val="en-US" w:eastAsia="zh-CN" w:bidi="ar-SA"/>
    </w:rPr>
  </w:style>
  <w:style w:type="character" w:customStyle="1" w:styleId="324">
    <w:name w:val="Char Char7"/>
    <w:link w:val="325"/>
    <w:qFormat/>
    <w:uiPriority w:val="0"/>
    <w:rPr>
      <w:rFonts w:ascii="Arial" w:hAnsi="Arial" w:eastAsia="黑体"/>
      <w:b/>
      <w:bCs/>
      <w:sz w:val="32"/>
      <w:szCs w:val="32"/>
    </w:rPr>
  </w:style>
  <w:style w:type="paragraph" w:customStyle="1" w:styleId="325">
    <w:name w:val="正文文本 2_0"/>
    <w:basedOn w:val="183"/>
    <w:link w:val="324"/>
    <w:qFormat/>
    <w:uiPriority w:val="0"/>
    <w:pPr>
      <w:spacing w:before="312" w:line="360" w:lineRule="auto"/>
      <w:ind w:left="-100"/>
    </w:pPr>
    <w:rPr>
      <w:rFonts w:ascii="Arial" w:hAnsi="Arial" w:eastAsia="黑体" w:cstheme="minorBidi"/>
      <w:b/>
      <w:bCs/>
      <w:kern w:val="0"/>
      <w:sz w:val="32"/>
      <w:szCs w:val="32"/>
    </w:rPr>
  </w:style>
  <w:style w:type="paragraph" w:customStyle="1" w:styleId="326">
    <w:name w:val="样式4"/>
    <w:basedOn w:val="7"/>
    <w:qFormat/>
    <w:uiPriority w:val="0"/>
    <w:pPr>
      <w:widowControl/>
      <w:spacing w:line="415" w:lineRule="auto"/>
      <w:jc w:val="left"/>
    </w:pPr>
    <w:rPr>
      <w:rFonts w:ascii="Times New Roman" w:eastAsia="Arial"/>
    </w:rPr>
  </w:style>
  <w:style w:type="paragraph" w:customStyle="1" w:styleId="327">
    <w:name w:val="6'"/>
    <w:basedOn w:val="1"/>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328">
    <w:name w:val="1"/>
    <w:basedOn w:val="1"/>
    <w:next w:val="1"/>
    <w:qFormat/>
    <w:uiPriority w:val="0"/>
    <w:pPr>
      <w:widowControl/>
      <w:spacing w:line="240" w:lineRule="exact"/>
      <w:jc w:val="left"/>
    </w:pPr>
    <w:rPr>
      <w:szCs w:val="24"/>
    </w:rPr>
  </w:style>
  <w:style w:type="paragraph" w:customStyle="1" w:styleId="329">
    <w:name w:val="样式 标题 1 + 黑体 三号 非加粗 居中 段前: 6 磅 段后: 6 磅 行距: 固定值 20 磅"/>
    <w:basedOn w:val="5"/>
    <w:qFormat/>
    <w:uiPriority w:val="0"/>
    <w:pPr>
      <w:widowControl/>
      <w:spacing w:before="120" w:after="120" w:line="400" w:lineRule="exact"/>
      <w:jc w:val="center"/>
    </w:pPr>
    <w:rPr>
      <w:rFonts w:ascii="黑体" w:hAnsi="黑体" w:eastAsia="黑体" w:cs="宋体"/>
      <w:b w:val="0"/>
      <w:bCs w:val="0"/>
      <w:sz w:val="32"/>
      <w:szCs w:val="20"/>
    </w:rPr>
  </w:style>
  <w:style w:type="paragraph" w:customStyle="1" w:styleId="330">
    <w:name w:val="样式2"/>
    <w:basedOn w:val="7"/>
    <w:qFormat/>
    <w:uiPriority w:val="0"/>
    <w:pPr>
      <w:widowControl/>
      <w:spacing w:line="415" w:lineRule="auto"/>
      <w:jc w:val="left"/>
    </w:pPr>
    <w:rPr>
      <w:rFonts w:ascii="Times New Roman"/>
    </w:rPr>
  </w:style>
  <w:style w:type="paragraph" w:customStyle="1" w:styleId="331">
    <w:name w:val="表格"/>
    <w:basedOn w:val="1"/>
    <w:qFormat/>
    <w:uiPriority w:val="0"/>
    <w:pPr>
      <w:widowControl/>
      <w:spacing w:line="240" w:lineRule="exact"/>
      <w:jc w:val="center"/>
      <w:textAlignment w:val="center"/>
    </w:pPr>
    <w:rPr>
      <w:rFonts w:ascii="华文细黑" w:hAnsi="华文细黑"/>
      <w:kern w:val="0"/>
      <w:szCs w:val="20"/>
    </w:rPr>
  </w:style>
  <w:style w:type="paragraph" w:customStyle="1" w:styleId="332">
    <w:name w:val="表格文字"/>
    <w:basedOn w:val="1"/>
    <w:qFormat/>
    <w:uiPriority w:val="0"/>
    <w:pPr>
      <w:widowControl/>
      <w:adjustRightInd w:val="0"/>
      <w:spacing w:line="420" w:lineRule="atLeast"/>
      <w:jc w:val="left"/>
      <w:textAlignment w:val="baseline"/>
    </w:pPr>
    <w:rPr>
      <w:kern w:val="0"/>
      <w:szCs w:val="20"/>
    </w:rPr>
  </w:style>
  <w:style w:type="paragraph" w:styleId="333">
    <w:name w:val="No Spacing"/>
    <w:link w:val="334"/>
    <w:qFormat/>
    <w:uiPriority w:val="1"/>
    <w:pPr>
      <w:spacing w:before="312" w:line="240" w:lineRule="exact"/>
      <w:ind w:left="-100"/>
    </w:pPr>
    <w:rPr>
      <w:rFonts w:ascii="Calibri" w:hAnsi="Calibri" w:eastAsia="宋体" w:cs="Times New Roman"/>
      <w:sz w:val="22"/>
      <w:szCs w:val="22"/>
      <w:lang w:val="en-US" w:eastAsia="zh-CN" w:bidi="ar-SA"/>
    </w:rPr>
  </w:style>
  <w:style w:type="character" w:customStyle="1" w:styleId="334">
    <w:name w:val="无间隔 Char"/>
    <w:link w:val="333"/>
    <w:qFormat/>
    <w:uiPriority w:val="1"/>
    <w:rPr>
      <w:rFonts w:ascii="Calibri" w:hAnsi="Calibri" w:eastAsia="宋体" w:cs="Times New Roman"/>
      <w:sz w:val="22"/>
      <w:szCs w:val="22"/>
    </w:rPr>
  </w:style>
  <w:style w:type="character" w:customStyle="1" w:styleId="335">
    <w:name w:val="con"/>
    <w:qFormat/>
    <w:uiPriority w:val="0"/>
  </w:style>
  <w:style w:type="character" w:customStyle="1" w:styleId="336">
    <w:name w:val="正文缩进 Char"/>
    <w:link w:val="18"/>
    <w:qFormat/>
    <w:locked/>
    <w:uiPriority w:val="0"/>
    <w:rPr>
      <w:rFonts w:ascii="Calibri" w:hAnsi="Calibri" w:eastAsia="宋体" w:cs="Times New Roman"/>
      <w:kern w:val="2"/>
      <w:sz w:val="21"/>
      <w:szCs w:val="22"/>
    </w:rPr>
  </w:style>
  <w:style w:type="character" w:customStyle="1" w:styleId="337">
    <w:name w:val="Char Char35"/>
    <w:qFormat/>
    <w:uiPriority w:val="0"/>
    <w:rPr>
      <w:b/>
      <w:sz w:val="32"/>
    </w:rPr>
  </w:style>
  <w:style w:type="character" w:customStyle="1" w:styleId="338">
    <w:name w:val="Char Char22"/>
    <w:qFormat/>
    <w:uiPriority w:val="0"/>
    <w:rPr>
      <w:bCs/>
      <w:sz w:val="18"/>
    </w:rPr>
  </w:style>
  <w:style w:type="character" w:customStyle="1" w:styleId="339">
    <w:name w:val="Char Char32"/>
    <w:qFormat/>
    <w:uiPriority w:val="0"/>
    <w:rPr>
      <w:rFonts w:ascii="Arial" w:hAnsi="Arial" w:eastAsia="黑体"/>
      <w:b/>
      <w:bCs/>
      <w:sz w:val="24"/>
      <w:szCs w:val="24"/>
    </w:rPr>
  </w:style>
  <w:style w:type="character" w:customStyle="1" w:styleId="340">
    <w:name w:val="明显强调2"/>
    <w:qFormat/>
    <w:uiPriority w:val="0"/>
    <w:rPr>
      <w:b/>
      <w:bCs/>
      <w:i/>
      <w:iCs/>
      <w:color w:val="4F81BD"/>
    </w:rPr>
  </w:style>
  <w:style w:type="character" w:customStyle="1" w:styleId="341">
    <w:name w:val="日期 Char_0"/>
    <w:link w:val="342"/>
    <w:qFormat/>
    <w:uiPriority w:val="0"/>
    <w:rPr>
      <w:sz w:val="24"/>
    </w:rPr>
  </w:style>
  <w:style w:type="paragraph" w:customStyle="1" w:styleId="342">
    <w:name w:val="日期_0"/>
    <w:basedOn w:val="113"/>
    <w:next w:val="113"/>
    <w:link w:val="341"/>
    <w:qFormat/>
    <w:uiPriority w:val="0"/>
    <w:pPr>
      <w:spacing w:before="312" w:line="240" w:lineRule="exact"/>
      <w:ind w:left="-100"/>
    </w:pPr>
    <w:rPr>
      <w:rFonts w:asciiTheme="minorHAnsi" w:hAnsiTheme="minorHAnsi" w:eastAsiaTheme="minorEastAsia" w:cstheme="minorBidi"/>
      <w:kern w:val="0"/>
      <w:sz w:val="24"/>
      <w:szCs w:val="20"/>
    </w:rPr>
  </w:style>
  <w:style w:type="character" w:customStyle="1" w:styleId="343">
    <w:name w:val="Quote Char1"/>
    <w:qFormat/>
    <w:uiPriority w:val="0"/>
    <w:rPr>
      <w:i/>
      <w:iCs/>
      <w:color w:val="000000"/>
    </w:rPr>
  </w:style>
  <w:style w:type="character" w:customStyle="1" w:styleId="344">
    <w:name w:val="Char Char27"/>
    <w:qFormat/>
    <w:uiPriority w:val="0"/>
    <w:rPr>
      <w:rFonts w:ascii="宋体" w:hAnsi="MS Sans Serif"/>
      <w:color w:val="000000"/>
      <w:sz w:val="24"/>
    </w:rPr>
  </w:style>
  <w:style w:type="character" w:customStyle="1" w:styleId="345">
    <w:name w:val="Balloon Text Char"/>
    <w:semiHidden/>
    <w:qFormat/>
    <w:locked/>
    <w:uiPriority w:val="0"/>
    <w:rPr>
      <w:rFonts w:eastAsia="宋体"/>
      <w:sz w:val="18"/>
    </w:rPr>
  </w:style>
  <w:style w:type="character" w:customStyle="1" w:styleId="346">
    <w:name w:val="书籍标题2"/>
    <w:qFormat/>
    <w:uiPriority w:val="0"/>
    <w:rPr>
      <w:b/>
      <w:bCs/>
      <w:smallCaps/>
      <w:spacing w:val="5"/>
    </w:rPr>
  </w:style>
  <w:style w:type="character" w:customStyle="1" w:styleId="347">
    <w:name w:val="Char Char9"/>
    <w:qFormat/>
    <w:locked/>
    <w:uiPriority w:val="0"/>
    <w:rPr>
      <w:rFonts w:ascii="宋体" w:hAnsi="宋体" w:eastAsia="宋体"/>
      <w:kern w:val="2"/>
      <w:sz w:val="24"/>
      <w:lang w:val="en-US" w:eastAsia="zh-CN" w:bidi="ar-SA"/>
    </w:rPr>
  </w:style>
  <w:style w:type="character" w:customStyle="1" w:styleId="348">
    <w:name w:val="Char Char29"/>
    <w:qFormat/>
    <w:uiPriority w:val="0"/>
    <w:rPr>
      <w:rFonts w:ascii="Arial" w:hAnsi="Arial" w:eastAsia="黑体"/>
      <w:sz w:val="21"/>
      <w:szCs w:val="21"/>
    </w:rPr>
  </w:style>
  <w:style w:type="character" w:customStyle="1" w:styleId="349">
    <w:name w:val="不明显参考2"/>
    <w:qFormat/>
    <w:uiPriority w:val="0"/>
    <w:rPr>
      <w:smallCaps/>
      <w:color w:val="C0504D"/>
      <w:u w:val="single"/>
    </w:rPr>
  </w:style>
  <w:style w:type="character" w:customStyle="1" w:styleId="350">
    <w:name w:val="Intense Quote Char1"/>
    <w:qFormat/>
    <w:uiPriority w:val="0"/>
    <w:rPr>
      <w:b/>
      <w:bCs/>
      <w:i/>
      <w:iCs/>
      <w:color w:val="4F81BD"/>
    </w:rPr>
  </w:style>
  <w:style w:type="character" w:customStyle="1" w:styleId="351">
    <w:name w:val="release-day"/>
    <w:qFormat/>
    <w:uiPriority w:val="0"/>
    <w:rPr>
      <w:bdr w:val="single" w:color="BDEBB0" w:sz="6" w:space="0"/>
      <w:shd w:val="clear" w:color="auto" w:fill="F5FFF1"/>
    </w:rPr>
  </w:style>
  <w:style w:type="character" w:customStyle="1" w:styleId="352">
    <w:name w:val="Char Char33"/>
    <w:qFormat/>
    <w:uiPriority w:val="0"/>
    <w:rPr>
      <w:rFonts w:ascii="宋体" w:hAnsi="宋体" w:eastAsia="宋体"/>
      <w:b/>
      <w:sz w:val="24"/>
      <w:lang w:val="en-US" w:eastAsia="zh-CN" w:bidi="ar-SA"/>
    </w:rPr>
  </w:style>
  <w:style w:type="character" w:customStyle="1" w:styleId="353">
    <w:name w:val="Char Char24"/>
    <w:link w:val="354"/>
    <w:qFormat/>
    <w:uiPriority w:val="0"/>
    <w:rPr>
      <w:rFonts w:ascii="Arial" w:hAnsi="Arial" w:eastAsia="黑体"/>
      <w:b/>
      <w:bCs/>
      <w:sz w:val="32"/>
      <w:szCs w:val="32"/>
    </w:rPr>
  </w:style>
  <w:style w:type="paragraph" w:customStyle="1" w:styleId="354">
    <w:name w:val="标题 2_1"/>
    <w:basedOn w:val="183"/>
    <w:next w:val="183"/>
    <w:link w:val="353"/>
    <w:qFormat/>
    <w:uiPriority w:val="0"/>
    <w:pPr>
      <w:keepNext/>
      <w:keepLines/>
      <w:spacing w:before="260" w:after="260" w:line="412" w:lineRule="auto"/>
      <w:ind w:left="-100"/>
      <w:outlineLvl w:val="1"/>
    </w:pPr>
    <w:rPr>
      <w:rFonts w:ascii="Arial" w:hAnsi="Arial" w:eastAsia="黑体" w:cstheme="minorBidi"/>
      <w:b/>
      <w:bCs/>
      <w:kern w:val="0"/>
      <w:sz w:val="32"/>
      <w:szCs w:val="32"/>
    </w:rPr>
  </w:style>
  <w:style w:type="character" w:customStyle="1" w:styleId="355">
    <w:name w:val="标题 2 Char_1"/>
    <w:qFormat/>
    <w:uiPriority w:val="0"/>
    <w:rPr>
      <w:rFonts w:ascii="Arial" w:hAnsi="Arial" w:eastAsia="黑体"/>
      <w:b/>
      <w:bCs/>
      <w:kern w:val="2"/>
      <w:sz w:val="32"/>
      <w:szCs w:val="32"/>
    </w:rPr>
  </w:style>
  <w:style w:type="character" w:customStyle="1" w:styleId="356">
    <w:name w:val="副标题 Char2"/>
    <w:qFormat/>
    <w:uiPriority w:val="0"/>
    <w:rPr>
      <w:rFonts w:ascii="Cambria" w:hAnsi="Cambria" w:cs="Times New Roman"/>
      <w:b/>
      <w:bCs/>
      <w:kern w:val="28"/>
      <w:sz w:val="32"/>
      <w:szCs w:val="32"/>
    </w:rPr>
  </w:style>
  <w:style w:type="character" w:customStyle="1" w:styleId="357">
    <w:name w:val="Char Char23"/>
    <w:qFormat/>
    <w:uiPriority w:val="0"/>
    <w:rPr>
      <w:b/>
      <w:sz w:val="32"/>
    </w:rPr>
  </w:style>
  <w:style w:type="character" w:customStyle="1" w:styleId="358">
    <w:name w:val="要点_0"/>
    <w:qFormat/>
    <w:uiPriority w:val="0"/>
    <w:rPr>
      <w:rFonts w:ascii="Calibri" w:hAnsi="Calibri"/>
      <w:b/>
      <w:bCs/>
      <w:lang w:val="en-US" w:eastAsia="zh-CN" w:bidi="ar-SA"/>
    </w:rPr>
  </w:style>
  <w:style w:type="character" w:customStyle="1" w:styleId="359">
    <w:name w:val="标题 Char2"/>
    <w:qFormat/>
    <w:uiPriority w:val="0"/>
    <w:rPr>
      <w:rFonts w:ascii="Cambria" w:hAnsi="Cambria" w:cs="Times New Roman"/>
      <w:b/>
      <w:bCs/>
      <w:kern w:val="2"/>
      <w:sz w:val="32"/>
      <w:szCs w:val="32"/>
    </w:rPr>
  </w:style>
  <w:style w:type="character" w:customStyle="1" w:styleId="360">
    <w:name w:val="Char Char30"/>
    <w:qFormat/>
    <w:uiPriority w:val="0"/>
    <w:rPr>
      <w:rFonts w:ascii="Arial" w:hAnsi="Arial" w:eastAsia="黑体"/>
      <w:sz w:val="24"/>
      <w:szCs w:val="24"/>
    </w:rPr>
  </w:style>
  <w:style w:type="character" w:customStyle="1" w:styleId="361">
    <w:name w:val="num"/>
    <w:qFormat/>
    <w:uiPriority w:val="0"/>
    <w:rPr>
      <w:b/>
      <w:color w:val="FF7800"/>
    </w:rPr>
  </w:style>
  <w:style w:type="character" w:customStyle="1" w:styleId="362">
    <w:name w:val="Char Char28"/>
    <w:qFormat/>
    <w:uiPriority w:val="0"/>
    <w:rPr>
      <w:szCs w:val="24"/>
      <w:shd w:val="clear" w:color="auto" w:fill="000080"/>
      <w:lang w:bidi="ar-SA"/>
    </w:rPr>
  </w:style>
  <w:style w:type="character" w:customStyle="1" w:styleId="363">
    <w:name w:val="明显参考2"/>
    <w:qFormat/>
    <w:uiPriority w:val="0"/>
    <w:rPr>
      <w:b/>
      <w:bCs/>
      <w:smallCaps/>
      <w:color w:val="C0504D"/>
      <w:spacing w:val="5"/>
      <w:u w:val="single"/>
    </w:rPr>
  </w:style>
  <w:style w:type="character" w:customStyle="1" w:styleId="364">
    <w:name w:val="Char Char31"/>
    <w:qFormat/>
    <w:uiPriority w:val="0"/>
    <w:rPr>
      <w:b/>
      <w:bCs/>
      <w:sz w:val="24"/>
      <w:szCs w:val="24"/>
    </w:rPr>
  </w:style>
  <w:style w:type="character" w:customStyle="1" w:styleId="365">
    <w:name w:val="Char Char34"/>
    <w:qFormat/>
    <w:uiPriority w:val="0"/>
    <w:rPr>
      <w:rFonts w:ascii="Arial" w:hAnsi="Arial" w:eastAsia="黑体"/>
      <w:sz w:val="28"/>
      <w:lang w:val="en-US" w:eastAsia="zh-CN" w:bidi="ar-SA"/>
    </w:rPr>
  </w:style>
  <w:style w:type="character" w:customStyle="1" w:styleId="366">
    <w:name w:val="legend"/>
    <w:qFormat/>
    <w:uiPriority w:val="0"/>
    <w:rPr>
      <w:rFonts w:hint="default" w:ascii="Arial" w:hAnsi="Arial" w:cs="Arial"/>
      <w:b/>
      <w:color w:val="73B304"/>
      <w:sz w:val="21"/>
      <w:szCs w:val="21"/>
      <w:shd w:val="clear" w:color="auto" w:fill="FFFFFF"/>
    </w:rPr>
  </w:style>
  <w:style w:type="character" w:customStyle="1" w:styleId="367">
    <w:name w:val="Title Char1"/>
    <w:qFormat/>
    <w:uiPriority w:val="0"/>
    <w:rPr>
      <w:rFonts w:ascii="Cambria" w:hAnsi="Cambria" w:cs="Times New Roman"/>
      <w:b/>
      <w:bCs/>
      <w:sz w:val="32"/>
      <w:szCs w:val="32"/>
    </w:rPr>
  </w:style>
  <w:style w:type="character" w:customStyle="1" w:styleId="368">
    <w:name w:val="不明显强调2"/>
    <w:qFormat/>
    <w:uiPriority w:val="0"/>
    <w:rPr>
      <w:i/>
      <w:iCs/>
      <w:color w:val="808080"/>
    </w:rPr>
  </w:style>
  <w:style w:type="character" w:customStyle="1" w:styleId="369">
    <w:name w:val="Char Char25"/>
    <w:qFormat/>
    <w:uiPriority w:val="0"/>
    <w:rPr>
      <w:rFonts w:ascii="黑体" w:eastAsia="黑体"/>
      <w:sz w:val="52"/>
    </w:rPr>
  </w:style>
  <w:style w:type="character" w:customStyle="1" w:styleId="370">
    <w:name w:val="Subtitle Char1"/>
    <w:qFormat/>
    <w:uiPriority w:val="0"/>
    <w:rPr>
      <w:rFonts w:ascii="Cambria" w:hAnsi="Cambria" w:cs="Times New Roman"/>
      <w:b/>
      <w:bCs/>
      <w:kern w:val="28"/>
      <w:sz w:val="32"/>
      <w:szCs w:val="32"/>
    </w:rPr>
  </w:style>
  <w:style w:type="character" w:customStyle="1" w:styleId="371">
    <w:name w:val="Blockquote Char Char"/>
    <w:qFormat/>
    <w:uiPriority w:val="0"/>
    <w:rPr>
      <w:sz w:val="24"/>
    </w:rPr>
  </w:style>
  <w:style w:type="character" w:customStyle="1" w:styleId="372">
    <w:name w:val="Char Char37"/>
    <w:qFormat/>
    <w:uiPriority w:val="0"/>
    <w:rPr>
      <w:rFonts w:ascii="黑体" w:eastAsia="黑体"/>
      <w:sz w:val="52"/>
    </w:rPr>
  </w:style>
  <w:style w:type="character" w:customStyle="1" w:styleId="373">
    <w:name w:val="Char Char26"/>
    <w:qFormat/>
    <w:uiPriority w:val="0"/>
    <w:rPr>
      <w:rFonts w:ascii="宋体"/>
      <w:b/>
      <w:bCs/>
      <w:sz w:val="28"/>
      <w:lang w:bidi="ar-SA"/>
    </w:rPr>
  </w:style>
  <w:style w:type="character" w:customStyle="1" w:styleId="374">
    <w:name w:val="Char Char36"/>
    <w:qFormat/>
    <w:uiPriority w:val="0"/>
    <w:rPr>
      <w:rFonts w:ascii="Arial" w:hAnsi="Arial" w:eastAsia="黑体"/>
      <w:b/>
      <w:sz w:val="36"/>
      <w:lang w:val="en-US" w:eastAsia="zh-CN" w:bidi="ar-SA"/>
    </w:rPr>
  </w:style>
  <w:style w:type="paragraph" w:customStyle="1" w:styleId="375">
    <w:name w:val="_Style 96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76">
    <w:name w:val="_Style 72"/>
    <w:next w:val="1"/>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377">
    <w:name w:val="msonormalcxspmiddle"/>
    <w:basedOn w:val="1"/>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378">
    <w:name w:val="pbj1"/>
    <w:basedOn w:val="1"/>
    <w:qFormat/>
    <w:uiPriority w:val="0"/>
    <w:pPr>
      <w:widowControl/>
      <w:spacing w:line="240" w:lineRule="exact"/>
      <w:jc w:val="left"/>
    </w:pPr>
    <w:rPr>
      <w:rFonts w:ascii="宋体" w:hAnsi="宋体" w:cs="宋体"/>
      <w:kern w:val="0"/>
      <w:sz w:val="24"/>
      <w:szCs w:val="20"/>
    </w:rPr>
  </w:style>
  <w:style w:type="paragraph" w:customStyle="1" w:styleId="379">
    <w:name w:val="_Style 951"/>
    <w:next w:val="1"/>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0">
    <w:name w:val="正文缩进_1"/>
    <w:basedOn w:val="183"/>
    <w:qFormat/>
    <w:uiPriority w:val="0"/>
    <w:pPr>
      <w:spacing w:before="312" w:line="240" w:lineRule="exact"/>
      <w:ind w:left="-100" w:firstLine="420" w:firstLineChars="200"/>
    </w:pPr>
    <w:rPr>
      <w:rFonts w:ascii="Calibri" w:hAnsi="Calibri"/>
      <w:bCs/>
      <w:kern w:val="0"/>
      <w:sz w:val="20"/>
      <w:szCs w:val="32"/>
    </w:rPr>
  </w:style>
  <w:style w:type="paragraph" w:customStyle="1" w:styleId="381">
    <w:name w:val="普通 (Web)_0"/>
    <w:basedOn w:val="113"/>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382">
    <w:name w:val="表格1"/>
    <w:basedOn w:val="30"/>
    <w:qFormat/>
    <w:uiPriority w:val="0"/>
    <w:pPr>
      <w:widowControl/>
      <w:spacing w:after="0"/>
      <w:jc w:val="left"/>
    </w:pPr>
    <w:rPr>
      <w:kern w:val="0"/>
      <w:sz w:val="24"/>
      <w:szCs w:val="20"/>
    </w:rPr>
  </w:style>
  <w:style w:type="paragraph" w:customStyle="1" w:styleId="383">
    <w:name w:val="_Style 96"/>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4">
    <w:name w:val="_Style 95"/>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character" w:customStyle="1" w:styleId="385">
    <w:name w:val="普通(网站) Char"/>
    <w:link w:val="61"/>
    <w:qFormat/>
    <w:uiPriority w:val="0"/>
    <w:rPr>
      <w:rFonts w:ascii="宋体" w:hAnsi="宋体" w:eastAsia="宋体" w:cs="Times New Roman"/>
      <w:sz w:val="24"/>
      <w:szCs w:val="24"/>
    </w:rPr>
  </w:style>
  <w:style w:type="character" w:customStyle="1" w:styleId="386">
    <w:name w:val="正文首行缩进 2 Char"/>
    <w:basedOn w:val="105"/>
    <w:link w:val="2"/>
    <w:qFormat/>
    <w:uiPriority w:val="0"/>
    <w:rPr>
      <w:rFonts w:ascii="Times New Roman" w:hAnsi="Times New Roman" w:eastAsia="楷体_GB2312"/>
      <w:kern w:val="2"/>
      <w:sz w:val="21"/>
      <w:szCs w:val="22"/>
    </w:rPr>
  </w:style>
  <w:style w:type="character" w:customStyle="1" w:styleId="387">
    <w:name w:val="正文首行缩进 2 Char1"/>
    <w:basedOn w:val="105"/>
    <w:semiHidden/>
    <w:qFormat/>
    <w:uiPriority w:val="99"/>
    <w:rPr>
      <w:rFonts w:ascii="Times New Roman" w:hAnsi="Times New Roman" w:eastAsia="宋体" w:cs="Times New Roman"/>
      <w:kern w:val="2"/>
      <w:sz w:val="21"/>
      <w:szCs w:val="22"/>
    </w:rPr>
  </w:style>
  <w:style w:type="paragraph" w:customStyle="1" w:styleId="388">
    <w:name w:val="_Style 38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89">
    <w:name w:val="HTML 预设格式 Char"/>
    <w:link w:val="60"/>
    <w:qFormat/>
    <w:uiPriority w:val="0"/>
    <w:rPr>
      <w:rFonts w:ascii="Arial" w:hAnsi="Arial"/>
      <w:sz w:val="24"/>
      <w:szCs w:val="24"/>
    </w:rPr>
  </w:style>
  <w:style w:type="character" w:customStyle="1" w:styleId="390">
    <w:name w:val="HTML 预设格式 Char1"/>
    <w:basedOn w:val="68"/>
    <w:semiHidden/>
    <w:qFormat/>
    <w:uiPriority w:val="99"/>
    <w:rPr>
      <w:rFonts w:ascii="Courier New" w:hAnsi="Courier New" w:cs="Courier New"/>
      <w:kern w:val="2"/>
    </w:rPr>
  </w:style>
  <w:style w:type="character" w:customStyle="1" w:styleId="391">
    <w:name w:val="HTML 预设格式 Char2"/>
    <w:basedOn w:val="68"/>
    <w:semiHidden/>
    <w:qFormat/>
    <w:uiPriority w:val="99"/>
    <w:rPr>
      <w:rFonts w:ascii="Courier New" w:hAnsi="Courier New" w:eastAsia="宋体" w:cs="Courier New"/>
      <w:kern w:val="2"/>
    </w:rPr>
  </w:style>
  <w:style w:type="paragraph" w:customStyle="1" w:styleId="392">
    <w:name w:val="表格内容"/>
    <w:basedOn w:val="1"/>
    <w:qFormat/>
    <w:uiPriority w:val="0"/>
    <w:pPr>
      <w:widowControl/>
      <w:suppressLineNumbers/>
      <w:jc w:val="left"/>
    </w:pPr>
    <w:rPr>
      <w:rFonts w:cs="Mangal"/>
      <w:kern w:val="0"/>
      <w:sz w:val="24"/>
      <w:szCs w:val="24"/>
      <w:lang w:bidi="hi-IN"/>
    </w:rPr>
  </w:style>
  <w:style w:type="paragraph" w:customStyle="1" w:styleId="393">
    <w:name w:val="Char Char Char Char3"/>
    <w:basedOn w:val="1"/>
    <w:qFormat/>
    <w:uiPriority w:val="0"/>
    <w:pPr>
      <w:widowControl/>
      <w:spacing w:after="160" w:line="240" w:lineRule="exact"/>
      <w:jc w:val="left"/>
    </w:pPr>
    <w:rPr>
      <w:kern w:val="0"/>
      <w:sz w:val="24"/>
      <w:szCs w:val="24"/>
    </w:rPr>
  </w:style>
  <w:style w:type="paragraph" w:customStyle="1" w:styleId="394">
    <w:name w:val="_Style 3"/>
    <w:basedOn w:val="1"/>
    <w:qFormat/>
    <w:uiPriority w:val="0"/>
    <w:pPr>
      <w:ind w:firstLine="420" w:firstLineChars="200"/>
    </w:pPr>
    <w:rPr>
      <w:rFonts w:ascii="Calibri" w:hAnsi="Calibri"/>
    </w:rPr>
  </w:style>
  <w:style w:type="paragraph" w:customStyle="1" w:styleId="395">
    <w:name w:val="WPS Plain"/>
    <w:qFormat/>
    <w:uiPriority w:val="0"/>
    <w:rPr>
      <w:rFonts w:ascii="Times New Roman" w:hAnsi="Times New Roman" w:eastAsia="宋体" w:cs="Times New Roman"/>
      <w:lang w:val="en-US" w:eastAsia="zh-CN" w:bidi="ar-SA"/>
    </w:rPr>
  </w:style>
  <w:style w:type="paragraph" w:customStyle="1" w:styleId="396">
    <w:name w:val="正文首行缩进 21"/>
    <w:basedOn w:val="397"/>
    <w:qFormat/>
    <w:uiPriority w:val="0"/>
    <w:pPr>
      <w:ind w:firstLine="420"/>
    </w:pPr>
    <w:rPr>
      <w:szCs w:val="22"/>
    </w:rPr>
  </w:style>
  <w:style w:type="paragraph" w:customStyle="1" w:styleId="397">
    <w:name w:val="正文文本缩进1"/>
    <w:basedOn w:val="1"/>
    <w:qFormat/>
    <w:uiPriority w:val="0"/>
    <w:pPr>
      <w:spacing w:line="500" w:lineRule="exact"/>
      <w:ind w:firstLine="88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9B8D0C-7B92-44C6-B04B-19446A67F7D0}">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48</Pages>
  <Words>4824</Words>
  <Characters>27500</Characters>
  <Lines>229</Lines>
  <Paragraphs>64</Paragraphs>
  <TotalTime>0</TotalTime>
  <ScaleCrop>false</ScaleCrop>
  <LinksUpToDate>false</LinksUpToDate>
  <CharactersWithSpaces>32260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2020-01-09T00:38:00Z</dcterms:created>
  <dc:creator>姚晓雨</dc:creator>
  <cp:lastModifiedBy>小毛</cp:lastModifiedBy>
  <cp:lastPrinted>2020-12-07T07:26:00Z</cp:lastPrinted>
  <dcterms:modified xsi:type="dcterms:W3CDTF">2021-12-28T00:42:19Z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154A48015E3345C197231EDECA3A7B7C</vt:lpwstr>
  </property>
</Properties>
</file>