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auto"/>
          <w:highlight w:val="none"/>
        </w:rPr>
      </w:pPr>
    </w:p>
    <w:p>
      <w:pPr>
        <w:tabs>
          <w:tab w:val="left" w:pos="420"/>
        </w:tabs>
        <w:spacing w:line="1700" w:lineRule="exact"/>
        <w:jc w:val="center"/>
        <w:rPr>
          <w:rFonts w:ascii="微软简标宋"/>
          <w:b/>
          <w:bCs/>
          <w:color w:val="auto"/>
          <w:sz w:val="52"/>
          <w:highlight w:val="none"/>
        </w:rPr>
      </w:pPr>
      <w:r>
        <w:rPr>
          <w:rFonts w:hint="eastAsia" w:ascii="微软简标宋"/>
          <w:b/>
          <w:bCs/>
          <w:color w:val="auto"/>
          <w:sz w:val="52"/>
          <w:highlight w:val="none"/>
        </w:rPr>
        <w:t>服务类标准招标文件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color w:val="auto"/>
          <w:highlight w:val="none"/>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ind w:left="3083" w:leftChars="608" w:hanging="1806" w:hangingChars="500"/>
        <w:rPr>
          <w:rFonts w:hint="eastAsia" w:ascii="宋体" w:hAnsi="DotumChe" w:eastAsia="宋体" w:cs="宋体"/>
          <w:b/>
          <w:color w:val="auto"/>
          <w:spacing w:val="20"/>
          <w:kern w:val="0"/>
          <w:sz w:val="32"/>
          <w:szCs w:val="32"/>
          <w:highlight w:val="none"/>
          <w:lang w:eastAsia="zh-CN"/>
        </w:rPr>
      </w:pPr>
      <w:r>
        <w:rPr>
          <w:rFonts w:hint="eastAsia" w:ascii="宋体" w:hAnsi="DotumChe" w:cs="宋体"/>
          <w:b/>
          <w:color w:val="auto"/>
          <w:spacing w:val="20"/>
          <w:kern w:val="0"/>
          <w:sz w:val="32"/>
          <w:szCs w:val="32"/>
          <w:highlight w:val="none"/>
        </w:rPr>
        <w:t>项目名称：</w:t>
      </w:r>
      <w:r>
        <w:rPr>
          <w:rFonts w:hint="eastAsia" w:ascii="宋体" w:hAnsi="DotumChe" w:cs="宋体"/>
          <w:color w:val="auto"/>
          <w:spacing w:val="20"/>
          <w:kern w:val="0"/>
          <w:sz w:val="32"/>
          <w:szCs w:val="32"/>
          <w:highlight w:val="none"/>
        </w:rPr>
        <w:t>合肥政文国际会展管理有限公司两馆电梯维保</w:t>
      </w:r>
      <w:r>
        <w:rPr>
          <w:rFonts w:hint="eastAsia" w:ascii="宋体" w:hAnsi="DotumChe" w:cs="宋体"/>
          <w:color w:val="auto"/>
          <w:spacing w:val="20"/>
          <w:kern w:val="0"/>
          <w:sz w:val="32"/>
          <w:szCs w:val="32"/>
          <w:highlight w:val="none"/>
          <w:lang w:eastAsia="zh-CN"/>
        </w:rPr>
        <w:t>（</w:t>
      </w:r>
      <w:r>
        <w:rPr>
          <w:rFonts w:hint="eastAsia" w:ascii="宋体" w:hAnsi="DotumChe" w:cs="宋体"/>
          <w:color w:val="auto"/>
          <w:spacing w:val="20"/>
          <w:kern w:val="0"/>
          <w:sz w:val="32"/>
          <w:szCs w:val="32"/>
          <w:highlight w:val="none"/>
          <w:lang w:val="en-US" w:eastAsia="zh-CN"/>
        </w:rPr>
        <w:t>二次</w:t>
      </w:r>
      <w:r>
        <w:rPr>
          <w:rFonts w:hint="eastAsia" w:ascii="宋体" w:hAnsi="DotumChe" w:cs="宋体"/>
          <w:color w:val="auto"/>
          <w:spacing w:val="20"/>
          <w:kern w:val="0"/>
          <w:sz w:val="32"/>
          <w:szCs w:val="32"/>
          <w:highlight w:val="none"/>
          <w:lang w:eastAsia="zh-CN"/>
        </w:rPr>
        <w:t>）</w:t>
      </w:r>
    </w:p>
    <w:p>
      <w:pPr>
        <w:tabs>
          <w:tab w:val="left" w:pos="2410"/>
        </w:tabs>
        <w:autoSpaceDE w:val="0"/>
        <w:autoSpaceDN w:val="0"/>
        <w:adjustRightInd w:val="0"/>
        <w:snapToGrid w:val="0"/>
        <w:spacing w:line="360" w:lineRule="auto"/>
        <w:ind w:firstLine="1257" w:firstLineChars="348"/>
        <w:rPr>
          <w:rFonts w:hint="eastAsia" w:ascii="宋体" w:hAnsi="DotumChe" w:cs="宋体"/>
          <w:color w:val="auto"/>
          <w:spacing w:val="20"/>
          <w:kern w:val="0"/>
          <w:sz w:val="32"/>
          <w:szCs w:val="32"/>
          <w:highlight w:val="none"/>
        </w:rPr>
      </w:pPr>
      <w:r>
        <w:rPr>
          <w:rFonts w:hint="eastAsia" w:ascii="宋体" w:hAnsi="DotumChe" w:cs="宋体"/>
          <w:b/>
          <w:color w:val="auto"/>
          <w:spacing w:val="20"/>
          <w:kern w:val="0"/>
          <w:sz w:val="32"/>
          <w:szCs w:val="32"/>
          <w:highlight w:val="none"/>
        </w:rPr>
        <w:t>编    号：</w:t>
      </w:r>
      <w:r>
        <w:rPr>
          <w:rFonts w:hint="eastAsia" w:ascii="宋体" w:hAnsi="DotumChe" w:cs="宋体"/>
          <w:color w:val="auto"/>
          <w:spacing w:val="20"/>
          <w:kern w:val="0"/>
          <w:sz w:val="32"/>
          <w:szCs w:val="32"/>
          <w:highlight w:val="none"/>
        </w:rPr>
        <w:t>2021WLBLZB00</w:t>
      </w:r>
      <w:r>
        <w:rPr>
          <w:rFonts w:hint="eastAsia" w:ascii="宋体" w:hAnsi="DotumChe" w:cs="宋体"/>
          <w:color w:val="auto"/>
          <w:spacing w:val="20"/>
          <w:kern w:val="0"/>
          <w:sz w:val="32"/>
          <w:szCs w:val="32"/>
          <w:highlight w:val="none"/>
          <w:lang w:val="en-US" w:eastAsia="zh-CN"/>
        </w:rPr>
        <w:t>99</w:t>
      </w:r>
      <w:r>
        <w:rPr>
          <w:rFonts w:hint="eastAsia" w:ascii="宋体" w:hAnsi="DotumChe" w:cs="宋体"/>
          <w:color w:val="auto"/>
          <w:spacing w:val="20"/>
          <w:kern w:val="0"/>
          <w:sz w:val="32"/>
          <w:szCs w:val="32"/>
          <w:highlight w:val="none"/>
        </w:rPr>
        <w:t>号</w:t>
      </w:r>
    </w:p>
    <w:p>
      <w:pPr>
        <w:tabs>
          <w:tab w:val="left" w:pos="2410"/>
        </w:tabs>
        <w:autoSpaceDE w:val="0"/>
        <w:autoSpaceDN w:val="0"/>
        <w:adjustRightInd w:val="0"/>
        <w:snapToGrid w:val="0"/>
        <w:spacing w:line="360" w:lineRule="auto"/>
        <w:ind w:firstLine="1257" w:firstLineChars="348"/>
        <w:rPr>
          <w:rFonts w:ascii="宋体" w:hAnsi="DotumChe" w:cs="宋体"/>
          <w:color w:val="auto"/>
          <w:spacing w:val="20"/>
          <w:kern w:val="0"/>
          <w:sz w:val="32"/>
          <w:szCs w:val="32"/>
          <w:highlight w:val="none"/>
        </w:rPr>
      </w:pPr>
      <w:r>
        <w:rPr>
          <w:rFonts w:hint="eastAsia" w:ascii="宋体" w:hAnsi="DotumChe" w:cs="宋体"/>
          <w:b/>
          <w:color w:val="auto"/>
          <w:spacing w:val="20"/>
          <w:kern w:val="0"/>
          <w:sz w:val="32"/>
          <w:szCs w:val="32"/>
          <w:highlight w:val="none"/>
        </w:rPr>
        <w:t>招 标 人：</w:t>
      </w:r>
      <w:r>
        <w:rPr>
          <w:rFonts w:hint="eastAsia" w:ascii="宋体" w:hAnsi="DotumChe" w:cs="宋体"/>
          <w:color w:val="auto"/>
          <w:spacing w:val="20"/>
          <w:kern w:val="0"/>
          <w:sz w:val="32"/>
          <w:szCs w:val="32"/>
          <w:highlight w:val="none"/>
        </w:rPr>
        <w:t>合肥文旅博览集团有限公司</w:t>
      </w:r>
    </w:p>
    <w:p>
      <w:pPr>
        <w:tabs>
          <w:tab w:val="left" w:pos="2410"/>
        </w:tabs>
        <w:autoSpaceDE w:val="0"/>
        <w:autoSpaceDN w:val="0"/>
        <w:adjustRightInd w:val="0"/>
        <w:snapToGrid w:val="0"/>
        <w:spacing w:line="360" w:lineRule="auto"/>
        <w:ind w:firstLine="1257" w:firstLineChars="348"/>
        <w:rPr>
          <w:rFonts w:ascii="宋体" w:hAnsi="DotumChe" w:cs="宋体"/>
          <w:color w:val="auto"/>
          <w:spacing w:val="20"/>
          <w:kern w:val="0"/>
          <w:sz w:val="32"/>
          <w:szCs w:val="32"/>
          <w:highlight w:val="none"/>
        </w:rPr>
      </w:pPr>
      <w:r>
        <w:rPr>
          <w:rFonts w:hint="eastAsia" w:ascii="宋体" w:hAnsi="DotumChe" w:cs="宋体"/>
          <w:b/>
          <w:color w:val="auto"/>
          <w:spacing w:val="20"/>
          <w:kern w:val="0"/>
          <w:sz w:val="32"/>
          <w:szCs w:val="32"/>
          <w:highlight w:val="none"/>
        </w:rPr>
        <w:t>招标时间：</w:t>
      </w:r>
      <w:r>
        <w:rPr>
          <w:rFonts w:hint="eastAsia" w:ascii="宋体" w:hAnsi="DotumChe" w:cs="宋体"/>
          <w:color w:val="auto"/>
          <w:spacing w:val="20"/>
          <w:kern w:val="0"/>
          <w:sz w:val="32"/>
          <w:szCs w:val="32"/>
          <w:highlight w:val="none"/>
        </w:rPr>
        <w:t>202</w:t>
      </w:r>
      <w:r>
        <w:rPr>
          <w:rFonts w:hint="eastAsia" w:ascii="宋体" w:hAnsi="DotumChe" w:cs="宋体"/>
          <w:color w:val="auto"/>
          <w:spacing w:val="20"/>
          <w:kern w:val="0"/>
          <w:sz w:val="32"/>
          <w:szCs w:val="32"/>
          <w:highlight w:val="none"/>
          <w:lang w:val="en-US" w:eastAsia="zh-CN"/>
        </w:rPr>
        <w:t>2</w:t>
      </w:r>
      <w:r>
        <w:rPr>
          <w:rFonts w:hint="eastAsia" w:ascii="宋体" w:hAnsi="DotumChe" w:cs="宋体"/>
          <w:color w:val="auto"/>
          <w:spacing w:val="20"/>
          <w:kern w:val="0"/>
          <w:sz w:val="32"/>
          <w:szCs w:val="32"/>
          <w:highlight w:val="none"/>
        </w:rPr>
        <w:t>年</w:t>
      </w:r>
      <w:r>
        <w:rPr>
          <w:rFonts w:hint="eastAsia" w:ascii="宋体" w:hAnsi="DotumChe" w:cs="宋体"/>
          <w:color w:val="auto"/>
          <w:spacing w:val="20"/>
          <w:kern w:val="0"/>
          <w:sz w:val="32"/>
          <w:szCs w:val="32"/>
          <w:highlight w:val="none"/>
          <w:lang w:val="en-US" w:eastAsia="zh-CN"/>
        </w:rPr>
        <w:t>1</w:t>
      </w:r>
      <w:r>
        <w:rPr>
          <w:rFonts w:hint="eastAsia" w:ascii="宋体" w:hAnsi="DotumChe" w:cs="宋体"/>
          <w:color w:val="auto"/>
          <w:spacing w:val="20"/>
          <w:kern w:val="0"/>
          <w:sz w:val="32"/>
          <w:szCs w:val="32"/>
          <w:highlight w:val="none"/>
        </w:rPr>
        <w:t>月</w:t>
      </w:r>
    </w:p>
    <w:p>
      <w:pPr>
        <w:spacing w:line="500" w:lineRule="exact"/>
        <w:rPr>
          <w:rFonts w:ascii="黑体" w:hAnsi="宋体" w:eastAsia="黑体"/>
          <w:b/>
          <w:color w:val="auto"/>
          <w:sz w:val="32"/>
          <w:highlight w:val="none"/>
        </w:rPr>
      </w:pPr>
    </w:p>
    <w:p>
      <w:pPr>
        <w:spacing w:line="500" w:lineRule="exact"/>
        <w:rPr>
          <w:rFonts w:ascii="黑体" w:hAnsi="宋体" w:eastAsia="黑体"/>
          <w:b/>
          <w:color w:val="auto"/>
          <w:sz w:val="32"/>
          <w:highlight w:val="none"/>
        </w:rPr>
      </w:pPr>
    </w:p>
    <w:p>
      <w:pPr>
        <w:spacing w:line="500" w:lineRule="exact"/>
        <w:rPr>
          <w:rFonts w:ascii="黑体" w:hAnsi="宋体" w:eastAsia="黑体"/>
          <w:b/>
          <w:color w:val="auto"/>
          <w:sz w:val="32"/>
          <w:highlight w:val="none"/>
        </w:rPr>
      </w:pPr>
    </w:p>
    <w:p>
      <w:pPr>
        <w:spacing w:line="500" w:lineRule="exact"/>
        <w:jc w:val="center"/>
        <w:rPr>
          <w:rFonts w:ascii="黑体" w:hAnsi="宋体" w:eastAsia="黑体"/>
          <w:b/>
          <w:color w:val="auto"/>
          <w:sz w:val="32"/>
          <w:highlight w:val="none"/>
        </w:rPr>
      </w:pPr>
    </w:p>
    <w:p>
      <w:pPr>
        <w:spacing w:line="500" w:lineRule="exact"/>
        <w:jc w:val="center"/>
        <w:rPr>
          <w:rFonts w:ascii="黑体" w:hAnsi="宋体" w:eastAsia="黑体"/>
          <w:i w:val="0"/>
          <w:iCs w:val="0"/>
          <w:color w:val="auto"/>
          <w:sz w:val="32"/>
          <w:highlight w:val="none"/>
        </w:rPr>
      </w:pPr>
      <w:r>
        <w:rPr>
          <w:rFonts w:hint="eastAsia" w:ascii="黑体" w:hAnsi="宋体" w:eastAsia="黑体"/>
          <w:i w:val="0"/>
          <w:iCs w:val="0"/>
          <w:color w:val="auto"/>
          <w:sz w:val="32"/>
          <w:highlight w:val="none"/>
        </w:rPr>
        <w:t>目    录</w:t>
      </w:r>
    </w:p>
    <w:p>
      <w:pPr>
        <w:spacing w:line="500" w:lineRule="exact"/>
        <w:jc w:val="center"/>
        <w:rPr>
          <w:rFonts w:ascii="黑体" w:hAnsi="宋体" w:eastAsia="黑体"/>
          <w:i w:val="0"/>
          <w:iCs w:val="0"/>
          <w:color w:val="auto"/>
          <w:sz w:val="32"/>
          <w:highlight w:val="none"/>
        </w:rPr>
      </w:pPr>
    </w:p>
    <w:p>
      <w:pPr>
        <w:pStyle w:val="54"/>
        <w:tabs>
          <w:tab w:val="right" w:leader="dot" w:pos="8316"/>
          <w:tab w:val="clear" w:pos="9403"/>
        </w:tabs>
        <w:rPr>
          <w:i w:val="0"/>
          <w:iCs w:val="0"/>
        </w:rPr>
      </w:pPr>
      <w:bookmarkStart w:id="0" w:name="_Hlt533241375"/>
      <w:bookmarkEnd w:id="0"/>
      <w:bookmarkStart w:id="1" w:name="_Hlt519045295"/>
      <w:bookmarkEnd w:id="1"/>
      <w:bookmarkStart w:id="2" w:name="_Hlt526418134"/>
      <w:bookmarkEnd w:id="2"/>
      <w:r>
        <w:rPr>
          <w:rFonts w:hint="eastAsia" w:ascii="宋体" w:hAnsi="宋体"/>
          <w:i w:val="0"/>
          <w:iCs w:val="0"/>
          <w:caps/>
          <w:smallCaps w:val="0"/>
          <w:color w:val="auto"/>
          <w:sz w:val="24"/>
          <w:highlight w:val="none"/>
        </w:rPr>
        <w:fldChar w:fldCharType="begin"/>
      </w:r>
      <w:r>
        <w:rPr>
          <w:rFonts w:hint="eastAsia" w:ascii="宋体" w:hAnsi="宋体"/>
          <w:i w:val="0"/>
          <w:iCs w:val="0"/>
          <w:caps/>
          <w:smallCaps w:val="0"/>
          <w:color w:val="auto"/>
          <w:sz w:val="24"/>
          <w:highlight w:val="none"/>
        </w:rPr>
        <w:instrText xml:space="preserve"> TOC \o "1-3" \h \z </w:instrText>
      </w:r>
      <w:r>
        <w:rPr>
          <w:rFonts w:hint="eastAsia" w:ascii="宋体" w:hAnsi="宋体"/>
          <w:i w:val="0"/>
          <w:iCs w:val="0"/>
          <w:caps/>
          <w:smallCaps w:val="0"/>
          <w:color w:val="auto"/>
          <w:sz w:val="24"/>
          <w:highlight w:val="none"/>
        </w:rPr>
        <w:fldChar w:fldCharType="separate"/>
      </w:r>
      <w:r>
        <w:rPr>
          <w:rFonts w:hint="eastAsia" w:ascii="宋体" w:hAnsi="宋体"/>
          <w:i w:val="0"/>
          <w:iCs w:val="0"/>
          <w:caps/>
          <w:smallCaps w:val="0"/>
          <w:color w:val="auto"/>
          <w:highlight w:val="none"/>
        </w:rPr>
        <w:fldChar w:fldCharType="begin"/>
      </w:r>
      <w:r>
        <w:rPr>
          <w:rFonts w:hint="eastAsia" w:ascii="宋体" w:hAnsi="宋体"/>
          <w:i w:val="0"/>
          <w:iCs w:val="0"/>
          <w:caps/>
          <w:smallCaps w:val="0"/>
          <w:highlight w:val="none"/>
        </w:rPr>
        <w:instrText xml:space="preserve"> HYPERLINK \l _Toc30477 </w:instrText>
      </w:r>
      <w:r>
        <w:rPr>
          <w:rFonts w:hint="eastAsia" w:ascii="宋体" w:hAnsi="宋体"/>
          <w:i w:val="0"/>
          <w:iCs w:val="0"/>
          <w:caps/>
          <w:smallCaps w:val="0"/>
          <w:highlight w:val="none"/>
        </w:rPr>
        <w:fldChar w:fldCharType="separate"/>
      </w:r>
      <w:r>
        <w:rPr>
          <w:rFonts w:hint="default" w:ascii="宋体" w:hAnsi="宋体" w:eastAsia="宋体"/>
          <w:i w:val="0"/>
          <w:iCs w:val="0"/>
        </w:rPr>
        <w:t xml:space="preserve">第一章 </w:t>
      </w:r>
      <w:r>
        <w:rPr>
          <w:rFonts w:hint="eastAsia" w:ascii="宋体" w:hAnsi="宋体" w:eastAsia="宋体"/>
          <w:i w:val="0"/>
          <w:iCs w:val="0"/>
          <w:highlight w:val="none"/>
        </w:rPr>
        <w:t>投标邀请（招标公告）</w:t>
      </w:r>
      <w:r>
        <w:rPr>
          <w:i w:val="0"/>
          <w:iCs w:val="0"/>
        </w:rPr>
        <w:tab/>
      </w:r>
      <w:r>
        <w:rPr>
          <w:i w:val="0"/>
          <w:iCs w:val="0"/>
        </w:rPr>
        <w:fldChar w:fldCharType="begin"/>
      </w:r>
      <w:r>
        <w:rPr>
          <w:i w:val="0"/>
          <w:iCs w:val="0"/>
        </w:rPr>
        <w:instrText xml:space="preserve"> PAGEREF _Toc30477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auto"/>
          <w:highlight w:val="none"/>
        </w:rPr>
        <w:fldChar w:fldCharType="end"/>
      </w:r>
    </w:p>
    <w:p>
      <w:pPr>
        <w:pStyle w:val="54"/>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_Toc1806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第二章 投标人须知前附表</w:t>
      </w:r>
      <w:r>
        <w:rPr>
          <w:i w:val="0"/>
          <w:iCs w:val="0"/>
        </w:rPr>
        <w:tab/>
      </w:r>
      <w:r>
        <w:rPr>
          <w:i w:val="0"/>
          <w:iCs w:val="0"/>
        </w:rPr>
        <w:fldChar w:fldCharType="begin"/>
      </w:r>
      <w:r>
        <w:rPr>
          <w:i w:val="0"/>
          <w:iCs w:val="0"/>
        </w:rPr>
        <w:instrText xml:space="preserve"> PAGEREF _Toc1806 \h </w:instrText>
      </w:r>
      <w:r>
        <w:rPr>
          <w:i w:val="0"/>
          <w:iCs w:val="0"/>
        </w:rPr>
        <w:fldChar w:fldCharType="separate"/>
      </w:r>
      <w:r>
        <w:rPr>
          <w:i w:val="0"/>
          <w:iCs w:val="0"/>
        </w:rPr>
        <w:t>5</w:t>
      </w:r>
      <w:r>
        <w:rPr>
          <w:i w:val="0"/>
          <w:iCs w:val="0"/>
        </w:rPr>
        <w:fldChar w:fldCharType="end"/>
      </w:r>
      <w:r>
        <w:rPr>
          <w:rFonts w:hint="eastAsia" w:ascii="Calibri" w:hAnsi="Calibri"/>
          <w:i w:val="0"/>
          <w:iCs w:val="0"/>
          <w:color w:val="auto"/>
          <w:szCs w:val="22"/>
          <w:highlight w:val="none"/>
        </w:rPr>
        <w:fldChar w:fldCharType="end"/>
      </w:r>
    </w:p>
    <w:p>
      <w:pPr>
        <w:pStyle w:val="54"/>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_Toc24739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第三章 投标人须知</w:t>
      </w:r>
      <w:r>
        <w:rPr>
          <w:i w:val="0"/>
          <w:iCs w:val="0"/>
        </w:rPr>
        <w:tab/>
      </w:r>
      <w:r>
        <w:rPr>
          <w:i w:val="0"/>
          <w:iCs w:val="0"/>
        </w:rPr>
        <w:fldChar w:fldCharType="begin"/>
      </w:r>
      <w:r>
        <w:rPr>
          <w:i w:val="0"/>
          <w:iCs w:val="0"/>
        </w:rPr>
        <w:instrText xml:space="preserve"> PAGEREF _Toc24739 \h </w:instrText>
      </w:r>
      <w:r>
        <w:rPr>
          <w:i w:val="0"/>
          <w:iCs w:val="0"/>
        </w:rPr>
        <w:fldChar w:fldCharType="separate"/>
      </w:r>
      <w:r>
        <w:rPr>
          <w:i w:val="0"/>
          <w:iCs w:val="0"/>
        </w:rPr>
        <w:t>7</w:t>
      </w:r>
      <w:r>
        <w:rPr>
          <w:i w:val="0"/>
          <w:iCs w:val="0"/>
        </w:rPr>
        <w:fldChar w:fldCharType="end"/>
      </w:r>
      <w:r>
        <w:rPr>
          <w:rFonts w:hint="eastAsia" w:ascii="Calibri" w:hAnsi="Calibri"/>
          <w:i w:val="0"/>
          <w:iCs w:val="0"/>
          <w:color w:val="auto"/>
          <w:szCs w:val="22"/>
          <w:highlight w:val="none"/>
        </w:rPr>
        <w:fldChar w:fldCharType="end"/>
      </w:r>
    </w:p>
    <w:p>
      <w:pPr>
        <w:pStyle w:val="54"/>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_Toc13261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第四章</w:t>
      </w:r>
      <w:r>
        <w:rPr>
          <w:rFonts w:hint="eastAsia" w:ascii="宋体" w:hAnsi="宋体" w:eastAsia="宋体"/>
          <w:i w:val="0"/>
          <w:iCs w:val="0"/>
          <w:szCs w:val="36"/>
          <w:highlight w:val="none"/>
        </w:rPr>
        <w:t>招标需求</w:t>
      </w:r>
      <w:r>
        <w:rPr>
          <w:i w:val="0"/>
          <w:iCs w:val="0"/>
        </w:rPr>
        <w:tab/>
      </w:r>
      <w:r>
        <w:rPr>
          <w:i w:val="0"/>
          <w:iCs w:val="0"/>
        </w:rPr>
        <w:fldChar w:fldCharType="begin"/>
      </w:r>
      <w:r>
        <w:rPr>
          <w:i w:val="0"/>
          <w:iCs w:val="0"/>
        </w:rPr>
        <w:instrText xml:space="preserve"> PAGEREF _Toc13261 \h </w:instrText>
      </w:r>
      <w:r>
        <w:rPr>
          <w:i w:val="0"/>
          <w:iCs w:val="0"/>
        </w:rPr>
        <w:fldChar w:fldCharType="separate"/>
      </w:r>
      <w:r>
        <w:rPr>
          <w:i w:val="0"/>
          <w:iCs w:val="0"/>
        </w:rPr>
        <w:t>14</w:t>
      </w:r>
      <w:r>
        <w:rPr>
          <w:i w:val="0"/>
          <w:iCs w:val="0"/>
        </w:rPr>
        <w:fldChar w:fldCharType="end"/>
      </w:r>
      <w:r>
        <w:rPr>
          <w:rFonts w:hint="eastAsia" w:ascii="Calibri" w:hAnsi="Calibri"/>
          <w:i w:val="0"/>
          <w:iCs w:val="0"/>
          <w:color w:val="auto"/>
          <w:szCs w:val="22"/>
          <w:highlight w:val="none"/>
        </w:rPr>
        <w:fldChar w:fldCharType="end"/>
      </w:r>
    </w:p>
    <w:p>
      <w:pPr>
        <w:pStyle w:val="54"/>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_Toc25729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第五章 评标办法</w:t>
      </w:r>
      <w:r>
        <w:rPr>
          <w:i w:val="0"/>
          <w:iCs w:val="0"/>
        </w:rPr>
        <w:tab/>
      </w:r>
      <w:r>
        <w:rPr>
          <w:i w:val="0"/>
          <w:iCs w:val="0"/>
        </w:rPr>
        <w:fldChar w:fldCharType="begin"/>
      </w:r>
      <w:r>
        <w:rPr>
          <w:i w:val="0"/>
          <w:iCs w:val="0"/>
        </w:rPr>
        <w:instrText xml:space="preserve"> PAGEREF _Toc25729 \h </w:instrText>
      </w:r>
      <w:r>
        <w:rPr>
          <w:i w:val="0"/>
          <w:iCs w:val="0"/>
        </w:rPr>
        <w:fldChar w:fldCharType="separate"/>
      </w:r>
      <w:r>
        <w:rPr>
          <w:i w:val="0"/>
          <w:iCs w:val="0"/>
        </w:rPr>
        <w:t>21</w:t>
      </w:r>
      <w:r>
        <w:rPr>
          <w:i w:val="0"/>
          <w:iCs w:val="0"/>
        </w:rPr>
        <w:fldChar w:fldCharType="end"/>
      </w:r>
      <w:r>
        <w:rPr>
          <w:rFonts w:hint="eastAsia" w:ascii="Calibri" w:hAnsi="Calibri"/>
          <w:i w:val="0"/>
          <w:iCs w:val="0"/>
          <w:color w:val="auto"/>
          <w:szCs w:val="22"/>
          <w:highlight w:val="none"/>
        </w:rPr>
        <w:fldChar w:fldCharType="end"/>
      </w:r>
    </w:p>
    <w:p>
      <w:pPr>
        <w:pStyle w:val="54"/>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_Toc13822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w:t>
      </w:r>
      <w:r>
        <w:rPr>
          <w:rFonts w:hint="eastAsia" w:ascii="宋体" w:hAnsi="宋体" w:eastAsia="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i w:val="0"/>
          <w:iCs w:val="0"/>
        </w:rPr>
        <w:fldChar w:fldCharType="begin"/>
      </w:r>
      <w:r>
        <w:rPr>
          <w:i w:val="0"/>
          <w:iCs w:val="0"/>
        </w:rPr>
        <w:instrText xml:space="preserve"> PAGEREF _Toc13822 \h </w:instrText>
      </w:r>
      <w:r>
        <w:rPr>
          <w:i w:val="0"/>
          <w:iCs w:val="0"/>
        </w:rPr>
        <w:fldChar w:fldCharType="separate"/>
      </w:r>
      <w:r>
        <w:rPr>
          <w:i w:val="0"/>
          <w:iCs w:val="0"/>
        </w:rPr>
        <w:t>29</w:t>
      </w:r>
      <w:r>
        <w:rPr>
          <w:i w:val="0"/>
          <w:iCs w:val="0"/>
        </w:rPr>
        <w:fldChar w:fldCharType="end"/>
      </w:r>
      <w:r>
        <w:rPr>
          <w:rFonts w:hint="eastAsia" w:ascii="Calibri" w:hAnsi="Calibri"/>
          <w:i w:val="0"/>
          <w:iCs w:val="0"/>
          <w:color w:val="auto"/>
          <w:szCs w:val="22"/>
          <w:highlight w:val="none"/>
        </w:rPr>
        <w:fldChar w:fldCharType="end"/>
      </w:r>
    </w:p>
    <w:p>
      <w:pPr>
        <w:pStyle w:val="54"/>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_Toc12335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第七章 投标文件格式</w:t>
      </w:r>
      <w:r>
        <w:rPr>
          <w:i w:val="0"/>
          <w:iCs w:val="0"/>
        </w:rPr>
        <w:tab/>
      </w:r>
      <w:r>
        <w:rPr>
          <w:i w:val="0"/>
          <w:iCs w:val="0"/>
        </w:rPr>
        <w:fldChar w:fldCharType="begin"/>
      </w:r>
      <w:r>
        <w:rPr>
          <w:i w:val="0"/>
          <w:iCs w:val="0"/>
        </w:rPr>
        <w:instrText xml:space="preserve"> PAGEREF _Toc12335 \h </w:instrText>
      </w:r>
      <w:r>
        <w:rPr>
          <w:i w:val="0"/>
          <w:iCs w:val="0"/>
        </w:rPr>
        <w:fldChar w:fldCharType="separate"/>
      </w:r>
      <w:r>
        <w:rPr>
          <w:i w:val="0"/>
          <w:iCs w:val="0"/>
        </w:rPr>
        <w:t>39</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_Toc26960 </w:instrText>
      </w:r>
      <w:r>
        <w:rPr>
          <w:rFonts w:hint="eastAsia" w:ascii="Calibri" w:hAnsi="Calibri"/>
          <w:i w:val="0"/>
          <w:iCs w:val="0"/>
          <w:szCs w:val="22"/>
          <w:highlight w:val="none"/>
        </w:rPr>
        <w:fldChar w:fldCharType="separate"/>
      </w:r>
      <w:r>
        <w:rPr>
          <w:rFonts w:hint="eastAsia" w:hAnsi="宋体"/>
          <w:i w:val="0"/>
          <w:iCs w:val="0"/>
          <w:highlight w:val="none"/>
        </w:rPr>
        <w:t>一．投标函</w:t>
      </w:r>
      <w:r>
        <w:rPr>
          <w:i w:val="0"/>
          <w:iCs w:val="0"/>
        </w:rPr>
        <w:tab/>
      </w:r>
      <w:r>
        <w:rPr>
          <w:i w:val="0"/>
          <w:iCs w:val="0"/>
        </w:rPr>
        <w:fldChar w:fldCharType="begin"/>
      </w:r>
      <w:r>
        <w:rPr>
          <w:i w:val="0"/>
          <w:iCs w:val="0"/>
        </w:rPr>
        <w:instrText xml:space="preserve"> PAGEREF _Toc26960 \h </w:instrText>
      </w:r>
      <w:r>
        <w:rPr>
          <w:i w:val="0"/>
          <w:iCs w:val="0"/>
        </w:rPr>
        <w:fldChar w:fldCharType="separate"/>
      </w:r>
      <w:r>
        <w:rPr>
          <w:i w:val="0"/>
          <w:iCs w:val="0"/>
        </w:rPr>
        <w:t>41</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_Toc11199 </w:instrText>
      </w:r>
      <w:r>
        <w:rPr>
          <w:rFonts w:hint="eastAsia" w:ascii="Calibri" w:hAnsi="Calibri"/>
          <w:i w:val="0"/>
          <w:iCs w:val="0"/>
          <w:szCs w:val="22"/>
          <w:highlight w:val="none"/>
        </w:rPr>
        <w:fldChar w:fldCharType="separate"/>
      </w:r>
      <w:r>
        <w:rPr>
          <w:rFonts w:hint="eastAsia" w:hAnsi="宋体"/>
          <w:i w:val="0"/>
          <w:iCs w:val="0"/>
          <w:highlight w:val="none"/>
        </w:rPr>
        <w:t>二．投标人情况综合简介</w:t>
      </w:r>
      <w:r>
        <w:rPr>
          <w:i w:val="0"/>
          <w:iCs w:val="0"/>
        </w:rPr>
        <w:tab/>
      </w:r>
      <w:r>
        <w:rPr>
          <w:i w:val="0"/>
          <w:iCs w:val="0"/>
        </w:rPr>
        <w:fldChar w:fldCharType="begin"/>
      </w:r>
      <w:r>
        <w:rPr>
          <w:i w:val="0"/>
          <w:iCs w:val="0"/>
        </w:rPr>
        <w:instrText xml:space="preserve"> PAGEREF _Toc11199 \h </w:instrText>
      </w:r>
      <w:r>
        <w:rPr>
          <w:i w:val="0"/>
          <w:iCs w:val="0"/>
        </w:rPr>
        <w:fldChar w:fldCharType="separate"/>
      </w:r>
      <w:r>
        <w:rPr>
          <w:i w:val="0"/>
          <w:iCs w:val="0"/>
        </w:rPr>
        <w:t>43</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_Toc11308 </w:instrText>
      </w:r>
      <w:r>
        <w:rPr>
          <w:rFonts w:hint="eastAsia" w:ascii="Calibri" w:hAnsi="Calibri"/>
          <w:i w:val="0"/>
          <w:iCs w:val="0"/>
          <w:szCs w:val="22"/>
          <w:highlight w:val="none"/>
        </w:rPr>
        <w:fldChar w:fldCharType="separate"/>
      </w:r>
      <w:r>
        <w:rPr>
          <w:rFonts w:hint="eastAsia" w:hAnsi="宋体"/>
          <w:i w:val="0"/>
          <w:iCs w:val="0"/>
          <w:highlight w:val="none"/>
        </w:rPr>
        <w:t>三．开标一览表</w:t>
      </w:r>
      <w:r>
        <w:rPr>
          <w:i w:val="0"/>
          <w:iCs w:val="0"/>
        </w:rPr>
        <w:tab/>
      </w:r>
      <w:r>
        <w:rPr>
          <w:i w:val="0"/>
          <w:iCs w:val="0"/>
        </w:rPr>
        <w:fldChar w:fldCharType="begin"/>
      </w:r>
      <w:r>
        <w:rPr>
          <w:i w:val="0"/>
          <w:iCs w:val="0"/>
        </w:rPr>
        <w:instrText xml:space="preserve"> PAGEREF _Toc11308 \h </w:instrText>
      </w:r>
      <w:r>
        <w:rPr>
          <w:i w:val="0"/>
          <w:iCs w:val="0"/>
        </w:rPr>
        <w:fldChar w:fldCharType="separate"/>
      </w:r>
      <w:r>
        <w:rPr>
          <w:i w:val="0"/>
          <w:iCs w:val="0"/>
        </w:rPr>
        <w:t>43</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_Toc24620 </w:instrText>
      </w:r>
      <w:r>
        <w:rPr>
          <w:rFonts w:hint="eastAsia" w:ascii="Calibri" w:hAnsi="Calibri"/>
          <w:i w:val="0"/>
          <w:iCs w:val="0"/>
          <w:szCs w:val="22"/>
          <w:highlight w:val="none"/>
        </w:rPr>
        <w:fldChar w:fldCharType="separate"/>
      </w:r>
      <w:r>
        <w:rPr>
          <w:rFonts w:hint="eastAsia" w:hAnsi="宋体"/>
          <w:i w:val="0"/>
          <w:iCs w:val="0"/>
          <w:highlight w:val="none"/>
        </w:rPr>
        <w:t>四、分项报价一览表</w:t>
      </w:r>
      <w:r>
        <w:rPr>
          <w:i w:val="0"/>
          <w:iCs w:val="0"/>
        </w:rPr>
        <w:tab/>
      </w:r>
      <w:r>
        <w:rPr>
          <w:i w:val="0"/>
          <w:iCs w:val="0"/>
        </w:rPr>
        <w:fldChar w:fldCharType="begin"/>
      </w:r>
      <w:r>
        <w:rPr>
          <w:i w:val="0"/>
          <w:iCs w:val="0"/>
        </w:rPr>
        <w:instrText xml:space="preserve"> PAGEREF _Toc24620 \h </w:instrText>
      </w:r>
      <w:r>
        <w:rPr>
          <w:i w:val="0"/>
          <w:iCs w:val="0"/>
        </w:rPr>
        <w:fldChar w:fldCharType="separate"/>
      </w:r>
      <w:r>
        <w:rPr>
          <w:i w:val="0"/>
          <w:iCs w:val="0"/>
        </w:rPr>
        <w:t>44</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_Toc16135 </w:instrText>
      </w:r>
      <w:r>
        <w:rPr>
          <w:rFonts w:hint="eastAsia" w:ascii="Calibri" w:hAnsi="Calibri"/>
          <w:i w:val="0"/>
          <w:iCs w:val="0"/>
          <w:szCs w:val="22"/>
          <w:highlight w:val="none"/>
        </w:rPr>
        <w:fldChar w:fldCharType="separate"/>
      </w:r>
      <w:r>
        <w:rPr>
          <w:rFonts w:hint="eastAsia" w:hAnsi="宋体"/>
          <w:i w:val="0"/>
          <w:iCs w:val="0"/>
          <w:highlight w:val="none"/>
        </w:rPr>
        <w:t>五．投标响应表</w:t>
      </w:r>
      <w:r>
        <w:rPr>
          <w:i w:val="0"/>
          <w:iCs w:val="0"/>
        </w:rPr>
        <w:tab/>
      </w:r>
      <w:r>
        <w:rPr>
          <w:i w:val="0"/>
          <w:iCs w:val="0"/>
        </w:rPr>
        <w:fldChar w:fldCharType="begin"/>
      </w:r>
      <w:r>
        <w:rPr>
          <w:i w:val="0"/>
          <w:iCs w:val="0"/>
        </w:rPr>
        <w:instrText xml:space="preserve"> PAGEREF _Toc16135 \h </w:instrText>
      </w:r>
      <w:r>
        <w:rPr>
          <w:i w:val="0"/>
          <w:iCs w:val="0"/>
        </w:rPr>
        <w:fldChar w:fldCharType="separate"/>
      </w:r>
      <w:r>
        <w:rPr>
          <w:i w:val="0"/>
          <w:iCs w:val="0"/>
        </w:rPr>
        <w:t>45</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_Toc8661 </w:instrText>
      </w:r>
      <w:r>
        <w:rPr>
          <w:rFonts w:hint="eastAsia" w:ascii="Calibri" w:hAnsi="Calibri"/>
          <w:i w:val="0"/>
          <w:iCs w:val="0"/>
          <w:szCs w:val="22"/>
          <w:highlight w:val="none"/>
        </w:rPr>
        <w:fldChar w:fldCharType="separate"/>
      </w:r>
      <w:r>
        <w:rPr>
          <w:rFonts w:hint="eastAsia" w:hAnsi="宋体"/>
          <w:i w:val="0"/>
          <w:iCs w:val="0"/>
          <w:highlight w:val="none"/>
          <w:lang w:val="en-US" w:eastAsia="zh-CN"/>
        </w:rPr>
        <w:t>六</w:t>
      </w:r>
      <w:r>
        <w:rPr>
          <w:rFonts w:hint="eastAsia" w:hAnsi="宋体"/>
          <w:i w:val="0"/>
          <w:iCs w:val="0"/>
          <w:highlight w:val="none"/>
        </w:rPr>
        <w:t>．投标授权书</w:t>
      </w:r>
      <w:r>
        <w:rPr>
          <w:i w:val="0"/>
          <w:iCs w:val="0"/>
        </w:rPr>
        <w:tab/>
      </w:r>
      <w:r>
        <w:rPr>
          <w:i w:val="0"/>
          <w:iCs w:val="0"/>
        </w:rPr>
        <w:fldChar w:fldCharType="begin"/>
      </w:r>
      <w:r>
        <w:rPr>
          <w:i w:val="0"/>
          <w:iCs w:val="0"/>
        </w:rPr>
        <w:instrText xml:space="preserve"> PAGEREF _Toc8661 \h </w:instrText>
      </w:r>
      <w:r>
        <w:rPr>
          <w:i w:val="0"/>
          <w:iCs w:val="0"/>
        </w:rPr>
        <w:fldChar w:fldCharType="separate"/>
      </w:r>
      <w:r>
        <w:rPr>
          <w:i w:val="0"/>
          <w:iCs w:val="0"/>
        </w:rPr>
        <w:t>46</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_Toc27520 </w:instrText>
      </w:r>
      <w:r>
        <w:rPr>
          <w:rFonts w:hint="eastAsia" w:ascii="Calibri" w:hAnsi="Calibri"/>
          <w:i w:val="0"/>
          <w:iCs w:val="0"/>
          <w:szCs w:val="22"/>
          <w:highlight w:val="none"/>
        </w:rPr>
        <w:fldChar w:fldCharType="separate"/>
      </w:r>
      <w:r>
        <w:rPr>
          <w:rFonts w:hint="eastAsia" w:hAnsi="宋体" w:cs="宋体"/>
          <w:i w:val="0"/>
          <w:iCs w:val="0"/>
          <w:szCs w:val="28"/>
          <w:highlight w:val="none"/>
          <w:lang w:val="en-US" w:eastAsia="zh-CN"/>
        </w:rPr>
        <w:t>七</w:t>
      </w:r>
      <w:r>
        <w:rPr>
          <w:rFonts w:hint="eastAsia" w:hAnsi="宋体" w:cs="宋体"/>
          <w:i w:val="0"/>
          <w:iCs w:val="0"/>
          <w:szCs w:val="28"/>
          <w:highlight w:val="none"/>
        </w:rPr>
        <w:t>．投标人信用承诺</w:t>
      </w:r>
      <w:r>
        <w:rPr>
          <w:i w:val="0"/>
          <w:iCs w:val="0"/>
        </w:rPr>
        <w:tab/>
      </w:r>
      <w:r>
        <w:rPr>
          <w:i w:val="0"/>
          <w:iCs w:val="0"/>
        </w:rPr>
        <w:fldChar w:fldCharType="begin"/>
      </w:r>
      <w:r>
        <w:rPr>
          <w:i w:val="0"/>
          <w:iCs w:val="0"/>
        </w:rPr>
        <w:instrText xml:space="preserve"> PAGEREF _Toc27520 \h </w:instrText>
      </w:r>
      <w:r>
        <w:rPr>
          <w:i w:val="0"/>
          <w:iCs w:val="0"/>
        </w:rPr>
        <w:fldChar w:fldCharType="separate"/>
      </w:r>
      <w:r>
        <w:rPr>
          <w:i w:val="0"/>
          <w:iCs w:val="0"/>
        </w:rPr>
        <w:t>46</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_Toc10159 </w:instrText>
      </w:r>
      <w:r>
        <w:rPr>
          <w:rFonts w:hint="eastAsia" w:ascii="Calibri" w:hAnsi="Calibri"/>
          <w:i w:val="0"/>
          <w:iCs w:val="0"/>
          <w:szCs w:val="22"/>
          <w:highlight w:val="none"/>
        </w:rPr>
        <w:fldChar w:fldCharType="separate"/>
      </w:r>
      <w:r>
        <w:rPr>
          <w:rFonts w:hint="eastAsia" w:hAnsi="宋体" w:cs="宋体"/>
          <w:i w:val="0"/>
          <w:iCs w:val="0"/>
          <w:szCs w:val="28"/>
          <w:highlight w:val="none"/>
          <w:lang w:val="en-US" w:eastAsia="zh-CN"/>
        </w:rPr>
        <w:t>八</w:t>
      </w:r>
      <w:r>
        <w:rPr>
          <w:rFonts w:hint="eastAsia" w:hAnsi="宋体" w:cs="宋体"/>
          <w:i w:val="0"/>
          <w:iCs w:val="0"/>
          <w:szCs w:val="28"/>
          <w:highlight w:val="none"/>
        </w:rPr>
        <w:t>. 投标业绩</w:t>
      </w:r>
      <w:r>
        <w:rPr>
          <w:i w:val="0"/>
          <w:iCs w:val="0"/>
        </w:rPr>
        <w:tab/>
      </w:r>
      <w:r>
        <w:rPr>
          <w:i w:val="0"/>
          <w:iCs w:val="0"/>
        </w:rPr>
        <w:fldChar w:fldCharType="begin"/>
      </w:r>
      <w:r>
        <w:rPr>
          <w:i w:val="0"/>
          <w:iCs w:val="0"/>
        </w:rPr>
        <w:instrText xml:space="preserve"> PAGEREF _Toc10159 \h </w:instrText>
      </w:r>
      <w:r>
        <w:rPr>
          <w:i w:val="0"/>
          <w:iCs w:val="0"/>
        </w:rPr>
        <w:fldChar w:fldCharType="separate"/>
      </w:r>
      <w:r>
        <w:rPr>
          <w:i w:val="0"/>
          <w:iCs w:val="0"/>
        </w:rPr>
        <w:t>47</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_Toc6465 </w:instrText>
      </w:r>
      <w:r>
        <w:rPr>
          <w:rFonts w:hint="eastAsia" w:ascii="Calibri" w:hAnsi="Calibri"/>
          <w:i w:val="0"/>
          <w:iCs w:val="0"/>
          <w:szCs w:val="22"/>
          <w:highlight w:val="none"/>
        </w:rPr>
        <w:fldChar w:fldCharType="separate"/>
      </w:r>
      <w:r>
        <w:rPr>
          <w:rFonts w:hint="eastAsia" w:hAnsi="宋体"/>
          <w:i w:val="0"/>
          <w:iCs w:val="0"/>
          <w:highlight w:val="none"/>
          <w:lang w:val="en-US" w:eastAsia="zh-CN"/>
        </w:rPr>
        <w:t>九</w:t>
      </w:r>
      <w:r>
        <w:rPr>
          <w:rFonts w:hint="eastAsia" w:hAnsi="宋体"/>
          <w:i w:val="0"/>
          <w:iCs w:val="0"/>
          <w:highlight w:val="none"/>
        </w:rPr>
        <w:t>．有关证明文件</w:t>
      </w:r>
      <w:r>
        <w:rPr>
          <w:i w:val="0"/>
          <w:iCs w:val="0"/>
        </w:rPr>
        <w:tab/>
      </w:r>
      <w:r>
        <w:rPr>
          <w:i w:val="0"/>
          <w:iCs w:val="0"/>
        </w:rPr>
        <w:fldChar w:fldCharType="begin"/>
      </w:r>
      <w:r>
        <w:rPr>
          <w:i w:val="0"/>
          <w:iCs w:val="0"/>
        </w:rPr>
        <w:instrText xml:space="preserve"> PAGEREF _Toc6465 \h </w:instrText>
      </w:r>
      <w:r>
        <w:rPr>
          <w:i w:val="0"/>
          <w:iCs w:val="0"/>
        </w:rPr>
        <w:fldChar w:fldCharType="separate"/>
      </w:r>
      <w:r>
        <w:rPr>
          <w:i w:val="0"/>
          <w:iCs w:val="0"/>
        </w:rPr>
        <w:t>48</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_Toc15648 </w:instrText>
      </w:r>
      <w:r>
        <w:rPr>
          <w:rFonts w:hint="eastAsia" w:ascii="Calibri" w:hAnsi="Calibri"/>
          <w:i w:val="0"/>
          <w:iCs w:val="0"/>
          <w:szCs w:val="22"/>
          <w:highlight w:val="none"/>
        </w:rPr>
        <w:fldChar w:fldCharType="separate"/>
      </w:r>
      <w:r>
        <w:rPr>
          <w:rFonts w:hint="eastAsia" w:hAnsi="宋体"/>
          <w:i w:val="0"/>
          <w:iCs w:val="0"/>
          <w:highlight w:val="none"/>
        </w:rPr>
        <w:t>十．生产厂商授权书</w:t>
      </w:r>
      <w:r>
        <w:rPr>
          <w:i w:val="0"/>
          <w:iCs w:val="0"/>
        </w:rPr>
        <w:tab/>
      </w:r>
      <w:r>
        <w:rPr>
          <w:i w:val="0"/>
          <w:iCs w:val="0"/>
        </w:rPr>
        <w:fldChar w:fldCharType="begin"/>
      </w:r>
      <w:r>
        <w:rPr>
          <w:i w:val="0"/>
          <w:iCs w:val="0"/>
        </w:rPr>
        <w:instrText xml:space="preserve"> PAGEREF _Toc15648 \h </w:instrText>
      </w:r>
      <w:r>
        <w:rPr>
          <w:i w:val="0"/>
          <w:iCs w:val="0"/>
        </w:rPr>
        <w:fldChar w:fldCharType="separate"/>
      </w:r>
      <w:r>
        <w:rPr>
          <w:i w:val="0"/>
          <w:iCs w:val="0"/>
        </w:rPr>
        <w:t>48</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_Toc26352 </w:instrText>
      </w:r>
      <w:r>
        <w:rPr>
          <w:rFonts w:hint="eastAsia" w:ascii="Calibri" w:hAnsi="Calibri"/>
          <w:i w:val="0"/>
          <w:iCs w:val="0"/>
          <w:szCs w:val="22"/>
          <w:highlight w:val="none"/>
        </w:rPr>
        <w:fldChar w:fldCharType="separate"/>
      </w:r>
      <w:r>
        <w:rPr>
          <w:rFonts w:hint="eastAsia" w:hAnsi="宋体"/>
          <w:i w:val="0"/>
          <w:iCs w:val="0"/>
          <w:highlight w:val="none"/>
        </w:rPr>
        <w:t>十</w:t>
      </w:r>
      <w:r>
        <w:rPr>
          <w:rFonts w:hint="eastAsia" w:hAnsi="宋体"/>
          <w:i w:val="0"/>
          <w:iCs w:val="0"/>
          <w:highlight w:val="none"/>
          <w:lang w:val="en-US" w:eastAsia="zh-CN"/>
        </w:rPr>
        <w:t>一</w:t>
      </w:r>
      <w:r>
        <w:rPr>
          <w:rFonts w:hint="eastAsia" w:hAnsi="宋体"/>
          <w:i w:val="0"/>
          <w:iCs w:val="0"/>
          <w:highlight w:val="none"/>
        </w:rPr>
        <w:t>．相关授权或承诺书</w:t>
      </w:r>
      <w:r>
        <w:rPr>
          <w:i w:val="0"/>
          <w:iCs w:val="0"/>
        </w:rPr>
        <w:tab/>
      </w:r>
      <w:r>
        <w:rPr>
          <w:i w:val="0"/>
          <w:iCs w:val="0"/>
        </w:rPr>
        <w:fldChar w:fldCharType="begin"/>
      </w:r>
      <w:r>
        <w:rPr>
          <w:i w:val="0"/>
          <w:iCs w:val="0"/>
        </w:rPr>
        <w:instrText xml:space="preserve"> PAGEREF _Toc26352 \h </w:instrText>
      </w:r>
      <w:r>
        <w:rPr>
          <w:i w:val="0"/>
          <w:iCs w:val="0"/>
        </w:rPr>
        <w:fldChar w:fldCharType="separate"/>
      </w:r>
      <w:r>
        <w:rPr>
          <w:i w:val="0"/>
          <w:iCs w:val="0"/>
        </w:rPr>
        <w:t>49</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_Toc27559 </w:instrText>
      </w:r>
      <w:r>
        <w:rPr>
          <w:rFonts w:hint="eastAsia" w:ascii="Calibri" w:hAnsi="Calibri"/>
          <w:i w:val="0"/>
          <w:iCs w:val="0"/>
          <w:szCs w:val="22"/>
          <w:highlight w:val="none"/>
        </w:rPr>
        <w:fldChar w:fldCharType="separate"/>
      </w:r>
      <w:r>
        <w:rPr>
          <w:rFonts w:hint="eastAsia" w:hAnsi="宋体"/>
          <w:i w:val="0"/>
          <w:iCs w:val="0"/>
          <w:highlight w:val="none"/>
        </w:rPr>
        <w:t>十三．项目人员配备</w:t>
      </w:r>
      <w:r>
        <w:rPr>
          <w:i w:val="0"/>
          <w:iCs w:val="0"/>
        </w:rPr>
        <w:tab/>
      </w:r>
      <w:r>
        <w:rPr>
          <w:i w:val="0"/>
          <w:iCs w:val="0"/>
        </w:rPr>
        <w:fldChar w:fldCharType="begin"/>
      </w:r>
      <w:r>
        <w:rPr>
          <w:i w:val="0"/>
          <w:iCs w:val="0"/>
        </w:rPr>
        <w:instrText xml:space="preserve"> PAGEREF _Toc27559 \h </w:instrText>
      </w:r>
      <w:r>
        <w:rPr>
          <w:i w:val="0"/>
          <w:iCs w:val="0"/>
        </w:rPr>
        <w:fldChar w:fldCharType="separate"/>
      </w:r>
      <w:r>
        <w:rPr>
          <w:i w:val="0"/>
          <w:iCs w:val="0"/>
        </w:rPr>
        <w:t>50</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_Toc20413 </w:instrText>
      </w:r>
      <w:r>
        <w:rPr>
          <w:rFonts w:hint="eastAsia" w:ascii="Calibri" w:hAnsi="Calibri"/>
          <w:i w:val="0"/>
          <w:iCs w:val="0"/>
          <w:szCs w:val="22"/>
          <w:highlight w:val="none"/>
        </w:rPr>
        <w:fldChar w:fldCharType="separate"/>
      </w:r>
      <w:r>
        <w:rPr>
          <w:rFonts w:hint="eastAsia" w:hAnsi="宋体"/>
          <w:i w:val="0"/>
          <w:iCs w:val="0"/>
          <w:highlight w:val="none"/>
        </w:rPr>
        <w:t>十四．服务体系与维保方案</w:t>
      </w:r>
      <w:r>
        <w:rPr>
          <w:i w:val="0"/>
          <w:iCs w:val="0"/>
        </w:rPr>
        <w:tab/>
      </w:r>
      <w:r>
        <w:rPr>
          <w:i w:val="0"/>
          <w:iCs w:val="0"/>
        </w:rPr>
        <w:fldChar w:fldCharType="begin"/>
      </w:r>
      <w:r>
        <w:rPr>
          <w:i w:val="0"/>
          <w:iCs w:val="0"/>
        </w:rPr>
        <w:instrText xml:space="preserve"> PAGEREF _Toc20413 \h </w:instrText>
      </w:r>
      <w:r>
        <w:rPr>
          <w:i w:val="0"/>
          <w:iCs w:val="0"/>
        </w:rPr>
        <w:fldChar w:fldCharType="separate"/>
      </w:r>
      <w:r>
        <w:rPr>
          <w:i w:val="0"/>
          <w:iCs w:val="0"/>
        </w:rPr>
        <w:t>53</w:t>
      </w:r>
      <w:r>
        <w:rPr>
          <w:i w:val="0"/>
          <w:iCs w:val="0"/>
        </w:rPr>
        <w:fldChar w:fldCharType="end"/>
      </w:r>
      <w:r>
        <w:rPr>
          <w:rFonts w:hint="eastAsia" w:ascii="Calibri" w:hAnsi="Calibri"/>
          <w:i w:val="0"/>
          <w:iCs w:val="0"/>
          <w:color w:val="auto"/>
          <w:szCs w:val="22"/>
          <w:highlight w:val="none"/>
        </w:rPr>
        <w:fldChar w:fldCharType="end"/>
      </w:r>
    </w:p>
    <w:p>
      <w:pPr>
        <w:pStyle w:val="32"/>
        <w:tabs>
          <w:tab w:val="right" w:leader="dot" w:pos="8316"/>
          <w:tab w:val="clear" w:pos="9403"/>
        </w:tabs>
        <w:rPr>
          <w:i w:val="0"/>
          <w:iCs w:val="0"/>
        </w:rPr>
      </w:pPr>
      <w:r>
        <w:rPr>
          <w:rFonts w:hint="eastAsia" w:ascii="Calibri" w:hAnsi="Calibri"/>
          <w:i w:val="0"/>
          <w:iCs w:val="0"/>
          <w:color w:val="auto"/>
          <w:szCs w:val="22"/>
          <w:highlight w:val="none"/>
        </w:rPr>
        <w:fldChar w:fldCharType="begin"/>
      </w:r>
      <w:r>
        <w:rPr>
          <w:rFonts w:hint="eastAsia" w:ascii="Calibri" w:hAnsi="Calibri"/>
          <w:i w:val="0"/>
          <w:iCs w:val="0"/>
          <w:szCs w:val="22"/>
          <w:highlight w:val="none"/>
        </w:rPr>
        <w:instrText xml:space="preserve"> HYPERLINK \l _Toc8885 </w:instrText>
      </w:r>
      <w:r>
        <w:rPr>
          <w:rFonts w:hint="eastAsia" w:ascii="Calibri" w:hAnsi="Calibri"/>
          <w:i w:val="0"/>
          <w:iCs w:val="0"/>
          <w:szCs w:val="22"/>
          <w:highlight w:val="none"/>
        </w:rPr>
        <w:fldChar w:fldCharType="separate"/>
      </w:r>
      <w:r>
        <w:rPr>
          <w:rFonts w:hint="eastAsia" w:hAnsi="宋体"/>
          <w:i w:val="0"/>
          <w:iCs w:val="0"/>
          <w:highlight w:val="none"/>
        </w:rPr>
        <w:t>十五</w:t>
      </w:r>
      <w:r>
        <w:rPr>
          <w:rFonts w:hAnsi="宋体"/>
          <w:i w:val="0"/>
          <w:iCs w:val="0"/>
          <w:highlight w:val="none"/>
        </w:rPr>
        <w:t xml:space="preserve">. </w:t>
      </w:r>
      <w:r>
        <w:rPr>
          <w:rFonts w:hint="eastAsia" w:hAnsi="宋体"/>
          <w:i w:val="0"/>
          <w:iCs w:val="0"/>
          <w:highlight w:val="none"/>
        </w:rPr>
        <w:t>投标人认为需提供的其他资料</w:t>
      </w:r>
      <w:r>
        <w:rPr>
          <w:i w:val="0"/>
          <w:iCs w:val="0"/>
        </w:rPr>
        <w:tab/>
      </w:r>
      <w:r>
        <w:rPr>
          <w:i w:val="0"/>
          <w:iCs w:val="0"/>
        </w:rPr>
        <w:fldChar w:fldCharType="begin"/>
      </w:r>
      <w:r>
        <w:rPr>
          <w:i w:val="0"/>
          <w:iCs w:val="0"/>
        </w:rPr>
        <w:instrText xml:space="preserve"> PAGEREF _Toc8885 \h </w:instrText>
      </w:r>
      <w:r>
        <w:rPr>
          <w:i w:val="0"/>
          <w:iCs w:val="0"/>
        </w:rPr>
        <w:fldChar w:fldCharType="separate"/>
      </w:r>
      <w:r>
        <w:rPr>
          <w:i w:val="0"/>
          <w:iCs w:val="0"/>
        </w:rPr>
        <w:t>53</w:t>
      </w:r>
      <w:r>
        <w:rPr>
          <w:i w:val="0"/>
          <w:iCs w:val="0"/>
        </w:rPr>
        <w:fldChar w:fldCharType="end"/>
      </w:r>
      <w:r>
        <w:rPr>
          <w:rFonts w:hint="eastAsia" w:ascii="Calibri" w:hAnsi="Calibri"/>
          <w:i w:val="0"/>
          <w:iCs w:val="0"/>
          <w:color w:val="auto"/>
          <w:szCs w:val="22"/>
          <w:highlight w:val="none"/>
        </w:rPr>
        <w:fldChar w:fldCharType="end"/>
      </w:r>
    </w:p>
    <w:p>
      <w:pPr>
        <w:pStyle w:val="32"/>
        <w:ind w:left="0"/>
        <w:rPr>
          <w:rFonts w:ascii="宋体" w:hAnsi="宋体"/>
          <w:i w:val="0"/>
          <w:color w:val="auto"/>
          <w:highlight w:val="none"/>
        </w:rPr>
      </w:pPr>
      <w:r>
        <w:rPr>
          <w:rFonts w:hint="eastAsia" w:ascii="Calibri" w:hAnsi="Calibri"/>
          <w:i w:val="0"/>
          <w:iCs w:val="0"/>
          <w:color w:val="auto"/>
          <w:szCs w:val="22"/>
          <w:highlight w:val="none"/>
        </w:rPr>
        <w:fldChar w:fldCharType="end"/>
      </w:r>
    </w:p>
    <w:p>
      <w:pPr>
        <w:rPr>
          <w:color w:val="auto"/>
          <w:highlight w:val="none"/>
        </w:rPr>
      </w:pPr>
    </w:p>
    <w:p>
      <w:pPr>
        <w:rPr>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4"/>
        <w:spacing w:before="0" w:line="500" w:lineRule="exact"/>
        <w:ind w:firstLine="0"/>
        <w:jc w:val="both"/>
        <w:rPr>
          <w:rFonts w:ascii="宋体" w:hAnsi="宋体" w:eastAsia="宋体"/>
          <w:b w:val="0"/>
          <w:bCs w:val="0"/>
          <w:color w:val="auto"/>
          <w:sz w:val="21"/>
          <w:szCs w:val="22"/>
          <w:highlight w:val="none"/>
        </w:rPr>
      </w:pPr>
      <w:bookmarkStart w:id="3" w:name="_Toc32306252"/>
    </w:p>
    <w:p>
      <w:pPr>
        <w:rPr>
          <w:color w:val="auto"/>
          <w:highlight w:val="none"/>
        </w:rPr>
      </w:pPr>
    </w:p>
    <w:p>
      <w:pPr>
        <w:rPr>
          <w:color w:val="auto"/>
          <w:highlight w:val="none"/>
        </w:rPr>
      </w:pPr>
    </w:p>
    <w:p>
      <w:pPr>
        <w:rPr>
          <w:color w:val="auto"/>
          <w:highlight w:val="none"/>
        </w:rPr>
      </w:pPr>
    </w:p>
    <w:p>
      <w:pPr>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3"/>
    <w:p>
      <w:pPr>
        <w:pStyle w:val="4"/>
        <w:numPr>
          <w:ilvl w:val="0"/>
          <w:numId w:val="2"/>
        </w:numPr>
        <w:spacing w:before="0" w:after="0" w:line="430" w:lineRule="exact"/>
        <w:rPr>
          <w:rFonts w:ascii="宋体" w:hAnsi="宋体" w:eastAsia="宋体"/>
          <w:color w:val="auto"/>
          <w:highlight w:val="none"/>
        </w:rPr>
      </w:pPr>
      <w:bookmarkStart w:id="4" w:name="_Toc38004740"/>
      <w:bookmarkStart w:id="5" w:name="_Toc30477"/>
      <w:bookmarkStart w:id="6" w:name="_Hlt510343011"/>
      <w:bookmarkStart w:id="7" w:name="_Hlt510342998"/>
      <w:r>
        <w:rPr>
          <w:rFonts w:hint="eastAsia" w:ascii="宋体" w:hAnsi="宋体" w:eastAsia="宋体"/>
          <w:color w:val="auto"/>
          <w:highlight w:val="none"/>
        </w:rPr>
        <w:t>投标邀请（招标公告）</w:t>
      </w:r>
      <w:bookmarkEnd w:id="4"/>
      <w:bookmarkEnd w:id="5"/>
    </w:p>
    <w:p>
      <w:pPr>
        <w:rPr>
          <w:color w:val="auto"/>
          <w:highlight w:val="none"/>
        </w:rPr>
      </w:pP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合肥文旅博览集团有限公司（以下简称：文旅博览集团）受</w:t>
      </w:r>
      <w:r>
        <w:rPr>
          <w:rFonts w:ascii="宋体" w:hAnsi="宋体" w:eastAsia="宋体" w:cs="宋体"/>
          <w:color w:val="auto"/>
          <w:sz w:val="24"/>
          <w:szCs w:val="24"/>
          <w:highlight w:val="none"/>
        </w:rPr>
        <w:t>合肥政文国际会展管理有限公司</w:t>
      </w:r>
      <w:r>
        <w:rPr>
          <w:rFonts w:hint="eastAsia" w:ascii="宋体" w:hAnsi="宋体"/>
          <w:color w:val="auto"/>
          <w:sz w:val="24"/>
          <w:szCs w:val="24"/>
          <w:highlight w:val="none"/>
        </w:rPr>
        <w:t>委托，现对</w:t>
      </w:r>
      <w:r>
        <w:rPr>
          <w:rFonts w:hint="eastAsia" w:ascii="宋体" w:hAnsi="宋体"/>
          <w:color w:val="auto"/>
          <w:sz w:val="24"/>
          <w:szCs w:val="24"/>
          <w:highlight w:val="none"/>
          <w:lang w:eastAsia="zh-CN"/>
        </w:rPr>
        <w:t>“</w:t>
      </w:r>
      <w:r>
        <w:rPr>
          <w:rFonts w:ascii="宋体" w:hAnsi="宋体" w:eastAsia="宋体" w:cs="宋体"/>
          <w:color w:val="auto"/>
          <w:sz w:val="24"/>
          <w:szCs w:val="24"/>
          <w:highlight w:val="none"/>
        </w:rPr>
        <w:t>合肥政文国际会展管理有限公司两馆电梯维保</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二次</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autoSpaceDE w:val="0"/>
        <w:autoSpaceDN w:val="0"/>
        <w:adjustRightInd w:val="0"/>
        <w:spacing w:line="360" w:lineRule="auto"/>
        <w:ind w:firstLine="200"/>
        <w:jc w:val="left"/>
        <w:rPr>
          <w:rFonts w:ascii="宋体" w:hAnsi="宋体" w:eastAsia="宋体" w:cs="宋体"/>
          <w:color w:val="auto"/>
          <w:sz w:val="24"/>
          <w:szCs w:val="24"/>
          <w:highlight w:val="none"/>
        </w:rPr>
      </w:pPr>
      <w:r>
        <w:rPr>
          <w:rFonts w:hint="eastAsia" w:ascii="宋体" w:hAnsi="宋体"/>
          <w:color w:val="auto"/>
          <w:sz w:val="24"/>
          <w:szCs w:val="24"/>
          <w:highlight w:val="none"/>
        </w:rPr>
        <w:t>1.项目编号：</w:t>
      </w:r>
      <w:r>
        <w:rPr>
          <w:rFonts w:ascii="宋体" w:hAnsi="宋体" w:eastAsia="宋体" w:cs="宋体"/>
          <w:color w:val="auto"/>
          <w:sz w:val="24"/>
          <w:szCs w:val="24"/>
          <w:highlight w:val="none"/>
        </w:rPr>
        <w:t>2021WLBLZB00</w:t>
      </w:r>
      <w:r>
        <w:rPr>
          <w:rFonts w:hint="eastAsia" w:ascii="宋体" w:hAnsi="宋体" w:cs="宋体"/>
          <w:color w:val="auto"/>
          <w:sz w:val="24"/>
          <w:szCs w:val="24"/>
          <w:highlight w:val="none"/>
          <w:lang w:val="en-US" w:eastAsia="zh-CN"/>
        </w:rPr>
        <w:t>99</w:t>
      </w:r>
      <w:r>
        <w:rPr>
          <w:rFonts w:ascii="宋体" w:hAnsi="宋体" w:eastAsia="宋体" w:cs="宋体"/>
          <w:color w:val="auto"/>
          <w:sz w:val="24"/>
          <w:szCs w:val="24"/>
          <w:highlight w:val="none"/>
        </w:rPr>
        <w:t>号</w:t>
      </w:r>
    </w:p>
    <w:p>
      <w:pPr>
        <w:autoSpaceDE w:val="0"/>
        <w:autoSpaceDN w:val="0"/>
        <w:adjustRightInd w:val="0"/>
        <w:spacing w:line="360" w:lineRule="auto"/>
        <w:ind w:firstLine="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2.项目名称：</w:t>
      </w:r>
      <w:r>
        <w:rPr>
          <w:rFonts w:ascii="宋体" w:hAnsi="宋体" w:eastAsia="宋体" w:cs="宋体"/>
          <w:color w:val="auto"/>
          <w:sz w:val="24"/>
          <w:szCs w:val="24"/>
          <w:highlight w:val="none"/>
        </w:rPr>
        <w:t>合肥政文国际会展管理有限公司两馆电梯维保</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二次</w:t>
      </w:r>
      <w:r>
        <w:rPr>
          <w:rFonts w:hint="eastAsia" w:ascii="宋体" w:hAnsi="宋体"/>
          <w:color w:val="auto"/>
          <w:sz w:val="24"/>
          <w:szCs w:val="24"/>
          <w:highlight w:val="none"/>
          <w:lang w:eastAsia="zh-CN"/>
        </w:rPr>
        <w:t>）</w:t>
      </w:r>
    </w:p>
    <w:p>
      <w:pPr>
        <w:autoSpaceDE w:val="0"/>
        <w:autoSpaceDN w:val="0"/>
        <w:adjustRightInd w:val="0"/>
        <w:spacing w:line="360" w:lineRule="auto"/>
        <w:ind w:firstLine="200"/>
        <w:jc w:val="left"/>
        <w:rPr>
          <w:rFonts w:ascii="宋体" w:hAnsi="宋体" w:eastAsia="宋体" w:cs="宋体"/>
          <w:color w:val="auto"/>
          <w:sz w:val="24"/>
          <w:szCs w:val="24"/>
          <w:highlight w:val="none"/>
        </w:rPr>
      </w:pPr>
      <w:r>
        <w:rPr>
          <w:rFonts w:hint="eastAsia" w:ascii="宋体" w:hAnsi="宋体"/>
          <w:color w:val="auto"/>
          <w:sz w:val="24"/>
          <w:szCs w:val="24"/>
          <w:highlight w:val="none"/>
        </w:rPr>
        <w:t>3.项目单位：</w:t>
      </w:r>
      <w:r>
        <w:rPr>
          <w:rFonts w:ascii="宋体" w:hAnsi="宋体" w:eastAsia="宋体" w:cs="宋体"/>
          <w:color w:val="auto"/>
          <w:sz w:val="24"/>
          <w:szCs w:val="24"/>
          <w:highlight w:val="none"/>
        </w:rPr>
        <w:t>合肥政文国际会展管理有限公司</w:t>
      </w:r>
    </w:p>
    <w:p>
      <w:pPr>
        <w:autoSpaceDE w:val="0"/>
        <w:autoSpaceDN w:val="0"/>
        <w:adjustRightInd w:val="0"/>
        <w:spacing w:line="360" w:lineRule="auto"/>
        <w:ind w:firstLine="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4.项目概况：</w:t>
      </w:r>
      <w:r>
        <w:rPr>
          <w:rFonts w:hint="eastAsia" w:ascii="宋体" w:hAnsi="宋体" w:eastAsia="宋体" w:cs="宋体"/>
          <w:color w:val="auto"/>
          <w:sz w:val="24"/>
          <w:szCs w:val="24"/>
          <w:highlight w:val="none"/>
          <w:lang w:eastAsia="zh-CN"/>
        </w:rPr>
        <w:t>滨湖国际会展中心和安徽国际会展中心共有</w:t>
      </w:r>
      <w:r>
        <w:rPr>
          <w:rFonts w:hint="eastAsia" w:ascii="宋体" w:hAnsi="宋体" w:eastAsia="宋体" w:cs="宋体"/>
          <w:color w:val="auto"/>
          <w:sz w:val="24"/>
          <w:szCs w:val="24"/>
          <w:highlight w:val="none"/>
          <w:lang w:val="en-US" w:eastAsia="zh-CN"/>
        </w:rPr>
        <w:t>18台蒂升电梯和4台通力电梯需要确立维保单位。</w:t>
      </w:r>
    </w:p>
    <w:p>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auto"/>
          <w:sz w:val="24"/>
          <w:szCs w:val="18"/>
          <w:highlight w:val="none"/>
          <w:lang w:val="en-US" w:eastAsia="zh-CN"/>
        </w:rPr>
        <w:t>5</w:t>
      </w:r>
      <w:r>
        <w:rPr>
          <w:rFonts w:hint="eastAsia" w:ascii="宋体" w:hAnsi="宋体"/>
          <w:color w:val="auto"/>
          <w:sz w:val="24"/>
          <w:szCs w:val="18"/>
          <w:highlight w:val="none"/>
        </w:rPr>
        <w:t>.项目地点：</w:t>
      </w:r>
      <w:r>
        <w:rPr>
          <w:rFonts w:hint="eastAsia" w:ascii="宋体" w:hAnsi="宋体"/>
          <w:color w:val="auto"/>
          <w:sz w:val="24"/>
          <w:szCs w:val="18"/>
          <w:highlight w:val="none"/>
          <w:lang w:eastAsia="zh-CN"/>
        </w:rPr>
        <w:t>滨湖国际会展中心和</w:t>
      </w:r>
      <w:r>
        <w:rPr>
          <w:rFonts w:hint="eastAsia" w:ascii="宋体" w:hAnsi="宋体" w:cs="宋体"/>
          <w:color w:val="auto"/>
          <w:kern w:val="0"/>
          <w:sz w:val="24"/>
          <w:highlight w:val="none"/>
        </w:rPr>
        <w:t>安徽国际会展中心</w:t>
      </w:r>
    </w:p>
    <w:p>
      <w:pPr>
        <w:autoSpaceDE w:val="0"/>
        <w:autoSpaceDN w:val="0"/>
        <w:adjustRightInd w:val="0"/>
        <w:spacing w:line="360" w:lineRule="auto"/>
        <w:ind w:firstLine="20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.项目概算：</w:t>
      </w:r>
      <w:r>
        <w:rPr>
          <w:rFonts w:hint="eastAsia" w:ascii="宋体" w:hAnsi="宋体"/>
          <w:color w:val="auto"/>
          <w:sz w:val="24"/>
          <w:szCs w:val="18"/>
          <w:highlight w:val="none"/>
          <w:lang w:val="en-US" w:eastAsia="zh-CN"/>
        </w:rPr>
        <w:t>13.2</w:t>
      </w:r>
      <w:r>
        <w:rPr>
          <w:rFonts w:hint="eastAsia" w:ascii="宋体" w:hAnsi="宋体"/>
          <w:color w:val="auto"/>
          <w:sz w:val="24"/>
          <w:szCs w:val="18"/>
          <w:highlight w:val="none"/>
        </w:rPr>
        <w:t>万元</w:t>
      </w:r>
      <w:r>
        <w:rPr>
          <w:rFonts w:hint="eastAsia" w:ascii="宋体" w:hAnsi="宋体"/>
          <w:color w:val="auto"/>
          <w:sz w:val="24"/>
          <w:szCs w:val="18"/>
          <w:highlight w:val="none"/>
          <w:lang w:val="en-US" w:eastAsia="zh-CN"/>
        </w:rPr>
        <w:t>/每年</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autoSpaceDE w:val="0"/>
        <w:autoSpaceDN w:val="0"/>
        <w:adjustRightInd w:val="0"/>
        <w:spacing w:line="500" w:lineRule="exact"/>
        <w:ind w:firstLine="240" w:firstLineChars="100"/>
        <w:rPr>
          <w:rFonts w:hint="eastAsia" w:ascii="宋体" w:hAnsi="宋体"/>
          <w:color w:val="auto"/>
          <w:sz w:val="24"/>
          <w:szCs w:val="18"/>
          <w:highlight w:val="none"/>
        </w:rPr>
      </w:pPr>
      <w:r>
        <w:rPr>
          <w:rFonts w:hint="eastAsia" w:ascii="宋体" w:hAnsi="宋体"/>
          <w:color w:val="auto"/>
          <w:sz w:val="24"/>
          <w:szCs w:val="18"/>
          <w:highlight w:val="none"/>
        </w:rPr>
        <w:t>1.具有独立承担民事责任的能力法人或其他组织；</w:t>
      </w:r>
    </w:p>
    <w:p>
      <w:pPr>
        <w:autoSpaceDE w:val="0"/>
        <w:autoSpaceDN w:val="0"/>
        <w:adjustRightInd w:val="0"/>
        <w:spacing w:line="500" w:lineRule="exact"/>
        <w:ind w:firstLine="240" w:firstLineChars="100"/>
        <w:rPr>
          <w:rFonts w:hint="eastAsia" w:ascii="宋体" w:hAnsi="宋体"/>
          <w:color w:val="auto"/>
          <w:sz w:val="24"/>
          <w:szCs w:val="18"/>
          <w:highlight w:val="none"/>
        </w:rPr>
      </w:pPr>
      <w:r>
        <w:rPr>
          <w:rFonts w:hint="eastAsia" w:ascii="宋体" w:hAnsi="宋体"/>
          <w:color w:val="auto"/>
          <w:sz w:val="24"/>
          <w:szCs w:val="18"/>
          <w:highlight w:val="none"/>
        </w:rPr>
        <w:t>2.</w:t>
      </w:r>
      <w:r>
        <w:rPr>
          <w:rFonts w:hint="eastAsia" w:ascii="宋体" w:hAnsi="宋体"/>
          <w:color w:val="auto"/>
          <w:sz w:val="24"/>
          <w:szCs w:val="18"/>
          <w:highlight w:val="none"/>
          <w:lang w:val="en-US" w:eastAsia="zh-CN"/>
        </w:rPr>
        <w:t>具有特种设备生产许可证</w:t>
      </w:r>
      <w:bookmarkStart w:id="185" w:name="_GoBack"/>
      <w:bookmarkEnd w:id="185"/>
      <w:r>
        <w:rPr>
          <w:rFonts w:hint="eastAsia" w:ascii="宋体" w:hAnsi="宋体"/>
          <w:color w:val="auto"/>
          <w:sz w:val="24"/>
          <w:szCs w:val="18"/>
          <w:highlight w:val="none"/>
          <w:lang w:val="en-US" w:eastAsia="zh-CN"/>
        </w:rPr>
        <w:t>：电梯安装（含修理）A</w:t>
      </w:r>
      <w:r>
        <w:rPr>
          <w:rFonts w:hint="eastAsia" w:ascii="宋体" w:hAnsi="宋体"/>
          <w:color w:val="auto"/>
          <w:sz w:val="24"/>
          <w:szCs w:val="18"/>
          <w:highlight w:val="none"/>
        </w:rPr>
        <w:t>级</w:t>
      </w:r>
      <w:r>
        <w:rPr>
          <w:rFonts w:hint="eastAsia" w:ascii="宋体" w:hAnsi="宋体"/>
          <w:color w:val="auto"/>
          <w:sz w:val="24"/>
          <w:szCs w:val="18"/>
          <w:highlight w:val="none"/>
          <w:lang w:val="en-US" w:eastAsia="zh-CN"/>
        </w:rPr>
        <w:t>及</w:t>
      </w:r>
      <w:r>
        <w:rPr>
          <w:rFonts w:hint="eastAsia" w:ascii="宋体" w:hAnsi="宋体"/>
          <w:color w:val="auto"/>
          <w:sz w:val="24"/>
          <w:szCs w:val="18"/>
          <w:highlight w:val="none"/>
          <w:lang w:eastAsia="zh-CN"/>
        </w:rPr>
        <w:t>以上</w:t>
      </w:r>
      <w:r>
        <w:rPr>
          <w:rFonts w:hint="eastAsia" w:ascii="宋体" w:hAnsi="宋体"/>
          <w:color w:val="auto"/>
          <w:sz w:val="24"/>
          <w:szCs w:val="18"/>
          <w:highlight w:val="none"/>
        </w:rPr>
        <w:t>资质；</w:t>
      </w:r>
    </w:p>
    <w:p>
      <w:pPr>
        <w:autoSpaceDE w:val="0"/>
        <w:autoSpaceDN w:val="0"/>
        <w:adjustRightInd w:val="0"/>
        <w:spacing w:line="500" w:lineRule="exact"/>
        <w:ind w:firstLine="240" w:firstLineChars="100"/>
        <w:rPr>
          <w:rFonts w:hint="eastAsia" w:ascii="宋体" w:hAnsi="宋体"/>
          <w:color w:val="auto"/>
          <w:sz w:val="24"/>
          <w:szCs w:val="18"/>
          <w:highlight w:val="none"/>
        </w:rPr>
      </w:pPr>
      <w:r>
        <w:rPr>
          <w:rFonts w:hint="eastAsia" w:ascii="宋体" w:hAnsi="宋体"/>
          <w:color w:val="auto"/>
          <w:sz w:val="24"/>
          <w:szCs w:val="18"/>
          <w:highlight w:val="none"/>
          <w:lang w:val="en-US" w:eastAsia="zh-CN"/>
        </w:rPr>
        <w:t>3.</w:t>
      </w:r>
      <w:r>
        <w:rPr>
          <w:rFonts w:hint="eastAsia" w:ascii="宋体" w:hAnsi="宋体"/>
          <w:color w:val="auto"/>
          <w:sz w:val="24"/>
          <w:szCs w:val="18"/>
          <w:highlight w:val="none"/>
        </w:rPr>
        <w:t>本项目不接受联合体投标；</w:t>
      </w:r>
    </w:p>
    <w:p>
      <w:pPr>
        <w:tabs>
          <w:tab w:val="left" w:pos="2410"/>
        </w:tabs>
        <w:autoSpaceDE w:val="0"/>
        <w:autoSpaceDN w:val="0"/>
        <w:adjustRightInd w:val="0"/>
        <w:snapToGrid w:val="0"/>
        <w:spacing w:line="46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.符合下列情形之一：</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lang w:val="en-US" w:eastAsia="zh-CN"/>
        </w:rPr>
        <w:t>5</w:t>
      </w:r>
      <w:r>
        <w:rPr>
          <w:rFonts w:hint="eastAsia" w:ascii="宋体" w:hAnsi="宋体"/>
          <w:color w:val="auto"/>
          <w:sz w:val="24"/>
          <w:szCs w:val="18"/>
          <w:highlight w:val="none"/>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日上午09:00至202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rPr>
        <w:t>日下午17:00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2.领取方法：登录合肥文旅博览集团有限公司网站</w:t>
      </w:r>
      <w:r>
        <w:rPr>
          <w:rFonts w:ascii="宋体" w:hAnsi="宋体" w:cs="宋体"/>
          <w:color w:val="auto"/>
          <w:kern w:val="0"/>
          <w:sz w:val="24"/>
          <w:szCs w:val="24"/>
          <w:highlight w:val="none"/>
        </w:rPr>
        <w:t>http://www.zwzcgl.com</w:t>
      </w:r>
      <w:r>
        <w:rPr>
          <w:rFonts w:hint="eastAsia" w:ascii="宋体" w:hAnsi="宋体" w:cs="宋体"/>
          <w:color w:val="auto"/>
          <w:kern w:val="0"/>
          <w:sz w:val="24"/>
          <w:szCs w:val="24"/>
          <w:highlight w:val="none"/>
        </w:rPr>
        <w:t>下载标书</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color w:val="auto"/>
          <w:highlight w:val="none"/>
        </w:rPr>
        <w:fldChar w:fldCharType="begin"/>
      </w:r>
      <w:r>
        <w:rPr>
          <w:color w:val="auto"/>
          <w:highlight w:val="none"/>
        </w:rPr>
        <w:instrText xml:space="preserve"> HYPERLINK "mailto:120156961@qq.com" </w:instrText>
      </w:r>
      <w:r>
        <w:rPr>
          <w:color w:val="auto"/>
          <w:highlight w:val="none"/>
        </w:rPr>
        <w:fldChar w:fldCharType="separate"/>
      </w:r>
      <w:r>
        <w:rPr>
          <w:rFonts w:hint="eastAsia" w:cs="宋体"/>
          <w:color w:val="auto"/>
          <w:kern w:val="0"/>
          <w:sz w:val="24"/>
          <w:szCs w:val="24"/>
          <w:highlight w:val="none"/>
          <w:lang w:val="en-US" w:eastAsia="zh-CN"/>
        </w:rPr>
        <w:t>361923526</w:t>
      </w:r>
      <w:r>
        <w:rPr>
          <w:rFonts w:hint="eastAsia" w:cs="宋体"/>
          <w:color w:val="auto"/>
          <w:kern w:val="0"/>
          <w:sz w:val="24"/>
          <w:szCs w:val="24"/>
          <w:highlight w:val="none"/>
        </w:rPr>
        <w:t>@qq.com</w:t>
      </w:r>
      <w:r>
        <w:rPr>
          <w:rFonts w:hint="eastAsia" w:cs="宋体"/>
          <w:color w:val="auto"/>
          <w:kern w:val="0"/>
          <w:sz w:val="24"/>
          <w:szCs w:val="24"/>
          <w:highlight w:val="none"/>
        </w:rPr>
        <w:fldChar w:fldCharType="end"/>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五、开标时间及地点</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1.开标时间：202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日上午9：00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2.开标地点：合肥市蜀山区习友路与茂荫路交口投资大厦3楼多功能厅</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六、投标截止时间</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日上午9：00</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址：合肥市蜀山区习友路与茂荫路交口投资大厦</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汪</w:t>
      </w:r>
      <w:r>
        <w:rPr>
          <w:rFonts w:hint="eastAsia" w:ascii="宋体" w:hAnsi="宋体" w:cs="宋体"/>
          <w:color w:val="auto"/>
          <w:kern w:val="0"/>
          <w:sz w:val="24"/>
          <w:szCs w:val="24"/>
          <w:highlight w:val="none"/>
        </w:rPr>
        <w:t>工   电话：0551-63530687</w:t>
      </w:r>
    </w:p>
    <w:p>
      <w:pPr>
        <w:pStyle w:val="4"/>
        <w:spacing w:before="0" w:line="500" w:lineRule="exact"/>
        <w:ind w:firstLine="0"/>
        <w:rPr>
          <w:rFonts w:ascii="宋体" w:hAnsi="宋体" w:eastAsia="宋体"/>
          <w:color w:val="auto"/>
          <w:highlight w:val="none"/>
        </w:rPr>
      </w:pPr>
      <w:r>
        <w:rPr>
          <w:rFonts w:ascii="宋体" w:hAnsi="宋体" w:eastAsia="宋体"/>
          <w:color w:val="auto"/>
          <w:sz w:val="24"/>
          <w:szCs w:val="24"/>
          <w:highlight w:val="none"/>
        </w:rPr>
        <w:br w:type="page"/>
      </w:r>
      <w:bookmarkStart w:id="8" w:name="_Toc1806"/>
      <w:bookmarkStart w:id="9" w:name="_Toc32306253"/>
      <w:r>
        <w:rPr>
          <w:rFonts w:hint="eastAsia" w:ascii="宋体" w:hAnsi="宋体" w:eastAsia="宋体"/>
          <w:color w:val="auto"/>
          <w:highlight w:val="none"/>
        </w:rPr>
        <w:t>第二章 投标人须</w:t>
      </w:r>
      <w:bookmarkEnd w:id="6"/>
      <w:r>
        <w:rPr>
          <w:rFonts w:hint="eastAsia" w:ascii="宋体" w:hAnsi="宋体" w:eastAsia="宋体"/>
          <w:color w:val="auto"/>
          <w:highlight w:val="none"/>
        </w:rPr>
        <w:t>知</w:t>
      </w:r>
      <w:bookmarkEnd w:id="7"/>
      <w:r>
        <w:rPr>
          <w:rFonts w:hint="eastAsia" w:ascii="宋体" w:hAnsi="宋体" w:eastAsia="宋体"/>
          <w:color w:val="auto"/>
          <w:highlight w:val="none"/>
        </w:rPr>
        <w:t>前附表</w:t>
      </w:r>
      <w:bookmarkEnd w:id="8"/>
      <w:bookmarkEnd w:id="9"/>
    </w:p>
    <w:tbl>
      <w:tblPr>
        <w:tblStyle w:val="66"/>
        <w:tblW w:w="1033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1"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1418" w:type="dxa"/>
            <w:vAlign w:val="center"/>
          </w:tcPr>
          <w:p>
            <w:pPr>
              <w:jc w:val="center"/>
              <w:rPr>
                <w:rFonts w:ascii="宋体" w:hAnsi="宋体"/>
                <w:b/>
                <w:color w:val="auto"/>
                <w:sz w:val="24"/>
                <w:highlight w:val="none"/>
              </w:rPr>
            </w:pPr>
            <w:r>
              <w:rPr>
                <w:rFonts w:hint="eastAsia" w:ascii="宋体" w:hAnsi="宋体"/>
                <w:b/>
                <w:color w:val="auto"/>
                <w:sz w:val="24"/>
                <w:highlight w:val="none"/>
              </w:rPr>
              <w:t>内容</w:t>
            </w:r>
          </w:p>
        </w:tc>
        <w:tc>
          <w:tcPr>
            <w:tcW w:w="8069" w:type="dxa"/>
            <w:vAlign w:val="center"/>
          </w:tcPr>
          <w:p>
            <w:pPr>
              <w:pStyle w:val="116"/>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auto"/>
                <w:kern w:val="2"/>
                <w:highlight w:val="none"/>
              </w:rPr>
            </w:pPr>
            <w:r>
              <w:rPr>
                <w:rFonts w:hint="eastAsia" w:ascii="宋体" w:hAnsi="宋体"/>
                <w:bCs/>
                <w:color w:val="auto"/>
                <w:kern w:val="2"/>
                <w:highlight w:val="none"/>
              </w:rPr>
              <w:t>1</w:t>
            </w:r>
          </w:p>
        </w:tc>
        <w:tc>
          <w:tcPr>
            <w:tcW w:w="1418" w:type="dxa"/>
            <w:vAlign w:val="center"/>
          </w:tcPr>
          <w:p>
            <w:pPr>
              <w:jc w:val="center"/>
              <w:rPr>
                <w:rFonts w:ascii="宋体" w:hAnsi="宋体"/>
                <w:bCs/>
                <w:color w:val="auto"/>
                <w:sz w:val="24"/>
                <w:highlight w:val="none"/>
              </w:rPr>
            </w:pPr>
            <w:r>
              <w:rPr>
                <w:rFonts w:hint="eastAsia" w:ascii="宋体" w:hAnsi="宋体"/>
                <w:bCs/>
                <w:color w:val="auto"/>
                <w:sz w:val="24"/>
                <w:highlight w:val="none"/>
              </w:rPr>
              <w:t>招标人</w:t>
            </w:r>
          </w:p>
        </w:tc>
        <w:tc>
          <w:tcPr>
            <w:tcW w:w="8069" w:type="dxa"/>
            <w:vAlign w:val="center"/>
          </w:tcPr>
          <w:p>
            <w:pPr>
              <w:pStyle w:val="116"/>
              <w:widowControl w:val="0"/>
              <w:spacing w:before="0" w:beforeAutospacing="0" w:after="0" w:afterAutospacing="0"/>
              <w:jc w:val="both"/>
              <w:rPr>
                <w:b w:val="0"/>
                <w:color w:val="auto"/>
                <w:kern w:val="2"/>
                <w:sz w:val="24"/>
                <w:szCs w:val="20"/>
                <w:highlight w:val="none"/>
              </w:rPr>
            </w:pPr>
            <w:r>
              <w:rPr>
                <w:rFonts w:hint="eastAsia"/>
                <w:b w:val="0"/>
                <w:color w:val="auto"/>
                <w:kern w:val="2"/>
                <w:sz w:val="24"/>
                <w:szCs w:val="20"/>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auto"/>
                <w:kern w:val="2"/>
                <w:highlight w:val="none"/>
              </w:rPr>
            </w:pPr>
            <w:r>
              <w:rPr>
                <w:rFonts w:hint="eastAsia" w:ascii="宋体" w:hAnsi="宋体"/>
                <w:bCs/>
                <w:color w:val="auto"/>
                <w:kern w:val="2"/>
                <w:highlight w:val="none"/>
              </w:rPr>
              <w:t>2</w:t>
            </w:r>
          </w:p>
        </w:tc>
        <w:tc>
          <w:tcPr>
            <w:tcW w:w="1418" w:type="dxa"/>
            <w:vAlign w:val="center"/>
          </w:tcPr>
          <w:p>
            <w:pPr>
              <w:jc w:val="center"/>
              <w:rPr>
                <w:rFonts w:ascii="宋体" w:hAnsi="宋体"/>
                <w:bCs/>
                <w:color w:val="auto"/>
                <w:sz w:val="24"/>
                <w:highlight w:val="none"/>
              </w:rPr>
            </w:pPr>
            <w:r>
              <w:rPr>
                <w:rFonts w:hint="eastAsia" w:ascii="宋体" w:hAnsi="宋体"/>
                <w:bCs/>
                <w:color w:val="auto"/>
                <w:sz w:val="24"/>
                <w:highlight w:val="none"/>
              </w:rPr>
              <w:t>委托人</w:t>
            </w:r>
          </w:p>
        </w:tc>
        <w:tc>
          <w:tcPr>
            <w:tcW w:w="8069" w:type="dxa"/>
            <w:vAlign w:val="center"/>
          </w:tcPr>
          <w:p>
            <w:pPr>
              <w:pStyle w:val="116"/>
              <w:widowControl w:val="0"/>
              <w:spacing w:before="0" w:beforeAutospacing="0" w:after="0" w:afterAutospacing="0"/>
              <w:jc w:val="both"/>
              <w:rPr>
                <w:rFonts w:hint="eastAsia"/>
                <w:b w:val="0"/>
                <w:color w:val="auto"/>
                <w:kern w:val="2"/>
                <w:sz w:val="24"/>
                <w:szCs w:val="20"/>
                <w:highlight w:val="none"/>
              </w:rPr>
            </w:pPr>
            <w:r>
              <w:rPr>
                <w:rFonts w:hint="eastAsia"/>
                <w:b w:val="0"/>
                <w:color w:val="auto"/>
                <w:kern w:val="2"/>
                <w:sz w:val="24"/>
                <w:szCs w:val="20"/>
                <w:highlight w:val="none"/>
              </w:rPr>
              <w:t>合肥政文国际会展管理有限公司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851" w:type="dxa"/>
            <w:vAlign w:val="center"/>
          </w:tcPr>
          <w:p>
            <w:pPr>
              <w:jc w:val="center"/>
              <w:rPr>
                <w:rFonts w:ascii="宋体" w:hAnsi="宋体"/>
                <w:bCs/>
                <w:color w:val="auto"/>
                <w:sz w:val="24"/>
                <w:highlight w:val="none"/>
              </w:rPr>
            </w:pPr>
            <w:r>
              <w:rPr>
                <w:rFonts w:hint="eastAsia" w:ascii="宋体" w:hAnsi="宋体"/>
                <w:bCs/>
                <w:color w:val="auto"/>
                <w:sz w:val="24"/>
                <w:highlight w:val="none"/>
              </w:rPr>
              <w:t>3</w:t>
            </w:r>
          </w:p>
        </w:tc>
        <w:tc>
          <w:tcPr>
            <w:tcW w:w="1418" w:type="dxa"/>
            <w:vAlign w:val="center"/>
          </w:tcPr>
          <w:p>
            <w:pPr>
              <w:pStyle w:val="116"/>
              <w:widowControl w:val="0"/>
              <w:spacing w:before="0" w:beforeAutospacing="0" w:after="0" w:afterAutospacing="0"/>
              <w:jc w:val="both"/>
              <w:rPr>
                <w:b w:val="0"/>
                <w:color w:val="auto"/>
                <w:kern w:val="2"/>
                <w:sz w:val="24"/>
                <w:szCs w:val="20"/>
                <w:highlight w:val="none"/>
              </w:rPr>
            </w:pPr>
            <w:r>
              <w:rPr>
                <w:rFonts w:hint="eastAsia"/>
                <w:b w:val="0"/>
                <w:color w:val="auto"/>
                <w:kern w:val="2"/>
                <w:sz w:val="24"/>
                <w:szCs w:val="20"/>
                <w:highlight w:val="none"/>
              </w:rPr>
              <w:t>项目名称</w:t>
            </w:r>
          </w:p>
        </w:tc>
        <w:tc>
          <w:tcPr>
            <w:tcW w:w="8069" w:type="dxa"/>
            <w:vAlign w:val="center"/>
          </w:tcPr>
          <w:p>
            <w:pPr>
              <w:pStyle w:val="116"/>
              <w:widowControl w:val="0"/>
              <w:spacing w:before="0" w:beforeAutospacing="0" w:after="0" w:afterAutospacing="0"/>
              <w:jc w:val="both"/>
              <w:rPr>
                <w:rFonts w:hint="eastAsia"/>
                <w:b w:val="0"/>
                <w:color w:val="auto"/>
                <w:kern w:val="2"/>
                <w:sz w:val="24"/>
                <w:szCs w:val="20"/>
                <w:highlight w:val="none"/>
              </w:rPr>
            </w:pPr>
            <w:r>
              <w:rPr>
                <w:rFonts w:hint="eastAsia"/>
                <w:b w:val="0"/>
                <w:color w:val="auto"/>
                <w:kern w:val="2"/>
                <w:sz w:val="24"/>
                <w:szCs w:val="20"/>
                <w:highlight w:val="none"/>
              </w:rPr>
              <w:t>合肥政文国际会展管理有限公司两馆电梯维保项目</w:t>
            </w:r>
            <w:r>
              <w:rPr>
                <w:rFonts w:hint="eastAsia"/>
                <w:b w:val="0"/>
                <w:color w:val="auto"/>
                <w:kern w:val="2"/>
                <w:sz w:val="24"/>
                <w:szCs w:val="20"/>
                <w:highlight w:val="none"/>
                <w:lang w:eastAsia="zh-CN"/>
              </w:rPr>
              <w:t>（</w:t>
            </w:r>
            <w:r>
              <w:rPr>
                <w:rFonts w:hint="eastAsia"/>
                <w:b w:val="0"/>
                <w:color w:val="auto"/>
                <w:kern w:val="2"/>
                <w:sz w:val="24"/>
                <w:szCs w:val="20"/>
                <w:highlight w:val="none"/>
                <w:lang w:val="en-US" w:eastAsia="zh-CN"/>
              </w:rPr>
              <w:t>二次</w:t>
            </w:r>
            <w:r>
              <w:rPr>
                <w:rFonts w:hint="eastAsia"/>
                <w:b w:val="0"/>
                <w:color w:val="auto"/>
                <w:kern w:val="2"/>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1" w:type="dxa"/>
            <w:vAlign w:val="center"/>
          </w:tcPr>
          <w:p>
            <w:pPr>
              <w:jc w:val="center"/>
              <w:rPr>
                <w:rFonts w:ascii="宋体" w:hAnsi="宋体"/>
                <w:bCs/>
                <w:color w:val="auto"/>
                <w:sz w:val="24"/>
                <w:highlight w:val="none"/>
              </w:rPr>
            </w:pPr>
            <w:r>
              <w:rPr>
                <w:rFonts w:hint="eastAsia" w:ascii="宋体" w:hAnsi="宋体"/>
                <w:bCs/>
                <w:color w:val="auto"/>
                <w:sz w:val="24"/>
                <w:highlight w:val="none"/>
              </w:rPr>
              <w:t>4</w:t>
            </w:r>
          </w:p>
        </w:tc>
        <w:tc>
          <w:tcPr>
            <w:tcW w:w="1418" w:type="dxa"/>
            <w:vAlign w:val="center"/>
          </w:tcPr>
          <w:p>
            <w:pPr>
              <w:jc w:val="center"/>
              <w:rPr>
                <w:rFonts w:ascii="宋体" w:hAnsi="宋体"/>
                <w:color w:val="auto"/>
                <w:sz w:val="24"/>
                <w:highlight w:val="none"/>
              </w:rPr>
            </w:pPr>
            <w:r>
              <w:rPr>
                <w:rFonts w:hint="eastAsia" w:ascii="宋体" w:hAnsi="宋体"/>
                <w:color w:val="auto"/>
                <w:sz w:val="24"/>
                <w:highlight w:val="none"/>
              </w:rPr>
              <w:t>项目编号</w:t>
            </w:r>
          </w:p>
        </w:tc>
        <w:tc>
          <w:tcPr>
            <w:tcW w:w="8069" w:type="dxa"/>
            <w:vAlign w:val="center"/>
          </w:tcPr>
          <w:p>
            <w:pPr>
              <w:autoSpaceDE w:val="0"/>
              <w:autoSpaceDN w:val="0"/>
              <w:adjustRightInd w:val="0"/>
              <w:spacing w:line="360" w:lineRule="auto"/>
              <w:jc w:val="left"/>
              <w:rPr>
                <w:rFonts w:ascii="宋体" w:hAnsi="宋体"/>
                <w:color w:val="auto"/>
                <w:sz w:val="24"/>
                <w:szCs w:val="24"/>
                <w:highlight w:val="none"/>
              </w:rPr>
            </w:pPr>
            <w:r>
              <w:rPr>
                <w:rFonts w:ascii="宋体" w:hAnsi="宋体" w:eastAsia="宋体" w:cs="宋体"/>
                <w:color w:val="auto"/>
                <w:sz w:val="24"/>
                <w:szCs w:val="24"/>
                <w:highlight w:val="none"/>
              </w:rPr>
              <w:t>2021WLBLZB00</w:t>
            </w:r>
            <w:r>
              <w:rPr>
                <w:rFonts w:hint="eastAsia" w:ascii="宋体" w:hAnsi="宋体" w:cs="宋体"/>
                <w:color w:val="auto"/>
                <w:sz w:val="24"/>
                <w:szCs w:val="24"/>
                <w:highlight w:val="none"/>
                <w:lang w:val="en-US" w:eastAsia="zh-CN"/>
              </w:rPr>
              <w:t>99</w:t>
            </w:r>
            <w:r>
              <w:rPr>
                <w:rFonts w:hint="eastAsia" w:ascii="宋体" w:hAnsi="宋体"/>
                <w:color w:val="auto"/>
                <w:sz w:val="24"/>
                <w:szCs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1" w:type="dxa"/>
            <w:vAlign w:val="center"/>
          </w:tcPr>
          <w:p>
            <w:pPr>
              <w:jc w:val="center"/>
              <w:rPr>
                <w:rFonts w:ascii="宋体" w:hAnsi="宋体"/>
                <w:bCs/>
                <w:color w:val="auto"/>
                <w:sz w:val="24"/>
                <w:highlight w:val="none"/>
              </w:rPr>
            </w:pPr>
            <w:r>
              <w:rPr>
                <w:rFonts w:hint="eastAsia" w:ascii="宋体" w:hAnsi="宋体"/>
                <w:bCs/>
                <w:color w:val="auto"/>
                <w:sz w:val="24"/>
                <w:highlight w:val="none"/>
              </w:rPr>
              <w:t>5</w:t>
            </w:r>
          </w:p>
        </w:tc>
        <w:tc>
          <w:tcPr>
            <w:tcW w:w="1418" w:type="dxa"/>
            <w:vAlign w:val="center"/>
          </w:tcPr>
          <w:p>
            <w:pPr>
              <w:jc w:val="center"/>
              <w:rPr>
                <w:rFonts w:ascii="宋体" w:hAnsi="宋体"/>
                <w:color w:val="auto"/>
                <w:sz w:val="24"/>
                <w:highlight w:val="none"/>
              </w:rPr>
            </w:pPr>
            <w:r>
              <w:rPr>
                <w:rFonts w:hint="eastAsia" w:ascii="宋体" w:hAnsi="宋体"/>
                <w:color w:val="auto"/>
                <w:sz w:val="24"/>
                <w:highlight w:val="none"/>
              </w:rPr>
              <w:t>项目性质</w:t>
            </w:r>
          </w:p>
        </w:tc>
        <w:tc>
          <w:tcPr>
            <w:tcW w:w="8069" w:type="dxa"/>
            <w:vAlign w:val="center"/>
          </w:tcPr>
          <w:p>
            <w:pPr>
              <w:autoSpaceDE w:val="0"/>
              <w:autoSpaceDN w:val="0"/>
              <w:adjustRightInd w:val="0"/>
              <w:spacing w:line="360" w:lineRule="auto"/>
              <w:jc w:val="left"/>
              <w:rPr>
                <w:rFonts w:ascii="宋体" w:hAnsi="宋体"/>
                <w:color w:val="auto"/>
                <w:sz w:val="24"/>
                <w:szCs w:val="24"/>
                <w:highlight w:val="none"/>
              </w:rPr>
            </w:pPr>
            <w:r>
              <w:rPr>
                <w:rFonts w:hint="eastAsia"/>
                <w:bCs/>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1" w:type="dxa"/>
            <w:vAlign w:val="center"/>
          </w:tcPr>
          <w:p>
            <w:pPr>
              <w:jc w:val="center"/>
              <w:rPr>
                <w:rFonts w:ascii="宋体" w:hAnsi="宋体"/>
                <w:bCs/>
                <w:color w:val="auto"/>
                <w:sz w:val="24"/>
                <w:highlight w:val="none"/>
              </w:rPr>
            </w:pPr>
            <w:r>
              <w:rPr>
                <w:rFonts w:hint="eastAsia" w:ascii="宋体" w:hAnsi="宋体"/>
                <w:bCs/>
                <w:color w:val="auto"/>
                <w:sz w:val="24"/>
                <w:highlight w:val="none"/>
              </w:rPr>
              <w:t>6</w:t>
            </w:r>
          </w:p>
        </w:tc>
        <w:tc>
          <w:tcPr>
            <w:tcW w:w="1418"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lang w:val="zh-CN"/>
              </w:rPr>
              <w:t>付款方式</w:t>
            </w:r>
          </w:p>
        </w:tc>
        <w:tc>
          <w:tcPr>
            <w:tcW w:w="8069" w:type="dxa"/>
          </w:tcPr>
          <w:p>
            <w:pPr>
              <w:numPr>
                <w:ilvl w:val="0"/>
                <w:numId w:val="0"/>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自中标人与委托人签订合同后，中标人完成</w:t>
            </w:r>
            <w:r>
              <w:rPr>
                <w:rFonts w:hint="eastAsia" w:ascii="宋体" w:hAnsi="宋体"/>
                <w:color w:val="auto"/>
                <w:sz w:val="24"/>
                <w:szCs w:val="24"/>
                <w:highlight w:val="none"/>
                <w:lang w:val="en-US" w:eastAsia="zh-CN"/>
              </w:rPr>
              <w:t>电梯维保服务满半年，</w:t>
            </w:r>
            <w:r>
              <w:rPr>
                <w:rFonts w:hint="eastAsia" w:ascii="宋体" w:hAnsi="宋体"/>
                <w:color w:val="auto"/>
                <w:sz w:val="24"/>
                <w:szCs w:val="24"/>
                <w:highlight w:val="none"/>
              </w:rPr>
              <w:t>并经委托人验收合格后</w:t>
            </w:r>
            <w:r>
              <w:rPr>
                <w:rFonts w:hint="eastAsia" w:ascii="宋体" w:hAnsi="宋体"/>
                <w:color w:val="auto"/>
                <w:sz w:val="24"/>
                <w:szCs w:val="24"/>
                <w:highlight w:val="none"/>
                <w:lang w:eastAsia="zh-CN"/>
              </w:rPr>
              <w:t>，</w:t>
            </w:r>
            <w:r>
              <w:rPr>
                <w:rFonts w:hint="eastAsia" w:ascii="宋体" w:hAnsi="宋体"/>
                <w:color w:val="auto"/>
                <w:sz w:val="24"/>
                <w:szCs w:val="18"/>
                <w:highlight w:val="none"/>
                <w:lang w:val="en-US" w:eastAsia="zh-CN"/>
              </w:rPr>
              <w:t>委托人向中标人支付维保费用及更换的材料费（如有）</w:t>
            </w:r>
            <w:r>
              <w:rPr>
                <w:rFonts w:hint="eastAsia" w:ascii="宋体" w:hAnsi="宋体"/>
                <w:color w:val="auto"/>
                <w:sz w:val="24"/>
                <w:szCs w:val="18"/>
                <w:highlight w:val="none"/>
                <w:lang w:eastAsia="zh-CN"/>
              </w:rPr>
              <w:t>。</w:t>
            </w:r>
          </w:p>
          <w:p>
            <w:pPr>
              <w:autoSpaceDE w:val="0"/>
              <w:autoSpaceDN w:val="0"/>
              <w:adjustRightInd w:val="0"/>
              <w:spacing w:line="360" w:lineRule="auto"/>
              <w:jc w:val="left"/>
              <w:rPr>
                <w:rFonts w:ascii="宋体" w:hAnsi="宋体"/>
                <w:color w:val="auto"/>
                <w:highlight w:val="none"/>
                <w:lang w:val="zh-CN"/>
              </w:rPr>
            </w:pPr>
            <w:r>
              <w:rPr>
                <w:rFonts w:hint="eastAsia" w:ascii="宋体" w:hAnsi="宋体"/>
                <w:color w:val="auto"/>
                <w:sz w:val="24"/>
                <w:szCs w:val="24"/>
                <w:highlight w:val="none"/>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51" w:type="dxa"/>
            <w:vAlign w:val="center"/>
          </w:tcPr>
          <w:p>
            <w:pPr>
              <w:spacing w:line="500" w:lineRule="exact"/>
              <w:ind w:right="102"/>
              <w:jc w:val="center"/>
              <w:rPr>
                <w:rFonts w:ascii="宋体" w:hAnsi="宋体"/>
                <w:color w:val="auto"/>
                <w:sz w:val="24"/>
                <w:highlight w:val="none"/>
                <w:lang w:val="zh-CN"/>
              </w:rPr>
            </w:pPr>
            <w:r>
              <w:rPr>
                <w:rFonts w:hint="eastAsia" w:ascii="宋体" w:hAnsi="宋体"/>
                <w:color w:val="auto"/>
                <w:sz w:val="24"/>
                <w:highlight w:val="none"/>
              </w:rPr>
              <w:t>9</w:t>
            </w:r>
          </w:p>
        </w:tc>
        <w:tc>
          <w:tcPr>
            <w:tcW w:w="1418" w:type="dxa"/>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标段划分</w:t>
            </w:r>
          </w:p>
        </w:tc>
        <w:tc>
          <w:tcPr>
            <w:tcW w:w="8069" w:type="dxa"/>
            <w:vAlign w:val="center"/>
          </w:tcPr>
          <w:p>
            <w:pPr>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10</w:t>
            </w:r>
          </w:p>
        </w:tc>
        <w:tc>
          <w:tcPr>
            <w:tcW w:w="1418" w:type="dxa"/>
            <w:vAlign w:val="center"/>
          </w:tcPr>
          <w:p>
            <w:pPr>
              <w:spacing w:line="500" w:lineRule="exact"/>
              <w:ind w:firstLine="120" w:firstLineChars="50"/>
              <w:rPr>
                <w:rFonts w:ascii="宋体" w:hAnsi="宋体"/>
                <w:color w:val="auto"/>
                <w:sz w:val="24"/>
                <w:highlight w:val="none"/>
              </w:rPr>
            </w:pPr>
            <w:r>
              <w:rPr>
                <w:rFonts w:hint="eastAsia" w:ascii="宋体" w:hAnsi="宋体"/>
                <w:color w:val="auto"/>
                <w:sz w:val="24"/>
                <w:highlight w:val="none"/>
              </w:rPr>
              <w:t>合同期限</w:t>
            </w:r>
          </w:p>
        </w:tc>
        <w:tc>
          <w:tcPr>
            <w:tcW w:w="8069" w:type="dxa"/>
            <w:vAlign w:val="center"/>
          </w:tcPr>
          <w:p>
            <w:pPr>
              <w:widowControl/>
              <w:spacing w:line="500" w:lineRule="exact"/>
              <w:jc w:val="left"/>
              <w:rPr>
                <w:rFonts w:ascii="宋体" w:hAnsi="宋体" w:cs="Courier New"/>
                <w:color w:val="auto"/>
                <w:sz w:val="24"/>
                <w:szCs w:val="24"/>
                <w:highlight w:val="none"/>
              </w:rPr>
            </w:pPr>
            <w:r>
              <w:rPr>
                <w:rFonts w:hint="eastAsia" w:ascii="宋体" w:hAnsi="宋体"/>
                <w:color w:val="auto"/>
                <w:sz w:val="24"/>
                <w:highlight w:val="none"/>
              </w:rPr>
              <w:t>合同签订</w:t>
            </w:r>
            <w:r>
              <w:rPr>
                <w:rFonts w:hint="eastAsia" w:ascii="宋体" w:hAnsi="宋体"/>
                <w:color w:val="auto"/>
                <w:sz w:val="24"/>
                <w:highlight w:val="none"/>
                <w:lang w:val="en-US" w:eastAsia="zh-CN"/>
              </w:rPr>
              <w:t>采用1+1模式</w:t>
            </w:r>
            <w:r>
              <w:rPr>
                <w:rFonts w:hint="eastAsia" w:ascii="宋体" w:hAnsi="宋体"/>
                <w:bCs/>
                <w:color w:val="auto"/>
                <w:sz w:val="24"/>
                <w:szCs w:val="24"/>
                <w:highlight w:val="none"/>
                <w:lang w:val="en-US" w:eastAsia="zh-CN"/>
              </w:rPr>
              <w:t>，1年合同期结束双方无异议可按原价格续签1年。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11</w:t>
            </w:r>
          </w:p>
        </w:tc>
        <w:tc>
          <w:tcPr>
            <w:tcW w:w="1418" w:type="dxa"/>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质量要求</w:t>
            </w:r>
          </w:p>
        </w:tc>
        <w:tc>
          <w:tcPr>
            <w:tcW w:w="8069" w:type="dxa"/>
            <w:vAlign w:val="center"/>
          </w:tcPr>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质量标准：合格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其他说明：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12</w:t>
            </w:r>
          </w:p>
        </w:tc>
        <w:tc>
          <w:tcPr>
            <w:tcW w:w="1418" w:type="dxa"/>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是否接受联合体投标</w:t>
            </w:r>
          </w:p>
        </w:tc>
        <w:tc>
          <w:tcPr>
            <w:tcW w:w="8069" w:type="dxa"/>
            <w:vAlign w:val="center"/>
          </w:tcPr>
          <w:p>
            <w:pPr>
              <w:adjustRightInd w:val="0"/>
              <w:snapToGrid w:val="0"/>
              <w:spacing w:line="360" w:lineRule="auto"/>
              <w:rPr>
                <w:rFonts w:ascii="宋体" w:hAnsi="宋体"/>
                <w:color w:val="auto"/>
                <w:sz w:val="24"/>
                <w:szCs w:val="24"/>
                <w:highlight w:val="none"/>
              </w:rPr>
            </w:pPr>
            <w:r>
              <w:rPr>
                <w:rFonts w:hint="eastAsia"/>
                <w:b/>
                <w:bCs/>
                <w:color w:val="auto"/>
                <w:sz w:val="24"/>
                <w:highlight w:val="none"/>
              </w:rPr>
              <w:sym w:font="Wingdings" w:char="F0FE"/>
            </w:r>
            <w:r>
              <w:rPr>
                <w:rFonts w:hint="eastAsia" w:ascii="宋体" w:hAnsi="宋体"/>
                <w:bCs/>
                <w:color w:val="auto"/>
                <w:sz w:val="24"/>
                <w:highlight w:val="none"/>
              </w:rPr>
              <w:t xml:space="preserve">不接受   </w:t>
            </w:r>
            <w:r>
              <w:rPr>
                <w:rFonts w:hint="eastAsia" w:ascii="宋体" w:hAnsi="宋体"/>
                <w:color w:val="auto"/>
                <w:sz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13</w:t>
            </w:r>
          </w:p>
        </w:tc>
        <w:tc>
          <w:tcPr>
            <w:tcW w:w="1418" w:type="dxa"/>
            <w:vAlign w:val="center"/>
          </w:tcPr>
          <w:p>
            <w:pPr>
              <w:spacing w:line="500" w:lineRule="exact"/>
              <w:jc w:val="center"/>
              <w:rPr>
                <w:rFonts w:ascii="宋体" w:hAnsi="宋体"/>
                <w:color w:val="auto"/>
                <w:sz w:val="24"/>
                <w:highlight w:val="none"/>
                <w:lang w:val="zh-CN"/>
              </w:rPr>
            </w:pPr>
            <w:r>
              <w:rPr>
                <w:rFonts w:hint="eastAsia" w:ascii="宋体" w:hAnsi="宋体"/>
                <w:color w:val="auto"/>
                <w:sz w:val="24"/>
                <w:highlight w:val="none"/>
              </w:rPr>
              <w:t>免费质保期</w:t>
            </w:r>
          </w:p>
        </w:tc>
        <w:tc>
          <w:tcPr>
            <w:tcW w:w="8069" w:type="dxa"/>
            <w:vAlign w:val="center"/>
          </w:tcPr>
          <w:p>
            <w:pPr>
              <w:adjustRightInd w:val="0"/>
              <w:spacing w:line="460" w:lineRule="exact"/>
              <w:rPr>
                <w:rFonts w:ascii="宋体" w:hAnsi="宋体"/>
                <w:color w:val="auto"/>
                <w:sz w:val="24"/>
                <w:highlight w:val="none"/>
                <w:lang w:val="zh-CN"/>
              </w:rPr>
            </w:pPr>
            <w:r>
              <w:rPr>
                <w:rFonts w:hint="eastAsia" w:ascii="宋体" w:hAnsi="宋体"/>
                <w:color w:val="auto"/>
                <w:sz w:val="24"/>
                <w:highlight w:val="none"/>
                <w:lang w:val="zh-CN"/>
              </w:rPr>
              <w:t>维修项目免费质保</w:t>
            </w:r>
            <w:r>
              <w:rPr>
                <w:rFonts w:hint="eastAsia" w:ascii="宋体" w:hAnsi="宋体"/>
                <w:color w:val="auto"/>
                <w:sz w:val="24"/>
                <w:highlight w:val="none"/>
                <w:lang w:val="en-US" w:eastAsia="zh-CN"/>
              </w:rPr>
              <w:t>1</w:t>
            </w:r>
            <w:r>
              <w:rPr>
                <w:rFonts w:hint="eastAsia" w:ascii="宋体" w:hAnsi="宋体"/>
                <w:color w:val="auto"/>
                <w:sz w:val="24"/>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14</w:t>
            </w:r>
          </w:p>
        </w:tc>
        <w:tc>
          <w:tcPr>
            <w:tcW w:w="1418" w:type="dxa"/>
            <w:vAlign w:val="center"/>
          </w:tcPr>
          <w:p>
            <w:pPr>
              <w:spacing w:line="500" w:lineRule="exact"/>
              <w:jc w:val="center"/>
              <w:rPr>
                <w:rFonts w:ascii="宋体" w:hAnsi="宋体"/>
                <w:bCs/>
                <w:color w:val="auto"/>
                <w:sz w:val="24"/>
                <w:highlight w:val="none"/>
              </w:rPr>
            </w:pPr>
            <w:r>
              <w:rPr>
                <w:rFonts w:hint="eastAsia" w:ascii="宋体" w:hAnsi="宋体"/>
                <w:bCs/>
                <w:color w:val="auto"/>
                <w:sz w:val="24"/>
                <w:highlight w:val="none"/>
              </w:rPr>
              <w:t>踏勘现场</w:t>
            </w:r>
          </w:p>
        </w:tc>
        <w:tc>
          <w:tcPr>
            <w:tcW w:w="8069" w:type="dxa"/>
            <w:vAlign w:val="center"/>
          </w:tcPr>
          <w:p>
            <w:pPr>
              <w:spacing w:line="500" w:lineRule="exact"/>
              <w:rPr>
                <w:rFonts w:ascii="宋体" w:hAnsi="宋体"/>
                <w:color w:val="auto"/>
                <w:sz w:val="24"/>
                <w:highlight w:val="none"/>
                <w:lang w:val="zh-CN"/>
              </w:rPr>
            </w:pPr>
            <w:r>
              <w:rPr>
                <w:rFonts w:hint="eastAsia"/>
                <w:b/>
                <w:bCs/>
                <w:color w:val="auto"/>
                <w:sz w:val="24"/>
                <w:highlight w:val="none"/>
              </w:rPr>
              <w:sym w:font="Wingdings" w:char="F0FE"/>
            </w:r>
            <w:r>
              <w:rPr>
                <w:rFonts w:hint="eastAsia" w:ascii="宋体" w:hAnsi="宋体"/>
                <w:bCs/>
                <w:color w:val="auto"/>
                <w:sz w:val="24"/>
                <w:highlight w:val="none"/>
              </w:rPr>
              <w:t xml:space="preserve">自行踏勘  </w:t>
            </w:r>
            <w:r>
              <w:rPr>
                <w:rFonts w:hint="eastAsia" w:ascii="宋体" w:hAnsi="宋体"/>
                <w:color w:val="auto"/>
                <w:sz w:val="24"/>
                <w:highlight w:val="none"/>
              </w:rPr>
              <w:t>□招标人</w:t>
            </w:r>
            <w:r>
              <w:rPr>
                <w:rFonts w:hint="eastAsia" w:ascii="宋体" w:hAnsi="宋体"/>
                <w:color w:val="auto"/>
                <w:sz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15</w:t>
            </w:r>
          </w:p>
        </w:tc>
        <w:tc>
          <w:tcPr>
            <w:tcW w:w="1418" w:type="dxa"/>
            <w:vAlign w:val="center"/>
          </w:tcPr>
          <w:p>
            <w:pPr>
              <w:spacing w:line="500" w:lineRule="exact"/>
              <w:jc w:val="center"/>
              <w:rPr>
                <w:rFonts w:ascii="宋体" w:hAnsi="宋体"/>
                <w:bCs/>
                <w:color w:val="auto"/>
                <w:sz w:val="24"/>
                <w:highlight w:val="none"/>
              </w:rPr>
            </w:pPr>
            <w:r>
              <w:rPr>
                <w:rFonts w:hint="eastAsia" w:ascii="宋体" w:hAnsi="宋体"/>
                <w:bCs/>
                <w:color w:val="auto"/>
                <w:sz w:val="24"/>
                <w:highlight w:val="none"/>
              </w:rPr>
              <w:t>投标文件</w:t>
            </w:r>
          </w:p>
        </w:tc>
        <w:tc>
          <w:tcPr>
            <w:tcW w:w="8069" w:type="dxa"/>
            <w:vAlign w:val="center"/>
          </w:tcPr>
          <w:p>
            <w:pPr>
              <w:spacing w:line="500" w:lineRule="exact"/>
              <w:rPr>
                <w:b/>
                <w:bCs/>
                <w:color w:val="auto"/>
                <w:sz w:val="24"/>
                <w:highlight w:val="none"/>
              </w:rPr>
            </w:pPr>
            <w:r>
              <w:rPr>
                <w:rFonts w:hint="eastAsia" w:ascii="宋体" w:hAnsi="宋体"/>
                <w:color w:val="auto"/>
                <w:kern w:val="0"/>
                <w:sz w:val="24"/>
                <w:highlight w:val="none"/>
              </w:rPr>
              <w:t>正、副本各一份，封装于一个文件袋内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16</w:t>
            </w:r>
          </w:p>
        </w:tc>
        <w:tc>
          <w:tcPr>
            <w:tcW w:w="1418" w:type="dxa"/>
            <w:vAlign w:val="center"/>
          </w:tcPr>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开标时间</w:t>
            </w:r>
          </w:p>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及地点</w:t>
            </w:r>
          </w:p>
        </w:tc>
        <w:tc>
          <w:tcPr>
            <w:tcW w:w="8069" w:type="dxa"/>
            <w:vAlign w:val="center"/>
          </w:tcPr>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18</w:t>
            </w:r>
          </w:p>
        </w:tc>
        <w:tc>
          <w:tcPr>
            <w:tcW w:w="1418"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评标办法</w:t>
            </w:r>
          </w:p>
        </w:tc>
        <w:tc>
          <w:tcPr>
            <w:tcW w:w="8069" w:type="dxa"/>
            <w:vAlign w:val="center"/>
          </w:tcPr>
          <w:p>
            <w:pPr>
              <w:widowControl/>
              <w:jc w:val="left"/>
              <w:rPr>
                <w:rFonts w:ascii="宋体" w:hAnsi="宋体"/>
                <w:color w:val="auto"/>
                <w:sz w:val="24"/>
                <w:szCs w:val="24"/>
                <w:highlight w:val="none"/>
              </w:rPr>
            </w:pPr>
            <w:r>
              <w:rPr>
                <w:rFonts w:hint="eastAsia"/>
                <w:color w:val="auto"/>
                <w:spacing w:val="-5"/>
                <w:sz w:val="24"/>
                <w:szCs w:val="24"/>
                <w:highlight w:val="none"/>
              </w:rPr>
              <w:t>综合评分法。详见招标文件第五章评标办法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19</w:t>
            </w:r>
          </w:p>
        </w:tc>
        <w:tc>
          <w:tcPr>
            <w:tcW w:w="1418" w:type="dxa"/>
            <w:vAlign w:val="center"/>
          </w:tcPr>
          <w:p>
            <w:pPr>
              <w:spacing w:line="500" w:lineRule="exact"/>
              <w:jc w:val="center"/>
              <w:rPr>
                <w:rFonts w:ascii="宋体" w:hAnsi="宋体"/>
                <w:color w:val="auto"/>
                <w:sz w:val="24"/>
                <w:highlight w:val="none"/>
              </w:rPr>
            </w:pPr>
            <w:r>
              <w:rPr>
                <w:rFonts w:hint="eastAsia" w:ascii="宋体" w:hAnsi="宋体"/>
                <w:color w:val="auto"/>
                <w:sz w:val="24"/>
                <w:szCs w:val="24"/>
                <w:highlight w:val="none"/>
              </w:rPr>
              <w:t>投标保证金金额</w:t>
            </w:r>
          </w:p>
        </w:tc>
        <w:tc>
          <w:tcPr>
            <w:tcW w:w="8069" w:type="dxa"/>
            <w:vAlign w:val="center"/>
          </w:tcPr>
          <w:p>
            <w:pPr>
              <w:spacing w:line="360" w:lineRule="auto"/>
              <w:rPr>
                <w:rFonts w:ascii="宋体" w:hAnsi="宋体"/>
                <w:color w:val="auto"/>
                <w:sz w:val="24"/>
                <w:szCs w:val="24"/>
                <w:highlight w:val="none"/>
              </w:rPr>
            </w:pPr>
            <w:r>
              <w:rPr>
                <w:rFonts w:hint="eastAsia" w:ascii="宋体" w:hAnsi="宋体"/>
                <w:b/>
                <w:bCs/>
                <w:color w:val="auto"/>
                <w:sz w:val="24"/>
                <w:szCs w:val="24"/>
                <w:highlight w:val="none"/>
                <w:u w:val="single"/>
              </w:rPr>
              <w:t>人民币大写</w:t>
            </w:r>
            <w:r>
              <w:rPr>
                <w:rFonts w:hint="eastAsia" w:ascii="宋体" w:hAnsi="宋体"/>
                <w:b/>
                <w:bCs/>
                <w:color w:val="auto"/>
                <w:sz w:val="24"/>
                <w:szCs w:val="24"/>
                <w:highlight w:val="none"/>
                <w:u w:val="single"/>
                <w:lang w:val="en-US" w:eastAsia="zh-CN"/>
              </w:rPr>
              <w:t>贰仟陆佰</w:t>
            </w:r>
            <w:r>
              <w:rPr>
                <w:rFonts w:hint="eastAsia" w:ascii="宋体" w:hAnsi="宋体"/>
                <w:b/>
                <w:bCs/>
                <w:color w:val="auto"/>
                <w:sz w:val="24"/>
                <w:szCs w:val="24"/>
                <w:highlight w:val="none"/>
                <w:u w:val="single"/>
              </w:rPr>
              <w:t>元整（小写￥</w:t>
            </w:r>
            <w:r>
              <w:rPr>
                <w:rFonts w:hint="eastAsia" w:ascii="宋体" w:hAnsi="宋体"/>
                <w:b/>
                <w:bCs/>
                <w:color w:val="auto"/>
                <w:sz w:val="24"/>
                <w:szCs w:val="24"/>
                <w:highlight w:val="none"/>
                <w:u w:val="single"/>
                <w:lang w:val="en-US" w:eastAsia="zh-CN"/>
              </w:rPr>
              <w:t>2600</w:t>
            </w:r>
            <w:r>
              <w:rPr>
                <w:rFonts w:hint="eastAsia" w:ascii="宋体" w:hAnsi="宋体"/>
                <w:b/>
                <w:bCs/>
                <w:color w:val="auto"/>
                <w:sz w:val="24"/>
                <w:szCs w:val="24"/>
                <w:highlight w:val="none"/>
                <w:u w:val="single"/>
              </w:rPr>
              <w:t>.00）</w:t>
            </w:r>
            <w:r>
              <w:rPr>
                <w:rFonts w:hint="eastAsia" w:ascii="宋体" w:hAnsi="宋体"/>
                <w:color w:val="auto"/>
                <w:sz w:val="24"/>
                <w:szCs w:val="24"/>
                <w:highlight w:val="none"/>
              </w:rPr>
              <w:t>，投标保证金应当</w:t>
            </w:r>
            <w:r>
              <w:rPr>
                <w:rFonts w:hint="eastAsia" w:ascii="宋体" w:hAnsi="宋体"/>
                <w:b/>
                <w:color w:val="auto"/>
                <w:sz w:val="24"/>
                <w:szCs w:val="24"/>
                <w:highlight w:val="none"/>
              </w:rPr>
              <w:t>在报名截止时间前</w:t>
            </w:r>
            <w:r>
              <w:rPr>
                <w:rFonts w:hint="eastAsia" w:ascii="宋体" w:hAnsi="宋体"/>
                <w:color w:val="auto"/>
                <w:sz w:val="24"/>
                <w:szCs w:val="24"/>
                <w:highlight w:val="none"/>
              </w:rPr>
              <w:t>足额金额转入本次招标公告指定账号（项目多标的，应向所投标的对应账号交纳），且应当从投标人本单位账号转出。</w:t>
            </w:r>
          </w:p>
          <w:p>
            <w:pPr>
              <w:widowControl/>
              <w:jc w:val="left"/>
              <w:rPr>
                <w:color w:val="auto"/>
                <w:spacing w:val="-5"/>
                <w:sz w:val="24"/>
                <w:szCs w:val="24"/>
                <w:highlight w:val="none"/>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20</w:t>
            </w:r>
          </w:p>
        </w:tc>
        <w:tc>
          <w:tcPr>
            <w:tcW w:w="1418" w:type="dxa"/>
            <w:vAlign w:val="center"/>
          </w:tcPr>
          <w:p>
            <w:pPr>
              <w:spacing w:line="500" w:lineRule="exact"/>
              <w:jc w:val="center"/>
              <w:rPr>
                <w:rFonts w:ascii="宋体" w:hAnsi="宋体"/>
                <w:color w:val="auto"/>
                <w:sz w:val="24"/>
                <w:highlight w:val="none"/>
              </w:rPr>
            </w:pPr>
            <w:r>
              <w:rPr>
                <w:rFonts w:hint="eastAsia" w:ascii="宋体" w:hAnsi="宋体"/>
                <w:color w:val="auto"/>
                <w:sz w:val="24"/>
                <w:szCs w:val="24"/>
                <w:highlight w:val="none"/>
              </w:rPr>
              <w:t>投标保证金交纳账号</w:t>
            </w:r>
          </w:p>
        </w:tc>
        <w:tc>
          <w:tcPr>
            <w:tcW w:w="806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单位名称：合肥文旅博览集团有限公司</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开户银行账号：1302010509200182305</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开户银行：中国工商银行合肥望江路支行</w:t>
            </w:r>
          </w:p>
          <w:p>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备注：</w:t>
            </w:r>
          </w:p>
          <w:p>
            <w:pPr>
              <w:pStyle w:val="120"/>
              <w:widowControl/>
              <w:numPr>
                <w:ilvl w:val="0"/>
                <w:numId w:val="3"/>
              </w:numPr>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转帐时请备注“××项目投标保证金，并将转账凭证扫描件发送至</w:t>
            </w:r>
            <w:r>
              <w:rPr>
                <w:rFonts w:hint="eastAsia" w:ascii="宋体" w:hAnsi="宋体"/>
                <w:color w:val="auto"/>
                <w:sz w:val="24"/>
                <w:szCs w:val="24"/>
                <w:highlight w:val="none"/>
                <w:lang w:val="en-US" w:eastAsia="zh-CN"/>
              </w:rPr>
              <w:t>361923526</w:t>
            </w:r>
            <w:r>
              <w:rPr>
                <w:rFonts w:hint="eastAsia" w:ascii="宋体" w:hAnsi="宋体"/>
                <w:color w:val="auto"/>
                <w:sz w:val="24"/>
                <w:szCs w:val="24"/>
                <w:highlight w:val="none"/>
              </w:rPr>
              <w:t>@qq.com邮箱；</w:t>
            </w:r>
          </w:p>
          <w:p>
            <w:pPr>
              <w:pStyle w:val="120"/>
              <w:widowControl/>
              <w:numPr>
                <w:ilvl w:val="0"/>
                <w:numId w:val="3"/>
              </w:numPr>
              <w:spacing w:line="360" w:lineRule="auto"/>
              <w:ind w:firstLineChars="0"/>
              <w:jc w:val="left"/>
              <w:rPr>
                <w:color w:val="auto"/>
                <w:spacing w:val="-5"/>
                <w:sz w:val="24"/>
                <w:szCs w:val="24"/>
                <w:highlight w:val="none"/>
              </w:rPr>
            </w:pPr>
            <w:r>
              <w:rPr>
                <w:rFonts w:hint="eastAsia"/>
                <w:color w:val="auto"/>
                <w:spacing w:val="-5"/>
                <w:sz w:val="24"/>
                <w:szCs w:val="24"/>
                <w:highlight w:val="none"/>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21</w:t>
            </w:r>
          </w:p>
        </w:tc>
        <w:tc>
          <w:tcPr>
            <w:tcW w:w="1418" w:type="dxa"/>
            <w:vAlign w:val="center"/>
          </w:tcPr>
          <w:p>
            <w:pPr>
              <w:spacing w:line="500" w:lineRule="exact"/>
              <w:jc w:val="center"/>
              <w:rPr>
                <w:rFonts w:ascii="宋体" w:hAnsi="宋体"/>
                <w:bCs/>
                <w:color w:val="auto"/>
                <w:sz w:val="24"/>
                <w:szCs w:val="24"/>
                <w:highlight w:val="none"/>
              </w:rPr>
            </w:pPr>
            <w:r>
              <w:rPr>
                <w:rFonts w:hint="eastAsia" w:ascii="宋体" w:hAnsi="宋体"/>
                <w:color w:val="auto"/>
                <w:sz w:val="24"/>
                <w:szCs w:val="24"/>
                <w:highlight w:val="none"/>
              </w:rPr>
              <w:t>合同履约  保证金</w:t>
            </w:r>
          </w:p>
        </w:tc>
        <w:tc>
          <w:tcPr>
            <w:tcW w:w="8069" w:type="dxa"/>
            <w:vAlign w:val="center"/>
          </w:tcPr>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1.履约保证金数额：中标价的</w:t>
            </w:r>
            <w:r>
              <w:rPr>
                <w:rFonts w:hint="eastAsia" w:ascii="宋体" w:hAnsi="宋体"/>
                <w:color w:val="auto"/>
                <w:sz w:val="24"/>
                <w:szCs w:val="24"/>
                <w:highlight w:val="none"/>
                <w:u w:val="single"/>
              </w:rPr>
              <w:t xml:space="preserve"> 5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2.担保形式：□现金保证 □现金支票 □银行汇票</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□银行保函</w:t>
            </w:r>
            <w:r>
              <w:rPr>
                <w:rFonts w:hint="eastAsia" w:ascii="MS Mincho" w:hAnsi="MS Mincho" w:eastAsia="MS Mincho" w:cs="MS Mincho"/>
                <w:color w:val="auto"/>
                <w:sz w:val="24"/>
                <w:szCs w:val="24"/>
                <w:highlight w:val="none"/>
              </w:rPr>
              <w:t>☑</w:t>
            </w:r>
            <w:r>
              <w:rPr>
                <w:rFonts w:hint="eastAsia" w:ascii="宋体" w:hAnsi="宋体"/>
                <w:color w:val="auto"/>
                <w:sz w:val="24"/>
                <w:szCs w:val="24"/>
                <w:highlight w:val="none"/>
              </w:rPr>
              <w:t>银行转账 □工程担保  □保证保险</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3.收受人为:□招标人 </w:t>
            </w:r>
            <w:r>
              <w:rPr>
                <w:rFonts w:ascii="宋体" w:hAnsi="宋体"/>
                <w:color w:val="auto"/>
                <w:sz w:val="24"/>
                <w:szCs w:val="24"/>
                <w:highlight w:val="none"/>
              </w:rPr>
              <w:sym w:font="Wingdings" w:char="F0FE"/>
            </w:r>
            <w:r>
              <w:rPr>
                <w:rFonts w:hint="eastAsia" w:ascii="宋体" w:hAnsi="宋体"/>
                <w:color w:val="auto"/>
                <w:sz w:val="24"/>
                <w:szCs w:val="24"/>
                <w:highlight w:val="none"/>
              </w:rPr>
              <w:t>委托人</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5.保证金必须从基本账户转出，保证金汇出帐户名称应与投标人名称应完全一致。</w:t>
            </w:r>
          </w:p>
          <w:p>
            <w:pPr>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6.退还：合同签订后满六个月一次性退还（无息）。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22</w:t>
            </w:r>
          </w:p>
        </w:tc>
        <w:tc>
          <w:tcPr>
            <w:tcW w:w="1418" w:type="dxa"/>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项目人员</w:t>
            </w:r>
          </w:p>
          <w:p>
            <w:pPr>
              <w:adjustRightInd w:val="0"/>
              <w:snapToGrid w:val="0"/>
              <w:spacing w:line="360" w:lineRule="auto"/>
              <w:jc w:val="center"/>
              <w:rPr>
                <w:rFonts w:ascii="宋体" w:hAnsi="宋体"/>
                <w:b/>
                <w:color w:val="auto"/>
                <w:sz w:val="24"/>
                <w:szCs w:val="24"/>
                <w:highlight w:val="none"/>
              </w:rPr>
            </w:pPr>
            <w:r>
              <w:rPr>
                <w:rFonts w:hint="eastAsia" w:ascii="宋体" w:hAnsi="宋体"/>
                <w:color w:val="auto"/>
                <w:sz w:val="24"/>
                <w:szCs w:val="24"/>
                <w:highlight w:val="none"/>
              </w:rPr>
              <w:t>要求</w:t>
            </w:r>
          </w:p>
        </w:tc>
        <w:tc>
          <w:tcPr>
            <w:tcW w:w="8069" w:type="dxa"/>
            <w:vAlign w:val="center"/>
          </w:tcPr>
          <w:p>
            <w:pPr>
              <w:pStyle w:val="83"/>
              <w:rPr>
                <w:rFonts w:ascii="宋体"/>
                <w:color w:val="auto"/>
                <w:sz w:val="24"/>
                <w:szCs w:val="24"/>
                <w:highlight w:val="none"/>
              </w:rPr>
            </w:pPr>
            <w:r>
              <w:rPr>
                <w:rFonts w:hint="eastAsia" w:ascii="宋体" w:hAnsi="宋体"/>
                <w:color w:val="auto"/>
                <w:sz w:val="24"/>
                <w:szCs w:val="28"/>
                <w:highlight w:val="none"/>
              </w:rPr>
              <w:t>项目负责人</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名</w:t>
            </w:r>
            <w:r>
              <w:rPr>
                <w:rFonts w:hint="eastAsia" w:ascii="宋体" w:hAnsi="宋体"/>
                <w:color w:val="auto"/>
                <w:sz w:val="24"/>
                <w:szCs w:val="28"/>
                <w:highlight w:val="none"/>
                <w:lang w:eastAsia="zh-CN"/>
              </w:rPr>
              <w:t>（每馆各</w:t>
            </w:r>
            <w:r>
              <w:rPr>
                <w:rFonts w:hint="eastAsia" w:ascii="宋体" w:hAnsi="宋体"/>
                <w:color w:val="auto"/>
                <w:sz w:val="24"/>
                <w:szCs w:val="28"/>
                <w:highlight w:val="none"/>
                <w:lang w:val="en-US" w:eastAsia="zh-CN"/>
              </w:rPr>
              <w:t>1名</w:t>
            </w:r>
            <w:r>
              <w:rPr>
                <w:rFonts w:hint="eastAsia" w:ascii="宋体" w:hAnsi="宋体"/>
                <w:color w:val="auto"/>
                <w:sz w:val="24"/>
                <w:szCs w:val="28"/>
                <w:highlight w:val="none"/>
                <w:lang w:eastAsia="zh-CN"/>
              </w:rPr>
              <w:t>）</w:t>
            </w:r>
            <w:r>
              <w:rPr>
                <w:rFonts w:hint="eastAsia" w:ascii="宋体" w:hAnsi="宋体"/>
                <w:color w:val="auto"/>
                <w:sz w:val="24"/>
                <w:szCs w:val="28"/>
                <w:highlight w:val="none"/>
              </w:rPr>
              <w:t>，有丰富的电梯维修保养从业经验；须提供全年365天24小时的应急响应服务，安全作业人员不少于</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人，其中</w:t>
            </w:r>
            <w:r>
              <w:rPr>
                <w:rFonts w:hint="eastAsia" w:ascii="宋体" w:hAnsi="宋体"/>
                <w:color w:val="auto"/>
                <w:sz w:val="24"/>
                <w:szCs w:val="28"/>
                <w:highlight w:val="none"/>
                <w:lang w:val="en-US" w:eastAsia="zh-CN"/>
              </w:rPr>
              <w:t>每馆</w:t>
            </w:r>
            <w:r>
              <w:rPr>
                <w:rFonts w:hint="eastAsia" w:ascii="宋体" w:hAnsi="宋体"/>
                <w:color w:val="auto"/>
                <w:sz w:val="24"/>
                <w:szCs w:val="28"/>
                <w:highlight w:val="none"/>
              </w:rPr>
              <w:t>1名为项目</w:t>
            </w:r>
            <w:r>
              <w:rPr>
                <w:rFonts w:hint="eastAsia" w:ascii="宋体" w:hAnsi="宋体"/>
                <w:color w:val="auto"/>
                <w:sz w:val="24"/>
                <w:szCs w:val="28"/>
                <w:highlight w:val="none"/>
                <w:lang w:val="en-US" w:eastAsia="zh-CN"/>
              </w:rPr>
              <w:t>常</w:t>
            </w:r>
            <w:r>
              <w:rPr>
                <w:rFonts w:hint="eastAsia" w:ascii="宋体" w:hAnsi="宋体"/>
                <w:color w:val="auto"/>
                <w:sz w:val="24"/>
                <w:szCs w:val="28"/>
                <w:highlight w:val="none"/>
              </w:rPr>
              <w:t>派服务维保人员，另外1名为机动维保人员，投标时须提供服务团队人员名单、电话、近3个月社保缴纳证明及由质量监督管理局颁发的合格有效的特种设备作业人员证证书复印件。</w:t>
            </w:r>
          </w:p>
        </w:tc>
      </w:tr>
    </w:tbl>
    <w:p>
      <w:pPr>
        <w:pStyle w:val="3"/>
        <w:spacing w:before="42"/>
        <w:jc w:val="left"/>
        <w:rPr>
          <w:color w:val="auto"/>
          <w:sz w:val="24"/>
          <w:szCs w:val="24"/>
          <w:highlight w:val="none"/>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cols w:space="720" w:num="1"/>
        </w:sectPr>
      </w:pPr>
      <w:bookmarkStart w:id="10" w:name="_Toc508363589"/>
      <w:bookmarkStart w:id="11" w:name="_Toc459990137"/>
    </w:p>
    <w:p>
      <w:pPr>
        <w:pStyle w:val="4"/>
        <w:spacing w:before="0" w:line="500" w:lineRule="exact"/>
        <w:ind w:firstLine="0"/>
        <w:rPr>
          <w:rFonts w:ascii="宋体" w:hAnsi="宋体" w:eastAsia="宋体"/>
          <w:color w:val="auto"/>
          <w:highlight w:val="none"/>
        </w:rPr>
      </w:pPr>
      <w:bookmarkStart w:id="12" w:name="_Toc32306255"/>
      <w:bookmarkStart w:id="13" w:name="_Toc24739"/>
      <w:r>
        <w:rPr>
          <w:rFonts w:hint="eastAsia" w:ascii="宋体" w:hAnsi="宋体" w:eastAsia="宋体"/>
          <w:color w:val="auto"/>
          <w:highlight w:val="none"/>
        </w:rPr>
        <w:t>第三章 投标人须知</w:t>
      </w:r>
      <w:bookmarkEnd w:id="12"/>
      <w:bookmarkEnd w:id="13"/>
      <w:bookmarkStart w:id="14" w:name="_Toc459990138"/>
    </w:p>
    <w:bookmarkEnd w:id="10"/>
    <w:bookmarkEnd w:id="11"/>
    <w:bookmarkEnd w:id="14"/>
    <w:p>
      <w:pPr>
        <w:keepNext/>
        <w:keepLines/>
        <w:spacing w:before="260" w:after="260" w:line="360" w:lineRule="auto"/>
        <w:jc w:val="center"/>
        <w:outlineLvl w:val="2"/>
        <w:rPr>
          <w:rFonts w:ascii="宋体" w:hAnsi="宋体"/>
          <w:b/>
          <w:bCs/>
          <w:color w:val="auto"/>
          <w:sz w:val="28"/>
          <w:szCs w:val="32"/>
          <w:highlight w:val="none"/>
        </w:rPr>
      </w:pPr>
      <w:bookmarkStart w:id="15" w:name="_Toc22888330"/>
      <w:r>
        <w:rPr>
          <w:rFonts w:hint="eastAsia" w:ascii="宋体" w:hAnsi="宋体"/>
          <w:b/>
          <w:bCs/>
          <w:color w:val="auto"/>
          <w:sz w:val="28"/>
          <w:szCs w:val="32"/>
          <w:highlight w:val="none"/>
        </w:rPr>
        <w:t>一．投标文件的编制</w:t>
      </w:r>
      <w:bookmarkEnd w:id="15"/>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auto"/>
          <w:sz w:val="28"/>
          <w:szCs w:val="32"/>
          <w:highlight w:val="none"/>
        </w:rPr>
      </w:pPr>
      <w:bookmarkStart w:id="16" w:name="_Toc22888331"/>
      <w:bookmarkStart w:id="17" w:name="_Toc19773335"/>
      <w:r>
        <w:rPr>
          <w:rFonts w:hint="eastAsia" w:ascii="宋体" w:hAnsi="宋体"/>
          <w:b/>
          <w:bCs/>
          <w:color w:val="auto"/>
          <w:sz w:val="28"/>
          <w:szCs w:val="32"/>
          <w:highlight w:val="none"/>
        </w:rPr>
        <w:t>二．投标保证金的缴纳</w:t>
      </w:r>
      <w:bookmarkEnd w:id="16"/>
      <w:bookmarkEnd w:id="17"/>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投标保证金可采取下列任何一种形式：</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2.1异地电汇；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2.2本地转帐。</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4未按要求提交投标保证金的投标，将被视为非响应性投标而导致投标无效。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6有下列情形之一的，招标人不予退还投标保证金：</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6.1投标人在规定的投标有效期内撤回或修改其投标；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auto"/>
          <w:sz w:val="24"/>
          <w:szCs w:val="24"/>
          <w:highlight w:val="none"/>
        </w:rPr>
      </w:pPr>
      <w:r>
        <w:rPr>
          <w:rFonts w:hint="eastAsia" w:ascii="宋体" w:hAnsi="宋体"/>
          <w:color w:val="auto"/>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auto"/>
          <w:sz w:val="28"/>
          <w:szCs w:val="32"/>
          <w:highlight w:val="none"/>
        </w:rPr>
      </w:pPr>
      <w:bookmarkStart w:id="18" w:name="_Toc19773336"/>
      <w:bookmarkStart w:id="19" w:name="_Toc459990139"/>
      <w:bookmarkStart w:id="20" w:name="_Toc7187423"/>
      <w:bookmarkStart w:id="21" w:name="_Toc22888332"/>
      <w:r>
        <w:rPr>
          <w:rFonts w:hint="eastAsia" w:ascii="宋体" w:hAnsi="宋体"/>
          <w:b/>
          <w:bCs/>
          <w:color w:val="auto"/>
          <w:sz w:val="28"/>
          <w:szCs w:val="32"/>
          <w:highlight w:val="none"/>
        </w:rPr>
        <w:t>三．投标文件的递交</w:t>
      </w:r>
      <w:bookmarkEnd w:id="18"/>
      <w:bookmarkEnd w:id="19"/>
      <w:bookmarkEnd w:id="20"/>
      <w:bookmarkEnd w:id="21"/>
      <w:bookmarkStart w:id="22" w:name="_Hlt509649414"/>
      <w:bookmarkEnd w:id="22"/>
    </w:p>
    <w:p>
      <w:pPr>
        <w:widowControl/>
        <w:spacing w:line="360" w:lineRule="auto"/>
        <w:rPr>
          <w:rFonts w:ascii="宋体" w:hAnsi="宋体" w:cs="宋体"/>
          <w:b/>
          <w:color w:val="auto"/>
          <w:kern w:val="0"/>
          <w:sz w:val="24"/>
          <w:highlight w:val="none"/>
        </w:rPr>
      </w:pPr>
      <w:bookmarkStart w:id="23" w:name="_Toc459990140"/>
      <w:bookmarkStart w:id="24" w:name="_Toc516969091"/>
      <w:bookmarkStart w:id="25"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1.1投标文件应密封，并在封面注明招标编号、投标项目等，同时在密封处加盖骑缝章；</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widowControl/>
        <w:spacing w:line="360" w:lineRule="auto"/>
        <w:jc w:val="left"/>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auto"/>
          <w:sz w:val="28"/>
          <w:szCs w:val="32"/>
          <w:highlight w:val="none"/>
        </w:rPr>
      </w:pPr>
      <w:bookmarkStart w:id="26" w:name="_Toc22888333"/>
      <w:bookmarkStart w:id="27" w:name="_Toc7187424"/>
      <w:bookmarkStart w:id="28" w:name="_Toc19773337"/>
      <w:r>
        <w:rPr>
          <w:rFonts w:hint="eastAsia" w:ascii="宋体" w:hAnsi="宋体"/>
          <w:b/>
          <w:bCs/>
          <w:color w:val="auto"/>
          <w:sz w:val="28"/>
          <w:szCs w:val="32"/>
          <w:highlight w:val="none"/>
        </w:rPr>
        <w:t>四．</w:t>
      </w:r>
      <w:bookmarkEnd w:id="23"/>
      <w:r>
        <w:rPr>
          <w:rFonts w:hint="eastAsia" w:ascii="宋体" w:hAnsi="宋体"/>
          <w:b/>
          <w:bCs/>
          <w:color w:val="auto"/>
          <w:sz w:val="28"/>
          <w:szCs w:val="32"/>
          <w:highlight w:val="none"/>
        </w:rPr>
        <w:t>开标、评标及定标</w:t>
      </w:r>
      <w:bookmarkEnd w:id="26"/>
      <w:bookmarkEnd w:id="27"/>
      <w:bookmarkEnd w:id="28"/>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auto"/>
          <w:kern w:val="0"/>
          <w:sz w:val="24"/>
          <w:highlight w:val="none"/>
        </w:rPr>
      </w:pPr>
      <w:r>
        <w:rPr>
          <w:rFonts w:hint="eastAsia" w:ascii="宋体" w:hAnsi="宋体"/>
          <w:color w:val="auto"/>
          <w:sz w:val="24"/>
          <w:szCs w:val="24"/>
          <w:highlight w:val="none"/>
        </w:rPr>
        <w:t>1.</w:t>
      </w:r>
      <w:r>
        <w:rPr>
          <w:rFonts w:hint="eastAsia" w:ascii="宋体" w:hAnsi="宋体" w:cs="宋体"/>
          <w:color w:val="auto"/>
          <w:kern w:val="0"/>
          <w:sz w:val="24"/>
          <w:highlight w:val="none"/>
        </w:rPr>
        <w:t>2</w:t>
      </w:r>
      <w:r>
        <w:rPr>
          <w:rFonts w:hint="eastAsia" w:ascii="宋体" w:hAnsi="宋体"/>
          <w:color w:val="auto"/>
          <w:kern w:val="0"/>
          <w:sz w:val="24"/>
          <w:highlight w:val="none"/>
        </w:rPr>
        <w:t>投标人一名授权代表参加商务标的开标</w:t>
      </w:r>
      <w:r>
        <w:rPr>
          <w:rFonts w:hint="eastAsia" w:ascii="宋体" w:hAnsi="宋体" w:cs="宋体"/>
          <w:color w:val="auto"/>
          <w:kern w:val="0"/>
          <w:sz w:val="24"/>
          <w:highlight w:val="none"/>
        </w:rPr>
        <w:t>。（授权代表须出示身份证原件）</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1.3</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bCs/>
          <w:color w:val="auto"/>
          <w:sz w:val="24"/>
          <w:szCs w:val="24"/>
          <w:highlight w:val="none"/>
        </w:rPr>
        <w:t>文旅博览集团</w:t>
      </w:r>
      <w:r>
        <w:rPr>
          <w:rFonts w:hint="eastAsia" w:ascii="宋体" w:hAnsi="宋体"/>
          <w:color w:val="auto"/>
          <w:sz w:val="24"/>
          <w:highlight w:val="none"/>
        </w:rPr>
        <w:t>查验投标文件的密封状况，确认无误后拆封唱标。</w:t>
      </w:r>
      <w:r>
        <w:rPr>
          <w:rFonts w:hint="eastAsia" w:ascii="宋体" w:hAnsi="宋体"/>
          <w:bCs/>
          <w:color w:val="auto"/>
          <w:sz w:val="24"/>
          <w:szCs w:val="24"/>
          <w:highlight w:val="none"/>
        </w:rPr>
        <w:t>文旅博览集团将当众宣读</w:t>
      </w:r>
      <w:r>
        <w:rPr>
          <w:rFonts w:hint="eastAsia" w:ascii="宋体" w:hAnsi="宋体"/>
          <w:color w:val="auto"/>
          <w:sz w:val="24"/>
          <w:szCs w:val="24"/>
          <w:highlight w:val="none"/>
        </w:rPr>
        <w:t>投标人名称、投标价格以及文旅博览集团认为合适的其它详细内容。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color w:val="auto"/>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olor w:val="auto"/>
          <w:sz w:val="24"/>
          <w:highlight w:val="none"/>
        </w:rPr>
        <w:t>本次项目评标采用综合评分法作为对投标人标书的比较方法。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3.3如符合专业条件的投标人或对招标文件作实质响应的投标人只有两家，评标委员会将视情况现场决定是否改为竞争性</w:t>
      </w:r>
      <w:r>
        <w:rPr>
          <w:rFonts w:hint="eastAsia" w:ascii="宋体" w:hAnsi="宋体"/>
          <w:color w:val="auto"/>
          <w:sz w:val="24"/>
          <w:highlight w:val="none"/>
          <w:lang w:eastAsia="zh-CN"/>
        </w:rPr>
        <w:t>谈判</w:t>
      </w:r>
      <w:r>
        <w:rPr>
          <w:rFonts w:hint="eastAsia" w:ascii="宋体" w:hAnsi="宋体"/>
          <w:color w:val="auto"/>
          <w:sz w:val="24"/>
          <w:highlight w:val="none"/>
        </w:rPr>
        <w:t>。</w:t>
      </w:r>
      <w:r>
        <w:rPr>
          <w:rFonts w:hint="eastAsia" w:ascii="宋体" w:hAnsi="宋体"/>
          <w:color w:val="auto"/>
          <w:sz w:val="24"/>
          <w:highlight w:val="none"/>
          <w:lang w:eastAsia="zh-CN"/>
        </w:rPr>
        <w:t>谈判</w:t>
      </w:r>
      <w:r>
        <w:rPr>
          <w:rFonts w:hint="eastAsia" w:ascii="宋体" w:hAnsi="宋体"/>
          <w:color w:val="auto"/>
          <w:sz w:val="24"/>
          <w:highlight w:val="none"/>
        </w:rPr>
        <w:t>并不限定只进行二轮报价，如果评标委员会认为有必要，可以要求投标人进行多轮报价。在</w:t>
      </w:r>
      <w:r>
        <w:rPr>
          <w:rFonts w:hint="eastAsia" w:ascii="宋体" w:hAnsi="宋体"/>
          <w:color w:val="auto"/>
          <w:sz w:val="24"/>
          <w:highlight w:val="none"/>
          <w:lang w:eastAsia="zh-CN"/>
        </w:rPr>
        <w:t>谈判</w:t>
      </w:r>
      <w:r>
        <w:rPr>
          <w:rFonts w:hint="eastAsia" w:ascii="宋体" w:hAnsi="宋体"/>
          <w:color w:val="auto"/>
          <w:sz w:val="24"/>
          <w:highlight w:val="none"/>
        </w:rPr>
        <w:t>内容不做实质性变更及重大调整的前提下，投标人下轮报价不得高于上一轮报价。</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投标文件未经投标人盖章和单位负责人签字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评标委员会评议认为构成废标的其他情况；</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.9其他未实质性响应招标文件要求的。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rPr>
        <w:t>五.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1.与本次招标活动相关的信息，将在合肥文旅博览集团有限公司网(</w:t>
      </w:r>
      <w:r>
        <w:rPr>
          <w:rFonts w:ascii="宋体" w:hAnsi="宋体"/>
          <w:color w:val="auto"/>
          <w:sz w:val="24"/>
          <w:szCs w:val="24"/>
          <w:highlight w:val="none"/>
          <w:u w:val="single"/>
        </w:rPr>
        <w:t>http://www.zwzcgl.com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auto"/>
          <w:sz w:val="28"/>
          <w:szCs w:val="32"/>
          <w:highlight w:val="none"/>
        </w:rPr>
      </w:pPr>
      <w:bookmarkStart w:id="29" w:name="_Toc7187425"/>
      <w:bookmarkStart w:id="30" w:name="_Toc22888334"/>
      <w:bookmarkStart w:id="31" w:name="_Toc19773338"/>
      <w:r>
        <w:rPr>
          <w:rFonts w:hint="eastAsia" w:ascii="宋体" w:hAnsi="宋体"/>
          <w:b/>
          <w:bCs/>
          <w:color w:val="auto"/>
          <w:sz w:val="28"/>
          <w:szCs w:val="32"/>
          <w:highlight w:val="none"/>
        </w:rPr>
        <w:t>六．投标文件的澄清</w:t>
      </w:r>
      <w:bookmarkEnd w:id="29"/>
      <w:bookmarkEnd w:id="30"/>
      <w:bookmarkEnd w:id="31"/>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auto"/>
          <w:sz w:val="28"/>
          <w:szCs w:val="32"/>
          <w:highlight w:val="none"/>
        </w:rPr>
      </w:pPr>
      <w:bookmarkStart w:id="32" w:name="_Toc22888335"/>
      <w:bookmarkStart w:id="33" w:name="_Toc7187426"/>
      <w:bookmarkStart w:id="34" w:name="_Toc19773339"/>
      <w:r>
        <w:rPr>
          <w:rFonts w:hint="eastAsia" w:ascii="宋体" w:hAnsi="宋体"/>
          <w:b/>
          <w:bCs/>
          <w:color w:val="auto"/>
          <w:sz w:val="28"/>
          <w:szCs w:val="32"/>
          <w:highlight w:val="none"/>
        </w:rPr>
        <w:t>七.中标通知书</w:t>
      </w:r>
      <w:bookmarkEnd w:id="32"/>
      <w:bookmarkEnd w:id="33"/>
      <w:bookmarkEnd w:id="34"/>
    </w:p>
    <w:p>
      <w:pPr>
        <w:tabs>
          <w:tab w:val="left" w:pos="709"/>
        </w:tabs>
        <w:snapToGrid w:val="0"/>
        <w:spacing w:line="360" w:lineRule="auto"/>
        <w:ind w:firstLine="600" w:firstLineChars="250"/>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文旅博览集团将以中标通知书形式通知中标人，其投标已被接受。</w:t>
      </w:r>
    </w:p>
    <w:p>
      <w:pPr>
        <w:tabs>
          <w:tab w:val="left" w:pos="709"/>
        </w:tabs>
        <w:snapToGrid w:val="0"/>
        <w:spacing w:line="360" w:lineRule="auto"/>
        <w:ind w:left="566"/>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文旅博览集团对未中标的投标人不做未中标原因的解释。</w:t>
      </w:r>
    </w:p>
    <w:p>
      <w:pPr>
        <w:spacing w:line="360" w:lineRule="auto"/>
        <w:ind w:firstLine="549"/>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auto"/>
          <w:sz w:val="24"/>
          <w:szCs w:val="18"/>
          <w:highlight w:val="none"/>
        </w:rPr>
        <w:t>合肥市蜀山区习友路与茂荫路交口投资大厦2楼招标采购部</w:t>
      </w:r>
      <w:r>
        <w:rPr>
          <w:rFonts w:hint="eastAsia" w:ascii="宋体" w:hAnsi="宋体"/>
          <w:color w:val="auto"/>
          <w:sz w:val="24"/>
          <w:highlight w:val="none"/>
        </w:rPr>
        <w:t>）。</w:t>
      </w:r>
      <w:bookmarkEnd w:id="24"/>
      <w:bookmarkEnd w:id="25"/>
    </w:p>
    <w:p>
      <w:pPr>
        <w:keepNext/>
        <w:keepLines/>
        <w:spacing w:before="260" w:after="260" w:line="360" w:lineRule="auto"/>
        <w:ind w:firstLine="628"/>
        <w:jc w:val="center"/>
        <w:outlineLvl w:val="2"/>
        <w:rPr>
          <w:rFonts w:ascii="宋体" w:hAnsi="宋体"/>
          <w:b/>
          <w:bCs/>
          <w:color w:val="auto"/>
          <w:sz w:val="28"/>
          <w:szCs w:val="32"/>
          <w:highlight w:val="none"/>
        </w:rPr>
      </w:pPr>
      <w:bookmarkStart w:id="35" w:name="_Toc22888336"/>
      <w:bookmarkStart w:id="36" w:name="_Toc19773340"/>
      <w:bookmarkStart w:id="37" w:name="_Toc7187427"/>
      <w:r>
        <w:rPr>
          <w:rFonts w:hint="eastAsia" w:ascii="宋体" w:hAnsi="宋体"/>
          <w:b/>
          <w:bCs/>
          <w:color w:val="auto"/>
          <w:sz w:val="28"/>
          <w:szCs w:val="32"/>
          <w:highlight w:val="none"/>
        </w:rPr>
        <w:t>八.异议处理</w:t>
      </w:r>
      <w:bookmarkEnd w:id="35"/>
      <w:bookmarkEnd w:id="36"/>
      <w:bookmarkEnd w:id="37"/>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ind w:firstLine="628"/>
        <w:jc w:val="center"/>
        <w:outlineLvl w:val="2"/>
        <w:rPr>
          <w:rFonts w:ascii="宋体" w:hAnsi="宋体"/>
          <w:b/>
          <w:bCs/>
          <w:color w:val="auto"/>
          <w:sz w:val="28"/>
          <w:szCs w:val="32"/>
          <w:highlight w:val="none"/>
        </w:rPr>
      </w:pPr>
      <w:bookmarkStart w:id="38" w:name="_Toc7187428"/>
      <w:bookmarkStart w:id="39" w:name="_Toc19773341"/>
      <w:bookmarkStart w:id="40" w:name="_Toc22888337"/>
      <w:r>
        <w:rPr>
          <w:rFonts w:hint="eastAsia" w:ascii="宋体" w:hAnsi="宋体"/>
          <w:b/>
          <w:bCs/>
          <w:color w:val="auto"/>
          <w:sz w:val="28"/>
          <w:szCs w:val="32"/>
          <w:highlight w:val="none"/>
        </w:rPr>
        <w:t>九．签订合同</w:t>
      </w:r>
      <w:bookmarkEnd w:id="38"/>
      <w:bookmarkEnd w:id="39"/>
      <w:bookmarkEnd w:id="40"/>
    </w:p>
    <w:p>
      <w:pPr>
        <w:spacing w:line="360" w:lineRule="auto"/>
        <w:ind w:firstLine="549"/>
        <w:rPr>
          <w:rFonts w:ascii="宋体" w:hAnsi="宋体"/>
          <w:color w:val="auto"/>
          <w:sz w:val="24"/>
          <w:szCs w:val="24"/>
          <w:highlight w:val="none"/>
        </w:rPr>
      </w:pPr>
    </w:p>
    <w:p>
      <w:pPr>
        <w:spacing w:line="360" w:lineRule="auto"/>
        <w:ind w:firstLine="549"/>
        <w:rPr>
          <w:rFonts w:ascii="宋体" w:hAnsi="宋体"/>
          <w:b/>
          <w:color w:val="auto"/>
          <w:sz w:val="24"/>
          <w:highlight w:val="none"/>
        </w:rPr>
      </w:pPr>
      <w:r>
        <w:rPr>
          <w:rFonts w:hint="eastAsia" w:ascii="宋体" w:hAnsi="宋体"/>
          <w:b/>
          <w:color w:val="auto"/>
          <w:sz w:val="24"/>
          <w:highlight w:val="none"/>
        </w:rPr>
        <w:t>1.履约保证金</w:t>
      </w:r>
    </w:p>
    <w:p>
      <w:pPr>
        <w:spacing w:line="360" w:lineRule="auto"/>
        <w:ind w:firstLine="549"/>
        <w:rPr>
          <w:rFonts w:ascii="宋体" w:hAnsi="宋体"/>
          <w:dstrike/>
          <w:color w:val="auto"/>
          <w:sz w:val="24"/>
          <w:highlight w:val="none"/>
        </w:rPr>
      </w:pPr>
      <w:r>
        <w:rPr>
          <w:rFonts w:hint="eastAsia" w:ascii="宋体" w:hAnsi="宋体"/>
          <w:color w:val="auto"/>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1.2投标人须知前附表约定收取履约保证金或免收履约保证金的，从其规定。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rPr>
        <w:t>2.</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rPr>
        <w:t>2.5中标人不与委托人签订合同的，招标人可单方面取消其中标资格，并追究其责任。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auto"/>
          <w:sz w:val="24"/>
          <w:highlight w:val="none"/>
        </w:rPr>
      </w:pPr>
      <w:r>
        <w:rPr>
          <w:rFonts w:hint="eastAsia" w:ascii="宋体" w:hAnsi="宋体"/>
          <w:color w:val="auto"/>
          <w:sz w:val="24"/>
          <w:highlight w:val="none"/>
          <w:lang w:val="en-US" w:eastAsia="zh-CN"/>
        </w:rPr>
        <w:t>2.6</w:t>
      </w:r>
      <w:r>
        <w:rPr>
          <w:rFonts w:hint="eastAsia" w:ascii="宋体" w:hAnsi="宋体"/>
          <w:color w:val="auto"/>
          <w:sz w:val="24"/>
          <w:highlight w:val="none"/>
        </w:rPr>
        <w:t>合同履行完毕后，经委托人考核合格，双方可续签合同。</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rPr>
          <w:color w:val="auto"/>
          <w:highlight w:val="none"/>
        </w:rPr>
      </w:pPr>
      <w:r>
        <w:rPr>
          <w:rFonts w:ascii="宋体" w:hAnsi="宋体"/>
          <w:color w:val="auto"/>
          <w:sz w:val="24"/>
          <w:highlight w:val="none"/>
        </w:rPr>
        <w:br w:type="page"/>
      </w:r>
    </w:p>
    <w:p>
      <w:pPr>
        <w:pStyle w:val="4"/>
        <w:spacing w:line="500" w:lineRule="exact"/>
        <w:rPr>
          <w:rFonts w:ascii="宋体" w:hAnsi="宋体" w:eastAsia="宋体"/>
          <w:color w:val="auto"/>
          <w:highlight w:val="none"/>
        </w:rPr>
      </w:pPr>
      <w:bookmarkStart w:id="41" w:name="_Toc13261"/>
      <w:bookmarkStart w:id="42" w:name="_Toc508363595"/>
      <w:r>
        <w:rPr>
          <w:rFonts w:hint="eastAsia" w:ascii="宋体" w:hAnsi="宋体" w:eastAsia="宋体"/>
          <w:color w:val="auto"/>
          <w:highlight w:val="none"/>
        </w:rPr>
        <w:t>第</w:t>
      </w:r>
      <w:bookmarkStart w:id="43" w:name="_Hlt240110027"/>
      <w:bookmarkEnd w:id="43"/>
      <w:r>
        <w:rPr>
          <w:rFonts w:hint="eastAsia" w:ascii="宋体" w:hAnsi="宋体" w:eastAsia="宋体"/>
          <w:color w:val="auto"/>
          <w:highlight w:val="none"/>
        </w:rPr>
        <w:t>四章</w:t>
      </w:r>
      <w:bookmarkStart w:id="44" w:name="_Hlt509716920"/>
      <w:bookmarkEnd w:id="44"/>
      <w:r>
        <w:rPr>
          <w:rFonts w:hint="eastAsia" w:ascii="宋体" w:hAnsi="宋体" w:eastAsia="宋体"/>
          <w:color w:val="auto"/>
          <w:szCs w:val="36"/>
          <w:highlight w:val="none"/>
        </w:rPr>
        <w:t>招标需求</w:t>
      </w:r>
      <w:bookmarkEnd w:id="41"/>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8"/>
          <w:highlight w:val="none"/>
        </w:rPr>
        <w:t>1.本需求中提出的技术方案仅为参考，如无明确限制，投标人可以进行优化，提供满足用户实际需要的更优（或者性能实质上不低于的）</w:t>
      </w:r>
      <w:r>
        <w:rPr>
          <w:rFonts w:hint="eastAsia" w:ascii="宋体" w:hAnsi="宋体"/>
          <w:color w:val="auto"/>
          <w:sz w:val="24"/>
          <w:szCs w:val="24"/>
          <w:highlight w:val="none"/>
        </w:rPr>
        <w:t>技术方案或者设备配置，且此方案或配置须经评标小组审核认可；</w:t>
      </w:r>
      <w:r>
        <w:rPr>
          <w:rFonts w:hint="eastAsia" w:ascii="宋体" w:hAnsi="宋体"/>
          <w:color w:val="auto"/>
          <w:sz w:val="24"/>
          <w:szCs w:val="24"/>
          <w:highlight w:val="none"/>
        </w:rPr>
        <w:cr/>
      </w:r>
      <w:r>
        <w:rPr>
          <w:rFonts w:hint="eastAsia" w:ascii="宋体" w:hAnsi="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rPr>
        <w:t xml:space="preserve">    4.投标人应当在响应文件中列出完成本项目并通过验收所需的所有各项服务等明细表及全部费用。中标人必须确保整体通过用户方及有关主管部门验收,所发生的</w:t>
      </w:r>
      <w:r>
        <w:rPr>
          <w:rFonts w:hint="eastAsia" w:ascii="宋体" w:hAnsi="宋体"/>
          <w:color w:val="auto"/>
          <w:sz w:val="24"/>
          <w:szCs w:val="28"/>
          <w:highlight w:val="none"/>
          <w:lang w:eastAsia="zh-CN"/>
        </w:rPr>
        <w:t>年检</w:t>
      </w:r>
      <w:r>
        <w:rPr>
          <w:rFonts w:hint="eastAsia" w:ascii="宋体" w:hAnsi="宋体"/>
          <w:color w:val="auto"/>
          <w:sz w:val="24"/>
          <w:szCs w:val="28"/>
          <w:highlight w:val="none"/>
        </w:rPr>
        <w:t>费用由</w:t>
      </w:r>
      <w:r>
        <w:rPr>
          <w:rFonts w:hint="eastAsia" w:ascii="宋体" w:hAnsi="宋体"/>
          <w:color w:val="auto"/>
          <w:sz w:val="24"/>
          <w:szCs w:val="28"/>
          <w:highlight w:val="none"/>
          <w:lang w:eastAsia="zh-CN"/>
        </w:rPr>
        <w:t>采购</w:t>
      </w:r>
      <w:r>
        <w:rPr>
          <w:rFonts w:hint="eastAsia" w:ascii="宋体" w:hAnsi="宋体"/>
          <w:color w:val="auto"/>
          <w:sz w:val="24"/>
          <w:szCs w:val="28"/>
          <w:highlight w:val="none"/>
        </w:rPr>
        <w:t>人承担</w:t>
      </w:r>
      <w:r>
        <w:rPr>
          <w:rFonts w:hint="eastAsia" w:ascii="宋体" w:hAnsi="宋体"/>
          <w:color w:val="auto"/>
          <w:sz w:val="24"/>
          <w:szCs w:val="28"/>
          <w:highlight w:val="none"/>
          <w:lang w:eastAsia="zh-CN"/>
        </w:rPr>
        <w:t>；但因</w:t>
      </w:r>
      <w:r>
        <w:rPr>
          <w:rFonts w:hint="eastAsia" w:ascii="宋体" w:hAnsi="宋体"/>
          <w:color w:val="auto"/>
          <w:sz w:val="24"/>
          <w:szCs w:val="28"/>
          <w:highlight w:val="none"/>
        </w:rPr>
        <w:t>维保质量原因</w:t>
      </w:r>
      <w:r>
        <w:rPr>
          <w:rFonts w:hint="eastAsia" w:ascii="宋体" w:hAnsi="宋体"/>
          <w:color w:val="auto"/>
          <w:sz w:val="24"/>
          <w:szCs w:val="28"/>
          <w:highlight w:val="none"/>
          <w:lang w:eastAsia="zh-CN"/>
        </w:rPr>
        <w:t>未能通过定期检测或不合格而产生的复检费用由中标人承担</w:t>
      </w:r>
      <w:r>
        <w:rPr>
          <w:rFonts w:hint="eastAsia" w:ascii="宋体" w:hAnsi="宋体"/>
          <w:color w:val="auto"/>
          <w:sz w:val="24"/>
          <w:szCs w:val="28"/>
          <w:highlight w:val="none"/>
        </w:rPr>
        <w:t>；投标人应自行踏勘现场，如投标人因未及时踏勘现场而导致的报价缺项漏项废标、或中标后无法完工，投标人自行承担一切后果；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auto"/>
          <w:sz w:val="24"/>
          <w:szCs w:val="24"/>
          <w:highlight w:val="none"/>
        </w:rPr>
      </w:pPr>
      <w:r>
        <w:rPr>
          <w:rFonts w:hint="eastAsia" w:ascii="宋体" w:hAnsi="宋体"/>
          <w:color w:val="auto"/>
          <w:sz w:val="24"/>
          <w:szCs w:val="28"/>
          <w:highlight w:val="none"/>
        </w:rPr>
        <w:t>5.</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480" w:firstLineChars="200"/>
        <w:rPr>
          <w:rFonts w:hint="eastAsia" w:ascii="宋体" w:hAnsi="宋体"/>
          <w:color w:val="auto"/>
          <w:sz w:val="24"/>
          <w:szCs w:val="28"/>
          <w:highlight w:val="none"/>
          <w:lang w:val="en-US" w:eastAsia="zh-CN"/>
        </w:rPr>
      </w:pPr>
      <w:r>
        <w:rPr>
          <w:rFonts w:hint="eastAsia" w:ascii="宋体" w:hAnsi="宋体"/>
          <w:color w:val="auto"/>
          <w:sz w:val="24"/>
          <w:szCs w:val="28"/>
          <w:highlight w:val="none"/>
        </w:rPr>
        <w:t>合肥</w:t>
      </w:r>
      <w:r>
        <w:rPr>
          <w:rFonts w:hint="eastAsia" w:ascii="Times New Roman" w:hAnsi="Times New Roman"/>
          <w:color w:val="auto"/>
          <w:sz w:val="24"/>
          <w:szCs w:val="24"/>
          <w:highlight w:val="none"/>
          <w:lang w:eastAsia="zh-CN"/>
        </w:rPr>
        <w:t>政文国际会展管理有限公司</w:t>
      </w:r>
      <w:r>
        <w:rPr>
          <w:rFonts w:hint="eastAsia" w:ascii="宋体" w:hAnsi="宋体"/>
          <w:color w:val="auto"/>
          <w:sz w:val="24"/>
          <w:szCs w:val="28"/>
          <w:highlight w:val="none"/>
          <w:lang w:eastAsia="zh-CN"/>
        </w:rPr>
        <w:t>两馆电梯维保单位确立</w:t>
      </w:r>
      <w:r>
        <w:rPr>
          <w:rFonts w:hint="eastAsia" w:ascii="宋体" w:hAnsi="宋体"/>
          <w:color w:val="auto"/>
          <w:sz w:val="24"/>
          <w:szCs w:val="28"/>
          <w:highlight w:val="none"/>
        </w:rPr>
        <w:t>：包含</w:t>
      </w:r>
      <w:r>
        <w:rPr>
          <w:rFonts w:hint="eastAsia" w:ascii="Times New Roman" w:hAnsi="Times New Roman"/>
          <w:color w:val="auto"/>
          <w:sz w:val="24"/>
          <w:szCs w:val="24"/>
          <w:highlight w:val="none"/>
          <w:lang w:eastAsia="zh-CN"/>
        </w:rPr>
        <w:t>滨湖国际会展中心和安徽国际会展中心</w:t>
      </w:r>
      <w:r>
        <w:rPr>
          <w:rFonts w:hint="eastAsia" w:ascii="宋体" w:hAnsi="宋体"/>
          <w:color w:val="auto"/>
          <w:sz w:val="24"/>
          <w:szCs w:val="28"/>
          <w:highlight w:val="none"/>
        </w:rPr>
        <w:t>项目</w:t>
      </w:r>
      <w:r>
        <w:rPr>
          <w:rFonts w:hint="eastAsia" w:ascii="宋体" w:hAnsi="宋体"/>
          <w:color w:val="auto"/>
          <w:sz w:val="24"/>
          <w:szCs w:val="28"/>
          <w:highlight w:val="none"/>
          <w:lang w:eastAsia="zh-CN"/>
        </w:rPr>
        <w:t>的</w:t>
      </w:r>
      <w:r>
        <w:rPr>
          <w:rFonts w:hint="eastAsia" w:ascii="宋体" w:hAnsi="宋体"/>
          <w:color w:val="auto"/>
          <w:sz w:val="24"/>
          <w:szCs w:val="28"/>
          <w:highlight w:val="none"/>
          <w:lang w:val="en-US" w:eastAsia="zh-CN"/>
        </w:rPr>
        <w:t>18台蒂升电梯和4台通力电梯维保服务</w:t>
      </w:r>
      <w:r>
        <w:rPr>
          <w:rFonts w:hint="eastAsia" w:ascii="宋体" w:hAnsi="宋体"/>
          <w:color w:val="auto"/>
          <w:sz w:val="24"/>
          <w:szCs w:val="28"/>
          <w:highlight w:val="none"/>
        </w:rPr>
        <w:t>；为了保障项目运营正常，本次拟对公司所属</w:t>
      </w:r>
      <w:r>
        <w:rPr>
          <w:rFonts w:hint="eastAsia" w:ascii="宋体" w:hAnsi="宋体"/>
          <w:color w:val="auto"/>
          <w:sz w:val="24"/>
          <w:szCs w:val="28"/>
          <w:highlight w:val="none"/>
          <w:lang w:val="en-US" w:eastAsia="zh-CN"/>
        </w:rPr>
        <w:t>18台蒂升电梯和4台通力电梯的维保服务进行招标，确立电梯维保单位。维保单位提供符合国家特种设备管理要求的服务。</w:t>
      </w:r>
    </w:p>
    <w:p>
      <w:pPr>
        <w:pStyle w:val="83"/>
        <w:rPr>
          <w:rFonts w:hint="eastAsia"/>
          <w:color w:val="auto"/>
          <w:highlight w:val="none"/>
          <w:lang w:val="en-US" w:eastAsia="zh-CN"/>
        </w:rPr>
      </w:pPr>
    </w:p>
    <w:p>
      <w:pPr>
        <w:adjustRightInd w:val="0"/>
        <w:snapToGrid w:val="0"/>
        <w:spacing w:line="360" w:lineRule="auto"/>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二、项目人员要求</w:t>
      </w:r>
    </w:p>
    <w:p>
      <w:pPr>
        <w:pStyle w:val="83"/>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1.投标人应提供</w:t>
      </w:r>
      <w:r>
        <w:rPr>
          <w:rFonts w:hint="eastAsia" w:ascii="宋体" w:hAnsi="宋体"/>
          <w:color w:val="auto"/>
          <w:sz w:val="24"/>
          <w:szCs w:val="28"/>
          <w:highlight w:val="none"/>
        </w:rPr>
        <w:t>项目负责人</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名</w:t>
      </w:r>
      <w:r>
        <w:rPr>
          <w:rFonts w:hint="eastAsia" w:ascii="宋体" w:hAnsi="宋体"/>
          <w:color w:val="auto"/>
          <w:sz w:val="24"/>
          <w:szCs w:val="28"/>
          <w:highlight w:val="none"/>
          <w:lang w:eastAsia="zh-CN"/>
        </w:rPr>
        <w:t>（每馆各</w:t>
      </w:r>
      <w:r>
        <w:rPr>
          <w:rFonts w:hint="eastAsia" w:ascii="宋体" w:hAnsi="宋体"/>
          <w:color w:val="auto"/>
          <w:sz w:val="24"/>
          <w:szCs w:val="28"/>
          <w:highlight w:val="none"/>
          <w:lang w:val="en-US" w:eastAsia="zh-CN"/>
        </w:rPr>
        <w:t>1名</w:t>
      </w:r>
      <w:r>
        <w:rPr>
          <w:rFonts w:hint="eastAsia" w:ascii="宋体" w:hAnsi="宋体"/>
          <w:color w:val="auto"/>
          <w:sz w:val="24"/>
          <w:szCs w:val="28"/>
          <w:highlight w:val="none"/>
          <w:lang w:eastAsia="zh-CN"/>
        </w:rPr>
        <w:t>）</w:t>
      </w:r>
      <w:r>
        <w:rPr>
          <w:rFonts w:hint="eastAsia" w:ascii="宋体" w:hAnsi="宋体"/>
          <w:color w:val="auto"/>
          <w:sz w:val="24"/>
          <w:szCs w:val="28"/>
          <w:highlight w:val="none"/>
        </w:rPr>
        <w:t>，有丰富的电梯维修保养从业经验；须提供全年365天24小时的应急响应服务，安全作业人员不少于</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人，其中1名</w:t>
      </w:r>
      <w:r>
        <w:rPr>
          <w:rFonts w:hint="eastAsia" w:ascii="宋体" w:hAnsi="宋体"/>
          <w:color w:val="auto"/>
          <w:sz w:val="24"/>
          <w:szCs w:val="28"/>
          <w:highlight w:val="none"/>
          <w:lang w:val="en-US" w:eastAsia="zh-CN"/>
        </w:rPr>
        <w:t>/每馆</w:t>
      </w:r>
      <w:r>
        <w:rPr>
          <w:rFonts w:hint="eastAsia" w:ascii="宋体" w:hAnsi="宋体"/>
          <w:color w:val="auto"/>
          <w:sz w:val="24"/>
          <w:szCs w:val="28"/>
          <w:highlight w:val="none"/>
        </w:rPr>
        <w:t>为项目</w:t>
      </w:r>
      <w:r>
        <w:rPr>
          <w:rFonts w:hint="eastAsia" w:ascii="宋体" w:hAnsi="宋体"/>
          <w:color w:val="auto"/>
          <w:sz w:val="24"/>
          <w:szCs w:val="28"/>
          <w:highlight w:val="none"/>
          <w:lang w:val="en-US" w:eastAsia="zh-CN"/>
        </w:rPr>
        <w:t>常</w:t>
      </w:r>
      <w:r>
        <w:rPr>
          <w:rFonts w:hint="eastAsia" w:ascii="宋体" w:hAnsi="宋体"/>
          <w:color w:val="auto"/>
          <w:sz w:val="24"/>
          <w:szCs w:val="28"/>
          <w:highlight w:val="none"/>
        </w:rPr>
        <w:t>派服务维保人员，另外1名为机动维保人员，投标时须提供服务团队人员名单、电话、近3个月社保缴纳证明及由质量监督管理局颁发的合格有效的特种设备作业人员证证书复印件。</w:t>
      </w:r>
    </w:p>
    <w:p>
      <w:pPr>
        <w:adjustRightInd w:val="0"/>
        <w:snapToGrid w:val="0"/>
        <w:spacing w:line="360" w:lineRule="auto"/>
        <w:ind w:firstLine="480" w:firstLineChars="200"/>
        <w:jc w:val="left"/>
        <w:rPr>
          <w:rFonts w:ascii="宋体"/>
          <w:color w:val="auto"/>
          <w:sz w:val="24"/>
          <w:szCs w:val="24"/>
          <w:highlight w:val="none"/>
        </w:rPr>
      </w:pPr>
    </w:p>
    <w:p>
      <w:pPr>
        <w:numPr>
          <w:ilvl w:val="0"/>
          <w:numId w:val="4"/>
        </w:numPr>
        <w:spacing w:line="360" w:lineRule="auto"/>
        <w:ind w:firstLine="480" w:firstLineChars="200"/>
        <w:rPr>
          <w:rFonts w:hint="eastAsia" w:ascii="宋体" w:hAnsi="宋体"/>
          <w:bCs/>
          <w:color w:val="auto"/>
          <w:sz w:val="24"/>
          <w:szCs w:val="28"/>
          <w:highlight w:val="none"/>
        </w:rPr>
      </w:pPr>
      <w:bookmarkStart w:id="45" w:name="_Toc24606_WPSOffice_Level2"/>
      <w:r>
        <w:rPr>
          <w:rFonts w:hint="eastAsia" w:ascii="宋体" w:hAnsi="宋体"/>
          <w:bCs/>
          <w:color w:val="auto"/>
          <w:sz w:val="24"/>
          <w:szCs w:val="28"/>
          <w:highlight w:val="none"/>
        </w:rPr>
        <w:t>服务需求</w:t>
      </w:r>
      <w:bookmarkEnd w:id="45"/>
    </w:p>
    <w:p>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1.投标人必须有良好的社会信誉，具备履行合同所必需的设备、专业技术和人员。</w:t>
      </w:r>
    </w:p>
    <w:p>
      <w:pPr>
        <w:spacing w:line="360" w:lineRule="auto"/>
        <w:ind w:firstLine="480" w:firstLineChars="200"/>
        <w:rPr>
          <w:rFonts w:hint="eastAsia"/>
          <w:color w:val="auto"/>
          <w:highlight w:val="none"/>
        </w:rPr>
      </w:pPr>
      <w:r>
        <w:rPr>
          <w:rFonts w:hint="eastAsia" w:ascii="宋体" w:hAnsi="宋体" w:cs="仿宋_GB2312"/>
          <w:color w:val="auto"/>
          <w:sz w:val="24"/>
          <w:szCs w:val="24"/>
          <w:highlight w:val="none"/>
        </w:rPr>
        <w:t>2.投标人须具备保证施工质量的管理体系。</w:t>
      </w:r>
    </w:p>
    <w:p>
      <w:pPr>
        <w:spacing w:line="500" w:lineRule="exact"/>
        <w:ind w:firstLine="480" w:firstLineChars="200"/>
        <w:rPr>
          <w:color w:val="auto"/>
          <w:highlight w:val="none"/>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投标人合同期内按国家电梯管理要求对我司维保电梯维护保养及应急维修</w:t>
      </w:r>
      <w:r>
        <w:rPr>
          <w:rFonts w:hint="eastAsia" w:ascii="宋体" w:hAnsi="宋体"/>
          <w:color w:val="auto"/>
          <w:sz w:val="24"/>
          <w:szCs w:val="28"/>
          <w:highlight w:val="none"/>
          <w:lang w:eastAsia="zh-CN"/>
        </w:rPr>
        <w:t>：清包，</w:t>
      </w:r>
      <w:r>
        <w:rPr>
          <w:rFonts w:hint="eastAsia" w:ascii="宋体" w:hAnsi="宋体"/>
          <w:color w:val="auto"/>
          <w:sz w:val="24"/>
          <w:szCs w:val="24"/>
          <w:highlight w:val="none"/>
        </w:rPr>
        <w:t>投标人根据国家《电梯维修规范》等电梯安全技术规范的相关规定对</w:t>
      </w:r>
      <w:r>
        <w:rPr>
          <w:rFonts w:ascii="宋体" w:hAnsi="宋体"/>
          <w:b w:val="0"/>
          <w:bCs w:val="0"/>
          <w:color w:val="auto"/>
          <w:sz w:val="24"/>
          <w:szCs w:val="24"/>
          <w:highlight w:val="none"/>
        </w:rPr>
        <w:t>22</w:t>
      </w:r>
      <w:r>
        <w:rPr>
          <w:rFonts w:hint="eastAsia" w:ascii="宋体" w:hAnsi="宋体"/>
          <w:b w:val="0"/>
          <w:bCs w:val="0"/>
          <w:color w:val="auto"/>
          <w:sz w:val="24"/>
          <w:szCs w:val="24"/>
          <w:highlight w:val="none"/>
        </w:rPr>
        <w:t>台</w:t>
      </w:r>
      <w:r>
        <w:rPr>
          <w:rFonts w:hint="eastAsia" w:ascii="宋体" w:hAnsi="宋体"/>
          <w:color w:val="auto"/>
          <w:sz w:val="24"/>
          <w:szCs w:val="24"/>
          <w:highlight w:val="none"/>
        </w:rPr>
        <w:t>电梯进行维护保养</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投标人对电梯进行有计划、全面的、持续的、规范的维护保养及各种故障排除和应急救援工作，确保电梯设备安全、稳定运行，并负责对正常损坏配件进行报价</w:t>
      </w:r>
      <w:r>
        <w:rPr>
          <w:rFonts w:hint="eastAsia" w:ascii="宋体" w:hAnsi="宋体"/>
          <w:color w:val="auto"/>
          <w:sz w:val="24"/>
          <w:szCs w:val="24"/>
          <w:highlight w:val="none"/>
          <w:lang w:eastAsia="zh-CN"/>
        </w:rPr>
        <w:t>及对甲方提供的零配件免费更换，</w:t>
      </w:r>
      <w:r>
        <w:rPr>
          <w:rFonts w:hint="eastAsia" w:ascii="宋体" w:hAnsi="宋体"/>
          <w:color w:val="auto"/>
          <w:sz w:val="24"/>
          <w:szCs w:val="28"/>
          <w:highlight w:val="none"/>
          <w:lang w:eastAsia="zh-CN"/>
        </w:rPr>
        <w:t>投标人免费提供维保所需工具和劳务及油杯、润滑油、按键等常用易损件。维保单位需在重要展会期间提供驻场人员及时保障展会电梯运行，维保单位提供24小时的紧急救援服务，并提供维保负责人联系电话及24小时紧急救援服务热线电话。当电梯发生困人故障，乙方应在接到甲方通知后30分钟内赶赴现场实施紧急救援；电梯发生其他故障，乙方应在接到甲方通知后60分钟内赶到现场实施抢修。根据电梯的使用情况和设备状况，经双方协商确认后，提供全年保养计划和各项定期保养计划的具体实施时间表。每台每次保养时间不得少于合同约定的相应最少保养时间。如需调整原保养计划，应提前 10 日通知甲方并经甲方同意后方可调整，但应保证保养时间间隔不得超过15日。不得以任何形式将维保工作非法分包、转包。</w:t>
      </w:r>
    </w:p>
    <w:p>
      <w:pPr>
        <w:adjustRightInd w:val="0"/>
        <w:snapToGrid w:val="0"/>
        <w:spacing w:line="360" w:lineRule="auto"/>
        <w:jc w:val="left"/>
        <w:rPr>
          <w:rFonts w:hint="eastAsia" w:ascii="宋体" w:hAnsi="宋体" w:cs="仿宋"/>
          <w:b/>
          <w:color w:val="auto"/>
          <w:sz w:val="24"/>
          <w:szCs w:val="24"/>
          <w:highlight w:val="none"/>
        </w:rPr>
      </w:pPr>
    </w:p>
    <w:p>
      <w:pPr>
        <w:adjustRightInd w:val="0"/>
        <w:snapToGrid w:val="0"/>
        <w:spacing w:line="360" w:lineRule="auto"/>
        <w:jc w:val="left"/>
        <w:rPr>
          <w:rFonts w:hint="eastAsia" w:ascii="宋体" w:hAnsi="宋体" w:cs="仿宋"/>
          <w:b/>
          <w:color w:val="auto"/>
          <w:sz w:val="24"/>
          <w:szCs w:val="24"/>
          <w:highlight w:val="none"/>
        </w:rPr>
      </w:pPr>
      <w:r>
        <w:rPr>
          <w:rFonts w:hint="eastAsia" w:ascii="宋体" w:hAnsi="宋体" w:cs="仿宋"/>
          <w:b/>
          <w:color w:val="auto"/>
          <w:sz w:val="24"/>
          <w:szCs w:val="24"/>
          <w:highlight w:val="none"/>
        </w:rPr>
        <w:t>四、维修及维保项目清单</w:t>
      </w:r>
    </w:p>
    <w:p>
      <w:pPr>
        <w:spacing w:line="312" w:lineRule="auto"/>
        <w:jc w:val="left"/>
        <w:rPr>
          <w:color w:val="auto"/>
          <w:highlight w:val="none"/>
        </w:rPr>
      </w:pPr>
      <w:r>
        <w:rPr>
          <w:rFonts w:hint="eastAsia" w:ascii="宋体" w:hAnsi="宋体"/>
          <w:b/>
          <w:bCs/>
          <w:color w:val="auto"/>
          <w:sz w:val="24"/>
          <w:szCs w:val="18"/>
          <w:highlight w:val="none"/>
          <w:lang w:eastAsia="zh-CN"/>
        </w:rPr>
        <w:t>（</w:t>
      </w:r>
      <w:r>
        <w:rPr>
          <w:rFonts w:hint="eastAsia" w:ascii="宋体" w:hAnsi="宋体"/>
          <w:b/>
          <w:bCs/>
          <w:color w:val="auto"/>
          <w:sz w:val="24"/>
          <w:szCs w:val="18"/>
          <w:highlight w:val="none"/>
          <w:lang w:val="en-US" w:eastAsia="zh-CN"/>
        </w:rPr>
        <w:t>1</w:t>
      </w:r>
      <w:r>
        <w:rPr>
          <w:rFonts w:hint="eastAsia" w:ascii="宋体" w:hAnsi="宋体"/>
          <w:b/>
          <w:bCs/>
          <w:color w:val="auto"/>
          <w:sz w:val="24"/>
          <w:szCs w:val="18"/>
          <w:highlight w:val="none"/>
          <w:lang w:eastAsia="zh-CN"/>
        </w:rPr>
        <w:t>）</w:t>
      </w:r>
      <w:r>
        <w:rPr>
          <w:rFonts w:hint="eastAsia" w:ascii="宋体" w:hAnsi="宋体" w:cs="宋体"/>
          <w:color w:val="auto"/>
          <w:kern w:val="0"/>
          <w:sz w:val="24"/>
          <w:szCs w:val="24"/>
          <w:highlight w:val="none"/>
        </w:rPr>
        <w:t>现有电梯名称、品牌及参数</w:t>
      </w:r>
      <w:r>
        <w:rPr>
          <w:rFonts w:hint="eastAsia" w:ascii="宋体" w:hAnsi="宋体" w:cs="宋体"/>
          <w:color w:val="auto"/>
          <w:kern w:val="0"/>
          <w:sz w:val="24"/>
          <w:szCs w:val="24"/>
          <w:highlight w:val="none"/>
          <w:lang w:eastAsia="zh-CN"/>
        </w:rPr>
        <w:t>，</w:t>
      </w:r>
      <w:r>
        <w:rPr>
          <w:rFonts w:hint="eastAsia" w:ascii="宋体" w:hAnsi="宋体"/>
          <w:b/>
          <w:bCs/>
          <w:color w:val="auto"/>
          <w:sz w:val="24"/>
          <w:szCs w:val="18"/>
          <w:highlight w:val="none"/>
          <w:lang w:eastAsia="zh-CN"/>
        </w:rPr>
        <w:t>投标人自行勘察现场</w:t>
      </w:r>
    </w:p>
    <w:tbl>
      <w:tblPr>
        <w:tblStyle w:val="66"/>
        <w:tblpPr w:leftFromText="180" w:rightFromText="180" w:vertAnchor="text" w:horzAnchor="margin" w:tblpXSpec="center" w:tblpY="2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410"/>
        <w:gridCol w:w="1559"/>
        <w:gridCol w:w="992"/>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序号</w:t>
            </w:r>
          </w:p>
        </w:tc>
        <w:tc>
          <w:tcPr>
            <w:tcW w:w="2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梯号</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合同有效期</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制造商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（层/站/门）</w:t>
            </w:r>
          </w:p>
          <w:p>
            <w:pPr>
              <w:rPr>
                <w:rFonts w:ascii="思源黑体 Regular" w:hAnsi="思源黑体 Regular" w:eastAsia="思源黑体 Regular"/>
                <w:b/>
                <w:color w:val="auto"/>
                <w:sz w:val="18"/>
                <w:szCs w:val="18"/>
                <w:highlight w:val="none"/>
              </w:rPr>
            </w:pPr>
            <w:r>
              <w:rPr>
                <w:rFonts w:hint="eastAsia" w:ascii="思源黑体 Regular" w:hAnsi="思源黑体 Regular" w:eastAsia="思源黑体 Regular"/>
                <w:b/>
                <w:color w:val="auto"/>
                <w:sz w:val="18"/>
                <w:szCs w:val="18"/>
                <w:highlight w:val="none"/>
              </w:rPr>
              <w:t>（提升高度/角度）</w:t>
            </w:r>
          </w:p>
        </w:tc>
        <w:tc>
          <w:tcPr>
            <w:tcW w:w="12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安装地点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L</w:t>
            </w:r>
            <w:r>
              <w:rPr>
                <w:rFonts w:hint="eastAsia" w:ascii="思源黑体 Regular" w:hAnsi="思源黑体 Regular" w:eastAsia="思源黑体 Regular"/>
                <w:color w:val="auto"/>
                <w:szCs w:val="21"/>
                <w:highlight w:val="none"/>
              </w:rPr>
              <w:t>1</w:t>
            </w:r>
            <w:r>
              <w:rPr>
                <w:rFonts w:ascii="思源黑体 Regular" w:hAnsi="思源黑体 Regular" w:eastAsia="思源黑体 Regular"/>
                <w:color w:val="auto"/>
                <w:szCs w:val="21"/>
                <w:highlight w:val="none"/>
              </w:rPr>
              <w:t>-L2(A)</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102091001</w:t>
            </w:r>
            <w:r>
              <w:rPr>
                <w:rFonts w:ascii="思源黑体 Regular" w:hAnsi="思源黑体 Regular" w:eastAsia="思源黑体 Regular"/>
                <w:color w:val="auto"/>
                <w:szCs w:val="21"/>
                <w:highlight w:val="none"/>
              </w:rPr>
              <w:t>-002</w:t>
            </w:r>
          </w:p>
        </w:tc>
        <w:tc>
          <w:tcPr>
            <w:tcW w:w="1559" w:type="dxa"/>
            <w:vMerge w:val="restart"/>
            <w:tcBorders>
              <w:top w:val="single" w:color="000000" w:sz="8" w:space="0"/>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自20</w:t>
            </w:r>
            <w:r>
              <w:rPr>
                <w:rFonts w:ascii="思源黑体 Regular" w:hAnsi="思源黑体 Regular" w:eastAsia="思源黑体 Regular"/>
                <w:color w:val="auto"/>
                <w:szCs w:val="21"/>
                <w:highlight w:val="none"/>
              </w:rPr>
              <w:t>22/</w:t>
            </w:r>
            <w:r>
              <w:rPr>
                <w:rFonts w:hint="eastAsia" w:ascii="思源黑体 Regular" w:hAnsi="思源黑体 Regular" w:eastAsia="思源黑体 Regular"/>
                <w:color w:val="auto"/>
                <w:szCs w:val="21"/>
                <w:highlight w:val="none"/>
              </w:rPr>
              <w:t>01/01</w:t>
            </w:r>
          </w:p>
          <w:p>
            <w:pPr>
              <w:spacing w:line="360" w:lineRule="auto"/>
              <w:rPr>
                <w:rFonts w:hint="eastAsia"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至20</w:t>
            </w:r>
            <w:r>
              <w:rPr>
                <w:rFonts w:ascii="思源黑体 Regular" w:hAnsi="思源黑体 Regular" w:eastAsia="思源黑体 Regular"/>
                <w:color w:val="auto"/>
                <w:szCs w:val="21"/>
                <w:highlight w:val="none"/>
              </w:rPr>
              <w:t>2</w:t>
            </w:r>
            <w:r>
              <w:rPr>
                <w:rFonts w:hint="eastAsia" w:ascii="思源黑体 Regular" w:hAnsi="思源黑体 Regular" w:eastAsia="思源黑体 Regular"/>
                <w:color w:val="auto"/>
                <w:szCs w:val="21"/>
                <w:highlight w:val="none"/>
                <w:lang w:val="en-US" w:eastAsia="zh-CN"/>
              </w:rPr>
              <w:t>2</w:t>
            </w:r>
            <w:r>
              <w:rPr>
                <w:rFonts w:ascii="思源黑体 Regular" w:hAnsi="思源黑体 Regular" w:eastAsia="思源黑体 Regular"/>
                <w:color w:val="auto"/>
                <w:szCs w:val="21"/>
                <w:highlight w:val="none"/>
              </w:rPr>
              <w:t>/12/3</w:t>
            </w:r>
            <w:r>
              <w:rPr>
                <w:rFonts w:hint="eastAsia" w:ascii="思源黑体 Regular" w:hAnsi="思源黑体 Regular" w:eastAsia="思源黑体 Regular"/>
                <w:color w:val="auto"/>
                <w:szCs w:val="21"/>
                <w:highlight w:val="none"/>
              </w:rPr>
              <w:t>1</w:t>
            </w:r>
          </w:p>
          <w:p>
            <w:pPr>
              <w:spacing w:line="360" w:lineRule="auto"/>
              <w:rPr>
                <w:rFonts w:ascii="思源黑体 Regular" w:hAnsi="思源黑体 Regular" w:eastAsia="思源黑体 Regular"/>
                <w:color w:val="auto"/>
                <w:szCs w:val="21"/>
                <w:highlight w:val="none"/>
              </w:rPr>
            </w:pPr>
          </w:p>
        </w:tc>
        <w:tc>
          <w:tcPr>
            <w:tcW w:w="992"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T</w:t>
            </w:r>
            <w:r>
              <w:rPr>
                <w:rFonts w:ascii="思源黑体 Regular" w:hAnsi="思源黑体 Regular" w:eastAsia="思源黑体 Regular"/>
                <w:color w:val="auto"/>
                <w:szCs w:val="21"/>
                <w:highlight w:val="none"/>
              </w:rPr>
              <w:t>KE</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4/4/4</w:t>
            </w:r>
          </w:p>
        </w:tc>
        <w:tc>
          <w:tcPr>
            <w:tcW w:w="1276"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pacing w:before="100" w:beforeAutospacing="1" w:after="100" w:afterAutospacing="1"/>
              <w:jc w:val="left"/>
              <w:rPr>
                <w:rFonts w:ascii="思源黑体 Regular" w:hAnsi="思源黑体 Regular" w:eastAsia="思源黑体 Regular"/>
                <w:color w:val="auto"/>
                <w:szCs w:val="21"/>
                <w:highlight w:val="none"/>
              </w:rPr>
            </w:pPr>
            <w:r>
              <w:rPr>
                <w:rFonts w:hint="eastAsia" w:ascii="思源黑体 Regular" w:hAnsi="思源黑体 Regular" w:eastAsia="思源黑体 Regular"/>
                <w:bCs/>
                <w:caps/>
                <w:color w:val="auto"/>
                <w:szCs w:val="21"/>
                <w:highlight w:val="none"/>
              </w:rPr>
              <w:t>合肥市经开区繁华大道和金寨路交叉口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L</w:t>
            </w:r>
            <w:r>
              <w:rPr>
                <w:rFonts w:hint="eastAsia" w:ascii="思源黑体 Regular" w:hAnsi="思源黑体 Regular" w:eastAsia="思源黑体 Regular"/>
                <w:color w:val="auto"/>
                <w:szCs w:val="21"/>
                <w:highlight w:val="none"/>
              </w:rPr>
              <w:t>3-L4</w:t>
            </w:r>
            <w:r>
              <w:rPr>
                <w:rFonts w:ascii="思源黑体 Regular" w:hAnsi="思源黑体 Regular" w:eastAsia="思源黑体 Regular"/>
                <w:color w:val="auto"/>
                <w:szCs w:val="21"/>
                <w:highlight w:val="none"/>
              </w:rPr>
              <w:t>(A)</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202002001</w:t>
            </w:r>
            <w:r>
              <w:rPr>
                <w:rFonts w:ascii="思源黑体 Regular" w:hAnsi="思源黑体 Regular" w:eastAsia="思源黑体 Regular"/>
                <w:color w:val="auto"/>
                <w:szCs w:val="21"/>
                <w:highlight w:val="none"/>
              </w:rPr>
              <w:t>-002</w:t>
            </w:r>
          </w:p>
        </w:tc>
        <w:tc>
          <w:tcPr>
            <w:tcW w:w="1559" w:type="dxa"/>
            <w:vMerge w:val="continue"/>
            <w:tcBorders>
              <w:left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auto"/>
                <w:szCs w:val="21"/>
                <w:highlight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auto"/>
                <w:szCs w:val="21"/>
                <w:highlight w:val="none"/>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hint="eastAsia"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5200mm</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before="100" w:beforeAutospacing="1" w:after="100" w:afterAutospacing="1"/>
              <w:jc w:val="left"/>
              <w:rPr>
                <w:rFonts w:hint="eastAsia" w:ascii="思源黑体 Regular" w:hAnsi="思源黑体 Regular" w:eastAsia="思源黑体 Regular"/>
                <w:bCs/>
                <w:cap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default" w:ascii="思源黑体 Regular" w:hAnsi="思源黑体 Regular" w:eastAsia="思源黑体 Regular"/>
                <w:color w:val="auto"/>
                <w:szCs w:val="21"/>
                <w:highlight w:val="none"/>
                <w:lang w:val="en-US" w:eastAsia="zh-CN"/>
              </w:rPr>
            </w:pPr>
            <w:r>
              <w:rPr>
                <w:rFonts w:hint="eastAsia" w:ascii="思源黑体 Regular" w:hAnsi="思源黑体 Regular" w:eastAsia="思源黑体 Regular"/>
                <w:color w:val="auto"/>
                <w:szCs w:val="21"/>
                <w:highlight w:val="none"/>
                <w:lang w:val="en-US" w:eastAsia="zh-CN"/>
              </w:rPr>
              <w:t>L5-L8（A）</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auto"/>
                <w:szCs w:val="21"/>
                <w:highlight w:val="none"/>
              </w:rPr>
            </w:pPr>
          </w:p>
        </w:tc>
        <w:tc>
          <w:tcPr>
            <w:tcW w:w="1559" w:type="dxa"/>
            <w:vMerge w:val="continue"/>
            <w:tcBorders>
              <w:left w:val="single" w:color="000000" w:sz="8" w:space="0"/>
              <w:right w:val="single" w:color="000000" w:sz="8" w:space="0"/>
            </w:tcBorders>
            <w:shd w:val="clear" w:color="auto" w:fill="FFFFFF"/>
          </w:tcPr>
          <w:p>
            <w:pPr>
              <w:spacing w:line="360" w:lineRule="auto"/>
              <w:rPr>
                <w:rFonts w:hint="eastAsia" w:ascii="思源黑体 Regular" w:hAnsi="思源黑体 Regular" w:eastAsia="思源黑体 Regular"/>
                <w:color w:val="auto"/>
                <w:szCs w:val="21"/>
                <w:highlight w:val="none"/>
              </w:rPr>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hint="default" w:ascii="思源黑体 Regular" w:hAnsi="思源黑体 Regular" w:eastAsia="思源黑体 Regular"/>
                <w:color w:val="auto"/>
                <w:szCs w:val="21"/>
                <w:highlight w:val="none"/>
                <w:lang w:val="en-US" w:eastAsia="zh-CN"/>
              </w:rPr>
            </w:pPr>
            <w:r>
              <w:rPr>
                <w:rFonts w:hint="eastAsia" w:ascii="思源黑体 Regular" w:hAnsi="思源黑体 Regular" w:eastAsia="思源黑体 Regular"/>
                <w:color w:val="auto"/>
                <w:szCs w:val="21"/>
                <w:highlight w:val="none"/>
                <w:lang w:val="en-US" w:eastAsia="zh-CN"/>
              </w:rPr>
              <w:t>TONE</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hint="default" w:ascii="思源黑体 Regular" w:hAnsi="思源黑体 Regular" w:eastAsia="思源黑体 Regular"/>
                <w:color w:val="auto"/>
                <w:szCs w:val="21"/>
                <w:highlight w:val="none"/>
                <w:lang w:val="en-US" w:eastAsia="zh-CN"/>
              </w:rPr>
            </w:pPr>
            <w:r>
              <w:rPr>
                <w:rFonts w:hint="eastAsia" w:ascii="思源黑体 Regular" w:hAnsi="思源黑体 Regular" w:eastAsia="思源黑体 Regular"/>
                <w:color w:val="auto"/>
                <w:szCs w:val="21"/>
                <w:highlight w:val="none"/>
                <w:lang w:val="en-US" w:eastAsia="zh-CN"/>
              </w:rPr>
              <w:t>4/4/4</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before="100" w:beforeAutospacing="1" w:after="100" w:afterAutospacing="1"/>
              <w:jc w:val="left"/>
              <w:rPr>
                <w:rFonts w:hint="eastAsia" w:ascii="思源黑体 Regular" w:hAnsi="思源黑体 Regular" w:eastAsia="思源黑体 Regular"/>
                <w:bCs/>
                <w:cap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5-6(H)</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rPr>
                <w:rFonts w:ascii="思源黑体 Regular" w:hAnsi="思源黑体 Regular" w:eastAsia="思源黑体 Regular" w:cs="宋体"/>
                <w:color w:val="auto"/>
                <w:szCs w:val="21"/>
                <w:highlight w:val="none"/>
              </w:rPr>
            </w:pPr>
            <w:r>
              <w:rPr>
                <w:rFonts w:ascii="思源黑体 Regular" w:hAnsi="思源黑体 Regular" w:eastAsia="思源黑体 Regular"/>
                <w:color w:val="auto"/>
                <w:szCs w:val="21"/>
                <w:highlight w:val="none"/>
              </w:rPr>
              <w:t>E/30010338.002-001</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p>
        </w:tc>
        <w:tc>
          <w:tcPr>
            <w:tcW w:w="992"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T</w:t>
            </w:r>
            <w:r>
              <w:rPr>
                <w:rFonts w:ascii="思源黑体 Regular" w:hAnsi="思源黑体 Regular" w:eastAsia="思源黑体 Regular"/>
                <w:color w:val="auto"/>
                <w:szCs w:val="21"/>
                <w:highlight w:val="none"/>
              </w:rPr>
              <w:t>KE</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4/4/4</w:t>
            </w:r>
          </w:p>
        </w:tc>
        <w:tc>
          <w:tcPr>
            <w:tcW w:w="1276" w:type="dxa"/>
            <w:vMerge w:val="restart"/>
            <w:tcBorders>
              <w:top w:val="single" w:color="000000" w:sz="8" w:space="0"/>
              <w:left w:val="single" w:color="000000" w:sz="8" w:space="0"/>
              <w:bottom w:val="single" w:color="000000" w:sz="8" w:space="0"/>
              <w:right w:val="single" w:color="000000" w:sz="8" w:space="0"/>
            </w:tcBorders>
            <w:shd w:val="clear" w:color="auto" w:fill="FFFFFF"/>
          </w:tcPr>
          <w:p>
            <w:pPr>
              <w:jc w:val="left"/>
              <w:rPr>
                <w:rFonts w:ascii="思源黑体 Regular" w:hAnsi="思源黑体 Regular" w:eastAsia="思源黑体 Regular"/>
                <w:color w:val="auto"/>
                <w:szCs w:val="21"/>
                <w:highlight w:val="none"/>
              </w:rPr>
            </w:pPr>
            <w:r>
              <w:rPr>
                <w:rFonts w:hint="eastAsia" w:ascii="思源黑体 Regular" w:hAnsi="思源黑体 Regular" w:eastAsia="思源黑体 Regular"/>
                <w:bCs/>
                <w:caps/>
                <w:color w:val="auto"/>
                <w:szCs w:val="21"/>
                <w:highlight w:val="none"/>
              </w:rPr>
              <w:t>合肥市</w:t>
            </w:r>
            <w:r>
              <w:rPr>
                <w:rFonts w:ascii="思源黑体 Regular" w:hAnsi="思源黑体 Regular" w:eastAsia="思源黑体 Regular"/>
                <w:bCs/>
                <w:caps/>
                <w:color w:val="auto"/>
                <w:szCs w:val="21"/>
                <w:highlight w:val="none"/>
              </w:rPr>
              <w:t>滨湖区</w:t>
            </w:r>
            <w:r>
              <w:rPr>
                <w:rFonts w:hint="eastAsia" w:ascii="思源黑体 Regular" w:hAnsi="思源黑体 Regular" w:eastAsia="思源黑体 Regular"/>
                <w:bCs/>
                <w:caps/>
                <w:color w:val="auto"/>
                <w:szCs w:val="21"/>
                <w:highlight w:val="none"/>
              </w:rPr>
              <w:t>锦绣</w:t>
            </w:r>
            <w:r>
              <w:rPr>
                <w:rFonts w:ascii="思源黑体 Regular" w:hAnsi="思源黑体 Regular" w:eastAsia="思源黑体 Regular"/>
                <w:bCs/>
                <w:caps/>
                <w:color w:val="auto"/>
                <w:szCs w:val="21"/>
                <w:highlight w:val="none"/>
              </w:rPr>
              <w:t>大道</w:t>
            </w:r>
            <w:r>
              <w:rPr>
                <w:rFonts w:hint="eastAsia" w:ascii="思源黑体 Regular" w:hAnsi="思源黑体 Regular" w:eastAsia="思源黑体 Regular"/>
                <w:bCs/>
                <w:caps/>
                <w:color w:val="auto"/>
                <w:szCs w:val="21"/>
                <w:highlight w:val="none"/>
              </w:rPr>
              <w:t>3899号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L7(H)</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rPr>
                <w:rFonts w:ascii="思源黑体 Regular" w:hAnsi="思源黑体 Regular" w:eastAsia="思源黑体 Regular" w:cs="宋体"/>
                <w:color w:val="auto"/>
                <w:szCs w:val="21"/>
                <w:highlight w:val="none"/>
              </w:rPr>
            </w:pPr>
            <w:r>
              <w:rPr>
                <w:rFonts w:ascii="思源黑体 Regular" w:hAnsi="思源黑体 Regular" w:eastAsia="思源黑体 Regular"/>
                <w:color w:val="auto"/>
                <w:szCs w:val="21"/>
                <w:highlight w:val="none"/>
              </w:rPr>
              <w:t>E/30010338.004</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105" w:firstLineChars="50"/>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4/4/4</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8-11(H)</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31122-010-001~004</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30°/7000</w:t>
            </w:r>
            <w:r>
              <w:rPr>
                <w:rFonts w:ascii="思源黑体 Regular" w:hAnsi="思源黑体 Regular" w:eastAsia="思源黑体 Regular"/>
                <w:color w:val="auto"/>
                <w:szCs w:val="21"/>
                <w:highlight w:val="none"/>
              </w:rPr>
              <w:t>mm</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12-15(H)</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31122-020-005~008</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315" w:firstLineChars="150"/>
              <w:rPr>
                <w:rFonts w:ascii="思源黑体 Regular" w:hAnsi="思源黑体 Regular" w:eastAsia="思源黑体 Regular"/>
                <w:color w:val="auto"/>
                <w:szCs w:val="21"/>
                <w:highlight w:val="none"/>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30°/5000</w:t>
            </w:r>
            <w:r>
              <w:rPr>
                <w:rFonts w:ascii="思源黑体 Regular" w:hAnsi="思源黑体 Regular" w:eastAsia="思源黑体 Regular"/>
                <w:color w:val="auto"/>
                <w:szCs w:val="21"/>
                <w:highlight w:val="none"/>
              </w:rPr>
              <w:t>mm</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16</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s="Calibri"/>
                <w:bCs/>
                <w:color w:val="auto"/>
                <w:szCs w:val="21"/>
                <w:highlight w:val="none"/>
              </w:rPr>
              <w:t>E/30010338.00</w:t>
            </w:r>
            <w:r>
              <w:rPr>
                <w:rFonts w:ascii="思源黑体 Regular" w:hAnsi="思源黑体 Regular" w:eastAsia="思源黑体 Regular" w:cs="Calibri"/>
                <w:bCs/>
                <w:color w:val="auto"/>
                <w:szCs w:val="21"/>
                <w:highlight w:val="none"/>
              </w:rPr>
              <w:t>3</w:t>
            </w:r>
          </w:p>
        </w:tc>
        <w:tc>
          <w:tcPr>
            <w:tcW w:w="1559" w:type="dxa"/>
            <w:vMerge w:val="continue"/>
            <w:tcBorders>
              <w:left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315" w:firstLineChars="150"/>
              <w:rPr>
                <w:rFonts w:ascii="思源黑体 Regular" w:hAnsi="思源黑体 Regular" w:eastAsia="思源黑体 Regular"/>
                <w:color w:val="auto"/>
                <w:szCs w:val="21"/>
                <w:highlight w:val="none"/>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4</w:t>
            </w:r>
            <w:r>
              <w:rPr>
                <w:rFonts w:ascii="思源黑体 Regular" w:hAnsi="思源黑体 Regular" w:eastAsia="思源黑体 Regular"/>
                <w:color w:val="auto"/>
                <w:szCs w:val="21"/>
                <w:highlight w:val="none"/>
              </w:rPr>
              <w:t>/4//4</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17-18</w:t>
            </w:r>
          </w:p>
        </w:tc>
        <w:tc>
          <w:tcPr>
            <w:tcW w:w="2410"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s="Calibri"/>
                <w:bCs/>
                <w:color w:val="auto"/>
                <w:szCs w:val="21"/>
                <w:highlight w:val="none"/>
              </w:rPr>
              <w:t>E/30010338.00</w:t>
            </w:r>
            <w:r>
              <w:rPr>
                <w:rFonts w:ascii="思源黑体 Regular" w:hAnsi="思源黑体 Regular" w:eastAsia="思源黑体 Regular" w:cs="Calibri"/>
                <w:bCs/>
                <w:color w:val="auto"/>
                <w:szCs w:val="21"/>
                <w:highlight w:val="none"/>
              </w:rPr>
              <w:t>7-008</w:t>
            </w:r>
          </w:p>
        </w:tc>
        <w:tc>
          <w:tcPr>
            <w:tcW w:w="1559" w:type="dxa"/>
            <w:vMerge w:val="continue"/>
            <w:tcBorders>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p>
        </w:tc>
        <w:tc>
          <w:tcPr>
            <w:tcW w:w="992"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ind w:firstLine="315" w:firstLineChars="150"/>
              <w:rPr>
                <w:rFonts w:ascii="思源黑体 Regular" w:hAnsi="思源黑体 Regular" w:eastAsia="思源黑体 Regular"/>
                <w:color w:val="auto"/>
                <w:szCs w:val="21"/>
                <w:highlight w:val="none"/>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2</w:t>
            </w:r>
            <w:r>
              <w:rPr>
                <w:rFonts w:ascii="思源黑体 Regular" w:hAnsi="思源黑体 Regular" w:eastAsia="思源黑体 Regular"/>
                <w:color w:val="auto"/>
                <w:szCs w:val="21"/>
                <w:highlight w:val="none"/>
              </w:rPr>
              <w:t>/2/2</w:t>
            </w:r>
          </w:p>
        </w:tc>
        <w:tc>
          <w:tcPr>
            <w:tcW w:w="1276"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tcBorders>
              <w:top w:val="single" w:color="000000" w:sz="8" w:space="0"/>
              <w:left w:val="single" w:color="000000" w:sz="8" w:space="0"/>
              <w:bottom w:val="single" w:color="000000" w:sz="8" w:space="0"/>
              <w:right w:val="single" w:color="000000" w:sz="8" w:space="0"/>
            </w:tcBorders>
            <w:shd w:val="clear" w:color="auto" w:fill="FFFFFF"/>
          </w:tcPr>
          <w:p>
            <w:pPr>
              <w:tabs>
                <w:tab w:val="left" w:pos="6398"/>
              </w:tabs>
              <w:adjustRightInd w:val="0"/>
              <w:snapToGrid w:val="0"/>
              <w:spacing w:line="480" w:lineRule="exact"/>
              <w:ind w:right="322"/>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合同类型为小包，即只提供维保所需工具和劳务，不提供免费电梯零部件；不包含</w:t>
            </w:r>
            <w:r>
              <w:rPr>
                <w:rFonts w:hint="eastAsia" w:ascii="思源黑体 Regular" w:hAnsi="思源黑体 Regular" w:eastAsia="思源黑体 Regular" w:cs="Calibri"/>
                <w:bCs/>
                <w:color w:val="auto"/>
                <w:szCs w:val="21"/>
                <w:highlight w:val="none"/>
              </w:rPr>
              <w:t>直梯的限速器校验费用及制动1</w:t>
            </w:r>
            <w:r>
              <w:rPr>
                <w:rFonts w:ascii="思源黑体 Regular" w:hAnsi="思源黑体 Regular" w:eastAsia="思源黑体 Regular" w:cs="Calibri"/>
                <w:bCs/>
                <w:color w:val="auto"/>
                <w:szCs w:val="21"/>
                <w:highlight w:val="none"/>
              </w:rPr>
              <w:t>25</w:t>
            </w:r>
            <w:r>
              <w:rPr>
                <w:rFonts w:hint="eastAsia" w:ascii="思源黑体 Regular" w:hAnsi="思源黑体 Regular" w:eastAsia="思源黑体 Regular" w:cs="Calibri"/>
                <w:bCs/>
                <w:color w:val="auto"/>
                <w:szCs w:val="21"/>
                <w:highlight w:val="none"/>
              </w:rPr>
              <w:t>%试验费用、年检费用</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color w:val="auto"/>
          <w:sz w:val="24"/>
          <w:szCs w:val="28"/>
          <w:highlight w:val="none"/>
          <w:lang w:val="en-US" w:eastAsia="zh-CN"/>
        </w:rPr>
      </w:pPr>
      <w:r>
        <w:rPr>
          <w:rFonts w:hint="eastAsia" w:ascii="宋体" w:hAnsi="宋体"/>
          <w:color w:val="auto"/>
          <w:sz w:val="24"/>
          <w:szCs w:val="28"/>
          <w:highlight w:val="none"/>
          <w:lang w:val="en-US" w:eastAsia="zh-CN"/>
        </w:rPr>
        <w:t>（2）常用配件报价表：</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投标人根据《配件、耗材清单》逐一填报单价，费用不包含在此次投标报价中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仅作为维保期间维修零配件报价参考</w:t>
      </w:r>
      <w:r>
        <w:rPr>
          <w:rFonts w:hint="eastAsia" w:ascii="宋体" w:hAnsi="宋体" w:cs="宋体"/>
          <w:color w:val="auto"/>
          <w:sz w:val="24"/>
          <w:szCs w:val="24"/>
          <w:highlight w:val="none"/>
          <w:u w:val="singl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《配件、耗材清单》（精简为适配项目的配件清单）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94"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2073"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物料名称</w:t>
            </w:r>
          </w:p>
        </w:tc>
        <w:tc>
          <w:tcPr>
            <w:tcW w:w="299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型号、规格、参数</w:t>
            </w:r>
          </w:p>
        </w:tc>
        <w:tc>
          <w:tcPr>
            <w:tcW w:w="70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单位</w:t>
            </w:r>
          </w:p>
        </w:tc>
        <w:tc>
          <w:tcPr>
            <w:tcW w:w="70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1268"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报价</w:t>
            </w:r>
            <w:r>
              <w:rPr>
                <w:rFonts w:hint="eastAsia" w:ascii="宋体" w:hAnsi="宋体" w:cs="宋体"/>
                <w:b/>
                <w:bCs/>
                <w:color w:val="auto"/>
                <w:kern w:val="0"/>
                <w:sz w:val="24"/>
                <w:szCs w:val="24"/>
                <w:highlight w:val="none"/>
              </w:rPr>
              <w:br w:type="textWrapping"/>
            </w:r>
            <w:r>
              <w:rPr>
                <w:rFonts w:hint="eastAsia" w:ascii="宋体" w:hAnsi="宋体" w:cs="宋体"/>
                <w:b/>
                <w:bCs/>
                <w:color w:val="auto"/>
                <w:kern w:val="0"/>
                <w:sz w:val="24"/>
                <w:szCs w:val="24"/>
                <w:highlight w:val="none"/>
              </w:rPr>
              <w:t>（含税）</w:t>
            </w: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称重传感器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EK-HDJD 1.5M</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轿厢显示板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MA10-S1</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SR模块</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SRC-E2.0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轿门电机组件 </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DM-75 100V 75w</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电路板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MF4-B 带蓝牙模块</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电路板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MC2-B（国产带显示）</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变频器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CPIC-V-34A</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电路板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MC2-B（国产不带显示）</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变频器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CPIC-V-18A</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外呼板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MS5-E2.1</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块 </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磁尺</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AB20-80-10-1-R-D-15-BK80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液晶显示器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4/3' W90P710_CAN</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磁开关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L=50mm</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门机控制器 </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BG203-DZC1C</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门导靴 </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S200 黑色橡胶 L50.5mm</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同心挂门轮</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D48 K200/S200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厅门钢丝绳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S200 DW900 d3 L3580中分</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圆柱拉伸弹簧</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800*11.3*1.3 中分S8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圆柱拉伸弹簧</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1250*11.3*1.3 中分S8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门刀组件</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K8 左开、中分</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圆柱拉伸弹簧</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门挂板滚轮</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D60 K8/S8</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厅门关闭弹簧C2/T2 </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424mm（S200非玻璃厅门）</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BST门齿形带</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L=5m(K200/K300轿门)</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触点开关AZ-06</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k200/s200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门机皮带驱动轮</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k200塑料</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门挂板滚轮组件</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D60 K8/S8 镀锌</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触点开关RX07</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主锁 S200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K8轿门齿形带</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厅门门锁装置</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S200 中分及左开</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644" w:hRule="exac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2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手动复位行程开关</w:t>
            </w:r>
          </w:p>
        </w:tc>
        <w:tc>
          <w:tcPr>
            <w:tcW w:w="2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LX26-UKS</w:t>
            </w: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33</w:t>
            </w:r>
          </w:p>
        </w:tc>
        <w:tc>
          <w:tcPr>
            <w:tcW w:w="2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集油盒 </w:t>
            </w:r>
          </w:p>
        </w:tc>
        <w:tc>
          <w:tcPr>
            <w:tcW w:w="2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YF02X556</w:t>
            </w: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20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涨紧轮开关CR400NF</w:t>
            </w:r>
          </w:p>
        </w:tc>
        <w:tc>
          <w:tcPr>
            <w:tcW w:w="29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CR400NF</w:t>
            </w: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底坑检修箱</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含TK-TC12（1-1）B1 11W</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梯级链润滑油</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前裙板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左下/右上（FT84系列）</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3孔梳齿板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主板辅助模块</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ECT-01-B V3.0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控制主板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ECT-01-A V3.0 无端头</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主板显示器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ECT-01-D V3.0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扶梯控制主板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ECT-00-B</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辅助触点</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SZ-AS1-C</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754"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急停开关盒（不带线）</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XAL-J174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微动开关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TM-1307 PT0.4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抱闸控制器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EMBP-220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旋转编码器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ECN413</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套</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24V开关电源</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NES-150-24</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张紧轮开关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S3-1375</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50</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极限开关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HD/1370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个</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51</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液晶显示器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4.3" SM.04VL 16/H/BLU</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F9一体式门机</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53</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光幕</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门科（E10）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54</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磁开关</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YG-39G1K</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55</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光电传感器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OR81GL-DHTN-005-ALX</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56</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靴衬</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黄色乌龟壳式 CO=16MM</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57</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液晶显示器</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5.7"SM.04VL16/J/BLU</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397" w:hRule="exact"/>
          <w:jc w:val="center"/>
        </w:trPr>
        <w:tc>
          <w:tcPr>
            <w:tcW w:w="8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58</w:t>
            </w:r>
          </w:p>
        </w:tc>
        <w:tc>
          <w:tcPr>
            <w:tcW w:w="20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应急电源</w:t>
            </w:r>
          </w:p>
        </w:tc>
        <w:tc>
          <w:tcPr>
            <w:tcW w:w="2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TK-EP220/12H-Li AC220V DC12V</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件</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auto"/>
                <w:kern w:val="0"/>
                <w:sz w:val="24"/>
                <w:szCs w:val="24"/>
                <w:highlight w:val="none"/>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备注：本清单外的配件价格，根据现场实际发生时的配件类型，由维保单位据实询价报价，并由双方签署配件销售报价单。</w:t>
            </w:r>
          </w:p>
        </w:tc>
      </w:tr>
    </w:tbl>
    <w:p>
      <w:pPr>
        <w:adjustRightInd w:val="0"/>
        <w:snapToGrid w:val="0"/>
        <w:spacing w:line="360" w:lineRule="auto"/>
        <w:ind w:firstLine="118" w:firstLineChars="49"/>
        <w:jc w:val="left"/>
        <w:rPr>
          <w:rFonts w:hint="eastAsia" w:cs="仿宋" w:asciiTheme="minorEastAsia" w:hAnsiTheme="minorEastAsia" w:eastAsiaTheme="minorEastAsia"/>
          <w:b/>
          <w:color w:val="auto"/>
          <w:sz w:val="24"/>
          <w:szCs w:val="24"/>
          <w:highlight w:val="none"/>
          <w:lang w:eastAsia="zh-CN"/>
        </w:rPr>
      </w:pPr>
    </w:p>
    <w:p>
      <w:pPr>
        <w:spacing w:line="360" w:lineRule="auto"/>
        <w:rPr>
          <w:rFonts w:ascii="宋体" w:hAnsi="宋体"/>
          <w:b/>
          <w:color w:val="auto"/>
          <w:sz w:val="24"/>
          <w:szCs w:val="24"/>
          <w:highlight w:val="none"/>
        </w:rPr>
      </w:pPr>
      <w:r>
        <w:rPr>
          <w:rFonts w:hint="eastAsia" w:ascii="宋体" w:hAnsi="宋体"/>
          <w:b/>
          <w:color w:val="auto"/>
          <w:sz w:val="24"/>
          <w:szCs w:val="28"/>
          <w:highlight w:val="none"/>
        </w:rPr>
        <w:t>五、</w:t>
      </w:r>
      <w:r>
        <w:rPr>
          <w:rFonts w:hint="eastAsia" w:ascii="宋体" w:hAnsi="宋体"/>
          <w:b/>
          <w:color w:val="auto"/>
          <w:sz w:val="24"/>
          <w:szCs w:val="24"/>
          <w:highlight w:val="none"/>
        </w:rPr>
        <w:t>报价要求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1.本项目采用</w:t>
      </w:r>
      <w:r>
        <w:rPr>
          <w:rFonts w:hint="eastAsia" w:ascii="宋体" w:hAnsi="宋体"/>
          <w:color w:val="auto"/>
          <w:sz w:val="24"/>
          <w:szCs w:val="28"/>
          <w:highlight w:val="none"/>
          <w:lang w:val="en-US" w:eastAsia="zh-CN"/>
        </w:rPr>
        <w:t>电梯</w:t>
      </w:r>
      <w:r>
        <w:rPr>
          <w:rFonts w:hint="eastAsia" w:ascii="宋体" w:hAnsi="宋体"/>
          <w:color w:val="auto"/>
          <w:sz w:val="24"/>
          <w:szCs w:val="28"/>
          <w:highlight w:val="none"/>
        </w:rPr>
        <w:t>维修及年度维保费总价计价，除非合同另有规定，该总价包含但不限于</w:t>
      </w:r>
      <w:r>
        <w:rPr>
          <w:rFonts w:hint="eastAsia" w:ascii="宋体" w:hAnsi="宋体"/>
          <w:color w:val="auto"/>
          <w:sz w:val="24"/>
          <w:szCs w:val="28"/>
          <w:highlight w:val="none"/>
          <w:lang w:val="en-US" w:eastAsia="zh-CN"/>
        </w:rPr>
        <w:t>电梯</w:t>
      </w:r>
      <w:r>
        <w:rPr>
          <w:rFonts w:hint="eastAsia" w:ascii="宋体" w:hAnsi="宋体"/>
          <w:color w:val="auto"/>
          <w:sz w:val="24"/>
          <w:szCs w:val="28"/>
          <w:highlight w:val="none"/>
        </w:rPr>
        <w:t>设备检测费、维修费、人工费、社保费、保养费、利润、税金等全部费用。投标报价总价不得高于项目概算。</w:t>
      </w:r>
    </w:p>
    <w:p>
      <w:pPr>
        <w:spacing w:line="360" w:lineRule="auto"/>
        <w:ind w:firstLine="480" w:firstLineChars="200"/>
        <w:rPr>
          <w:rFonts w:hint="eastAsia" w:ascii="宋体" w:hAnsi="宋体" w:eastAsia="宋体"/>
          <w:color w:val="auto"/>
          <w:sz w:val="24"/>
          <w:szCs w:val="28"/>
          <w:highlight w:val="none"/>
          <w:lang w:eastAsia="zh-CN"/>
        </w:rPr>
      </w:pPr>
      <w:r>
        <w:rPr>
          <w:rFonts w:hint="eastAsia" w:ascii="宋体" w:hAnsi="宋体"/>
          <w:color w:val="auto"/>
          <w:sz w:val="24"/>
          <w:szCs w:val="28"/>
          <w:highlight w:val="none"/>
        </w:rPr>
        <w:t>2.投标人需提供维保方案及常用配件清单价格表，并承诺中标后维保过程中配件价格不得高于附件价格清单报价</w:t>
      </w:r>
      <w:r>
        <w:rPr>
          <w:rFonts w:hint="eastAsia" w:ascii="宋体" w:hAnsi="宋体"/>
          <w:color w:val="auto"/>
          <w:sz w:val="24"/>
          <w:szCs w:val="28"/>
          <w:highlight w:val="none"/>
          <w:lang w:eastAsia="zh-CN"/>
        </w:rPr>
        <w:t>。</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.投标人根据现场勘察结果填写报价表中规定的所有内容，未经勘察或勘察有误的，风险由投标人自行承担，报价不得有漏项，否则，作为废标处理。</w:t>
      </w:r>
    </w:p>
    <w:p>
      <w:pPr>
        <w:pStyle w:val="65"/>
        <w:spacing w:after="0" w:line="360" w:lineRule="auto"/>
        <w:ind w:left="0" w:leftChars="0" w:firstLine="354" w:firstLineChars="147"/>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六. 质量要求及验收标准</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）维保的服务内容；</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例行日常维护保养服务：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对电梯提供日常维护保养服务。维护保养项目应覆盖《电梯维护保养规则-TSGT5002-2017》规定的半月、季度、半年、年度保养项目和电梯制造单位技术文件所要求的特殊保养项目，以及与电梯安全运行相关的其他项目。</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2</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故障排除和紧急救援服务：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如遇电梯发生故障和困人，在第一时间赶至现场进行救援和故障排除。</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3</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 xml:space="preserve">年终服务及设备检测: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每年进行一次全面检查，检查应在特种设备检验检测机构进行定期检验之前进行，检查项目不少于年度维保和电梯定期检验规定的项目及其内容。年度调整主要的部件，安全功能装置的测试，量度偏差及彻底清理主要部件，并通过国家有关部门验收取得电梯运行合格证。按TSG T7001-2009要求定期完成限速器动作速度校验及125%制动试验并提供报价，本项费用不包含在此次投标报价中，据实另行结算。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4</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 xml:space="preserve">投标人须提供的其它服务: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eastAsia="宋体"/>
          <w:color w:val="auto"/>
          <w:sz w:val="24"/>
          <w:szCs w:val="28"/>
          <w:highlight w:val="none"/>
          <w:lang w:eastAsia="zh-CN"/>
        </w:rPr>
      </w:pPr>
      <w:r>
        <w:rPr>
          <w:rFonts w:hint="eastAsia" w:ascii="宋体" w:hAnsi="宋体"/>
          <w:color w:val="auto"/>
          <w:sz w:val="24"/>
          <w:szCs w:val="28"/>
          <w:highlight w:val="none"/>
        </w:rPr>
        <w:t>为了更好地服务于采购人，使电梯设备达到安全、可靠、舒适、有效的运行，投标人还须向采购人提供专业的预防性维护保养工作计划并按照该计划实施。在每次保养后做书面记录，并由监督电梯维护保养工作的采购人代表签字确认。协助采购人制订有关电梯运行的：安全管理制度、安全技术档案、应急救援预案，配合采购人进行电梯应急救援演习（一年2次）和对电梯安全运行的日常管理。</w:t>
      </w:r>
      <w:r>
        <w:rPr>
          <w:rFonts w:hint="eastAsia" w:ascii="宋体" w:hAnsi="宋体"/>
          <w:color w:val="auto"/>
          <w:sz w:val="24"/>
          <w:szCs w:val="28"/>
          <w:highlight w:val="none"/>
          <w:lang w:eastAsia="zh-CN"/>
        </w:rPr>
        <w:t>在展会期间应配合展会需求提供人员现场保障。</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5</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工作要求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1、在保证电梯安全运行的前提下，进一步提高电梯维保服务质量及降低电梯维护保养成本，节能降耗。</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2、投标人为每台电梯的保养都建立详细的档案，并定期向采购人提供反映电梯现状的各种数据报告。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3、日常维护保养应遵守的标准</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1）电梯维护保养规则TSG T5002-2017；</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 xml:space="preserve">2）电梯、自动扶梯和自动人行道维修规范GB/T 18775-2009；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3）电梯监督检验和定期检验规则 - 曳引与强制驱动电梯TSG T7001-2009 及其第1 号、2 号、3号修改单；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 xml:space="preserve">4）电梯安装维修作业安全规范DB11/419-2007；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5）电梯安装改造重大维修和维护保养自检规则DB11/420-2007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6）电梯制造生产厂家安装使用维护说明书；</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7）合肥市电梯安全监督管理办法；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8）维护保养合同；</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9）其它有关电梯的相关法律、法规、标准和要求。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4、项目负责人</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名</w:t>
      </w:r>
      <w:r>
        <w:rPr>
          <w:rFonts w:hint="eastAsia" w:ascii="宋体" w:hAnsi="宋体"/>
          <w:color w:val="auto"/>
          <w:sz w:val="24"/>
          <w:szCs w:val="28"/>
          <w:highlight w:val="none"/>
          <w:lang w:eastAsia="zh-CN"/>
        </w:rPr>
        <w:t>（每馆各</w:t>
      </w:r>
      <w:r>
        <w:rPr>
          <w:rFonts w:hint="eastAsia" w:ascii="宋体" w:hAnsi="宋体"/>
          <w:color w:val="auto"/>
          <w:sz w:val="24"/>
          <w:szCs w:val="28"/>
          <w:highlight w:val="none"/>
          <w:lang w:val="en-US" w:eastAsia="zh-CN"/>
        </w:rPr>
        <w:t>1名</w:t>
      </w:r>
      <w:r>
        <w:rPr>
          <w:rFonts w:hint="eastAsia" w:ascii="宋体" w:hAnsi="宋体"/>
          <w:color w:val="auto"/>
          <w:sz w:val="24"/>
          <w:szCs w:val="28"/>
          <w:highlight w:val="none"/>
          <w:lang w:eastAsia="zh-CN"/>
        </w:rPr>
        <w:t>）</w:t>
      </w:r>
      <w:r>
        <w:rPr>
          <w:rFonts w:hint="eastAsia" w:ascii="宋体" w:hAnsi="宋体"/>
          <w:color w:val="auto"/>
          <w:sz w:val="24"/>
          <w:szCs w:val="28"/>
          <w:highlight w:val="none"/>
        </w:rPr>
        <w:t>，有丰富的电梯维修保养从业经验；须提供全年365天24小时的应急响应服务，安全作业人员不少于</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人，其中</w:t>
      </w:r>
      <w:r>
        <w:rPr>
          <w:rFonts w:hint="eastAsia" w:ascii="宋体" w:hAnsi="宋体"/>
          <w:color w:val="auto"/>
          <w:sz w:val="24"/>
          <w:szCs w:val="28"/>
          <w:highlight w:val="none"/>
          <w:lang w:val="en-US" w:eastAsia="zh-CN"/>
        </w:rPr>
        <w:t>每馆</w:t>
      </w:r>
      <w:r>
        <w:rPr>
          <w:rFonts w:hint="eastAsia" w:ascii="宋体" w:hAnsi="宋体"/>
          <w:color w:val="auto"/>
          <w:sz w:val="24"/>
          <w:szCs w:val="28"/>
          <w:highlight w:val="none"/>
        </w:rPr>
        <w:t>1名为项目</w:t>
      </w:r>
      <w:r>
        <w:rPr>
          <w:rFonts w:hint="eastAsia" w:ascii="宋体" w:hAnsi="宋体"/>
          <w:color w:val="auto"/>
          <w:sz w:val="24"/>
          <w:szCs w:val="28"/>
          <w:highlight w:val="none"/>
          <w:lang w:val="en-US" w:eastAsia="zh-CN"/>
        </w:rPr>
        <w:t>常</w:t>
      </w:r>
      <w:r>
        <w:rPr>
          <w:rFonts w:hint="eastAsia" w:ascii="宋体" w:hAnsi="宋体"/>
          <w:color w:val="auto"/>
          <w:sz w:val="24"/>
          <w:szCs w:val="28"/>
          <w:highlight w:val="none"/>
        </w:rPr>
        <w:t>派服务维保人员，另外1名为机动维保人员，投标时须提供服务团队人员名单、电话、近3个月社保缴纳证明及由质量监督管理局颁发的合格有效的特种设备作业人员证证书复印件。</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1）维保人员在接到困人故障或事故报警后30分钟内到达现场，超出时间引起的事故或损失应承担相应的责任，并能提供正常连续的服务直至故障或事故排除。</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2）对电梯困人事故要求在到达现场后30分钟内把乘客从轿厢中救出、对非电子板原因的常见故障要求在60分钟内排除，对电子板原因的故障应在普遍认可的合理时间内解决。</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3）对故障电梯进行诊断，并于故障恢复后一周内出具书面故障诊断报告。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rPr>
        <w:t>4）配合政府部门对服务期内的设备实施并通过年检，年检费用由采购人负责，如因维保质量原因未能通过定期检测或年检的，发生的复检费用由投标人负责。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5、投标人在服务前须向采购人提供维保人员的姓名、通迅号码并提供有效的特种设备作业人员资格证书扫描件或影印件。</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6、要求作业过程中应服从采购人现场安全管理，落实现场安全防护措施，保证作业安全。需要安全监护作业的内容应书面告知采购人，作业时，作业人员不得少于二人。</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7、投标人或其当地分支机构应存放有足够多的常用电梯配件以备客户电梯损坏是及时更换，需要更换配件时，如涉及电梯的核心部件（如主机、控制柜主板、变频器等），必须使用品质不低于或等同于原厂的部件，确保电梯设备的安全可靠性。更换部件质保不少于一年（易损易耗件除外），更换的部件需满足《特种设备安全法》要求。对更换下来的电子器件应由采购人与投标人共同销毁或采购人保存。费用由配件更换的材料及人工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auto"/>
          <w:sz w:val="24"/>
          <w:szCs w:val="28"/>
          <w:highlight w:val="none"/>
        </w:rPr>
      </w:pPr>
      <w:r>
        <w:rPr>
          <w:rFonts w:hint="eastAsia" w:ascii="宋体" w:hAnsi="宋体"/>
          <w:color w:val="auto"/>
          <w:sz w:val="24"/>
          <w:szCs w:val="28"/>
          <w:highlight w:val="none"/>
          <w:lang w:val="en-US" w:eastAsia="zh-CN"/>
        </w:rPr>
        <w:t>5.</w:t>
      </w:r>
      <w:r>
        <w:rPr>
          <w:rFonts w:hint="eastAsia" w:ascii="宋体" w:hAnsi="宋体"/>
          <w:color w:val="auto"/>
          <w:sz w:val="24"/>
          <w:szCs w:val="28"/>
          <w:highlight w:val="none"/>
        </w:rPr>
        <w:t>8、如因人为破坏造成电梯故障或损坏，投标人有责任及时将其修复或更换，使电梯恢复安全、正常运行，相关费用由采购人承担。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）下年度维修材料报价单</w:t>
      </w:r>
      <w:r>
        <w:rPr>
          <w:rFonts w:hint="eastAsia" w:ascii="宋体" w:hAnsi="宋体"/>
          <w:color w:val="auto"/>
          <w:sz w:val="24"/>
          <w:szCs w:val="28"/>
          <w:highlight w:val="none"/>
          <w:lang w:eastAsia="zh-CN"/>
        </w:rPr>
        <w:t>，</w:t>
      </w:r>
      <w:r>
        <w:rPr>
          <w:rFonts w:hint="eastAsia" w:ascii="宋体" w:hAnsi="宋体" w:cs="宋体"/>
          <w:color w:val="auto"/>
          <w:sz w:val="24"/>
          <w:szCs w:val="24"/>
          <w:highlight w:val="none"/>
        </w:rPr>
        <w:t>投标人根据采购人提供的附件1：《配件、耗材清单》逐一填报单价，费用不包含在此次投标报价中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仅作为维保期间维修零配件报价参考</w:t>
      </w:r>
      <w:r>
        <w:rPr>
          <w:rFonts w:hint="eastAsia" w:ascii="宋体" w:hAnsi="宋体" w:cs="宋体"/>
          <w:color w:val="auto"/>
          <w:sz w:val="24"/>
          <w:szCs w:val="24"/>
          <w:highlight w:val="none"/>
        </w:rPr>
        <w:t>。</w:t>
      </w:r>
    </w:p>
    <w:p>
      <w:pPr>
        <w:pStyle w:val="4"/>
        <w:spacing w:line="500" w:lineRule="exact"/>
        <w:ind w:left="0" w:leftChars="0" w:firstLine="0" w:firstLineChars="0"/>
        <w:jc w:val="center"/>
        <w:rPr>
          <w:rFonts w:ascii="宋体" w:hAnsi="宋体" w:eastAsia="宋体"/>
          <w:color w:val="auto"/>
          <w:highlight w:val="none"/>
        </w:rPr>
      </w:pPr>
      <w:bookmarkStart w:id="46" w:name="_Toc25729"/>
      <w:r>
        <w:rPr>
          <w:rFonts w:hint="eastAsia" w:ascii="宋体" w:hAnsi="宋体" w:eastAsia="宋体"/>
          <w:color w:val="auto"/>
          <w:highlight w:val="none"/>
        </w:rPr>
        <w:t>第五章 评标办法</w:t>
      </w:r>
      <w:bookmarkEnd w:id="46"/>
    </w:p>
    <w:p>
      <w:pPr>
        <w:adjustRightInd w:val="0"/>
        <w:snapToGrid w:val="0"/>
        <w:spacing w:line="360" w:lineRule="auto"/>
        <w:ind w:left="420" w:leftChars="200" w:right="-10"/>
        <w:rPr>
          <w:rFonts w:ascii="宋体" w:hAnsi="宋体"/>
          <w:color w:val="auto"/>
          <w:sz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ascii="宋体" w:hAnsi="宋体" w:eastAsia="宋体" w:cs="宋体"/>
          <w:color w:val="auto"/>
          <w:sz w:val="24"/>
          <w:szCs w:val="24"/>
          <w:highlight w:val="none"/>
        </w:rPr>
        <w:t>合肥政文国际会展管理有限公司两馆电梯维保</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二次</w:t>
      </w:r>
      <w:r>
        <w:rPr>
          <w:rFonts w:hint="eastAsia" w:ascii="宋体" w:hAnsi="宋体"/>
          <w:color w:val="auto"/>
          <w:sz w:val="24"/>
          <w:szCs w:val="24"/>
          <w:highlight w:val="none"/>
          <w:lang w:eastAsia="zh-CN"/>
        </w:rPr>
        <w:t>）</w:t>
      </w:r>
      <w:r>
        <w:rPr>
          <w:rFonts w:hint="eastAsia" w:ascii="宋体" w:hAnsi="宋体"/>
          <w:color w:val="auto"/>
          <w:sz w:val="24"/>
          <w:highlight w:val="none"/>
        </w:rPr>
        <w:t>（项目编号：2021WLBLZB00</w:t>
      </w:r>
      <w:r>
        <w:rPr>
          <w:rFonts w:hint="eastAsia" w:ascii="宋体" w:hAnsi="宋体"/>
          <w:color w:val="auto"/>
          <w:sz w:val="24"/>
          <w:highlight w:val="none"/>
          <w:lang w:val="en-US" w:eastAsia="zh-CN"/>
        </w:rPr>
        <w:t>99</w:t>
      </w:r>
      <w:r>
        <w:rPr>
          <w:rFonts w:hint="eastAsia" w:ascii="宋体" w:hAnsi="宋体"/>
          <w:color w:val="auto"/>
          <w:sz w:val="24"/>
          <w:highlight w:val="none"/>
        </w:rPr>
        <w:t>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综合评分法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rPr>
        <w:t>5</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bCs/>
          <w:color w:val="auto"/>
          <w:sz w:val="24"/>
          <w:szCs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8.评审程序</w:t>
      </w:r>
    </w:p>
    <w:p>
      <w:pPr>
        <w:spacing w:line="360" w:lineRule="auto"/>
        <w:ind w:firstLine="549"/>
        <w:rPr>
          <w:rFonts w:ascii="宋体" w:hAnsi="宋体"/>
          <w:bCs/>
          <w:color w:val="auto"/>
          <w:sz w:val="24"/>
          <w:highlight w:val="none"/>
        </w:rPr>
      </w:pPr>
      <w:r>
        <w:rPr>
          <w:rFonts w:hint="eastAsia" w:ascii="宋体" w:hAnsi="宋体"/>
          <w:bCs/>
          <w:color w:val="auto"/>
          <w:sz w:val="24"/>
          <w:szCs w:val="24"/>
          <w:highlight w:val="none"/>
        </w:rPr>
        <w:t>本项目采用</w:t>
      </w:r>
      <w:r>
        <w:rPr>
          <w:rFonts w:hint="eastAsia" w:ascii="宋体" w:hAnsi="宋体"/>
          <w:bCs/>
          <w:color w:val="auto"/>
          <w:sz w:val="24"/>
          <w:highlight w:val="none"/>
        </w:rPr>
        <w:t>综合评分法</w:t>
      </w:r>
      <w:r>
        <w:rPr>
          <w:rFonts w:hint="eastAsia" w:ascii="宋体" w:hAnsi="宋体"/>
          <w:bCs/>
          <w:color w:val="auto"/>
          <w:sz w:val="24"/>
          <w:szCs w:val="24"/>
          <w:highlight w:val="none"/>
        </w:rPr>
        <w:t>进行评审，</w:t>
      </w:r>
      <w:r>
        <w:rPr>
          <w:rFonts w:hint="eastAsia" w:ascii="宋体" w:hAnsi="宋体"/>
          <w:bCs/>
          <w:color w:val="auto"/>
          <w:sz w:val="24"/>
          <w:highlight w:val="none"/>
        </w:rPr>
        <w:t>在最大限度地满足招标文件实质性要求前提下，按照招标文件中规定的各项因素进行综合评审。综合评分法的主要因素是：技术部分、商务部分以及相应的比重。</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评标委员会遵循规定评标原则，对投标人进行初审、详细评审、商务部分得分计算和确定中标候选人。</w:t>
      </w:r>
    </w:p>
    <w:p>
      <w:pPr>
        <w:spacing w:line="360" w:lineRule="auto"/>
        <w:ind w:firstLine="549"/>
        <w:rPr>
          <w:rFonts w:ascii="宋体" w:hAnsi="宋体"/>
          <w:b/>
          <w:color w:val="auto"/>
          <w:sz w:val="24"/>
          <w:szCs w:val="24"/>
          <w:highlight w:val="none"/>
        </w:rPr>
      </w:pPr>
      <w:r>
        <w:rPr>
          <w:rFonts w:hint="eastAsia" w:ascii="宋体" w:hAnsi="宋体"/>
          <w:b/>
          <w:color w:val="auto"/>
          <w:sz w:val="24"/>
          <w:szCs w:val="24"/>
          <w:highlight w:val="none"/>
        </w:rPr>
        <w:t>8.1初审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2</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8"/>
                <w:highlight w:val="none"/>
              </w:rPr>
              <w:t>投标人信用记录证明材料</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highlight w:val="none"/>
              </w:rPr>
              <w:t>提供信用记录证明材料扫描件，</w:t>
            </w: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rPr>
                <w:rFonts w:ascii="宋体" w:hAnsi="宋体"/>
                <w:bCs/>
                <w:color w:val="auto"/>
                <w:sz w:val="24"/>
                <w:szCs w:val="24"/>
                <w:highlight w:val="none"/>
              </w:rPr>
            </w:pPr>
            <w:r>
              <w:rPr>
                <w:rFonts w:hint="eastAsia" w:ascii="宋体" w:hAnsi="宋体"/>
                <w:color w:val="auto"/>
                <w:sz w:val="24"/>
                <w:szCs w:val="24"/>
                <w:highlight w:val="none"/>
              </w:rPr>
              <w:t>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9</w:t>
            </w:r>
          </w:p>
        </w:tc>
        <w:tc>
          <w:tcPr>
            <w:tcW w:w="1897" w:type="dxa"/>
            <w:vAlign w:val="center"/>
          </w:tcPr>
          <w:p>
            <w:pPr>
              <w:autoSpaceDE w:val="0"/>
              <w:autoSpaceDN w:val="0"/>
              <w:adjustRightInd w:val="0"/>
              <w:spacing w:line="430" w:lineRule="exact"/>
              <w:ind w:firstLine="200"/>
              <w:jc w:val="center"/>
              <w:rPr>
                <w:rFonts w:ascii="宋体" w:hAnsi="宋体"/>
                <w:color w:val="auto"/>
                <w:sz w:val="24"/>
                <w:szCs w:val="24"/>
                <w:highlight w:val="none"/>
              </w:rPr>
            </w:pPr>
            <w:r>
              <w:rPr>
                <w:rFonts w:hint="eastAsia" w:ascii="宋体" w:hAnsi="宋体"/>
                <w:color w:val="auto"/>
                <w:sz w:val="24"/>
                <w:szCs w:val="24"/>
                <w:highlight w:val="none"/>
              </w:rPr>
              <w:t>服务本项目人员配备</w:t>
            </w:r>
          </w:p>
        </w:tc>
        <w:tc>
          <w:tcPr>
            <w:tcW w:w="2835" w:type="dxa"/>
            <w:vAlign w:val="center"/>
          </w:tcPr>
          <w:p>
            <w:pPr>
              <w:spacing w:line="420" w:lineRule="exact"/>
              <w:ind w:right="-11"/>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rPr>
                <w:rFonts w:ascii="宋体" w:hAnsi="宋体"/>
                <w:color w:val="auto"/>
                <w:sz w:val="24"/>
                <w:szCs w:val="24"/>
                <w:highlight w:val="none"/>
              </w:rPr>
            </w:pPr>
            <w:r>
              <w:rPr>
                <w:rFonts w:hint="eastAsia" w:ascii="宋体" w:hAnsi="宋体"/>
                <w:color w:val="auto"/>
                <w:sz w:val="24"/>
                <w:szCs w:val="24"/>
                <w:highlight w:val="none"/>
              </w:rPr>
              <w:t>详见第一章招标人须知前附表；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10</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投保保证金</w:t>
            </w:r>
          </w:p>
        </w:tc>
        <w:tc>
          <w:tcPr>
            <w:tcW w:w="2835" w:type="dxa"/>
            <w:vAlign w:val="center"/>
          </w:tcPr>
          <w:p>
            <w:pPr>
              <w:spacing w:line="420" w:lineRule="exact"/>
              <w:ind w:right="-11"/>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11</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12</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222"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13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其他要求</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auto"/>
          <w:sz w:val="24"/>
          <w:highlight w:val="none"/>
        </w:rPr>
      </w:pPr>
      <w:bookmarkStart w:id="47" w:name="_Hlk514734618"/>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8</w:t>
      </w:r>
      <w:r>
        <w:rPr>
          <w:rFonts w:ascii="宋体" w:hAnsi="宋体"/>
          <w:bCs/>
          <w:color w:val="auto"/>
          <w:sz w:val="24"/>
          <w:highlight w:val="none"/>
        </w:rPr>
        <w:t>.2</w:t>
      </w:r>
      <w:r>
        <w:rPr>
          <w:rFonts w:hint="eastAsia" w:ascii="宋体" w:hAnsi="宋体"/>
          <w:bCs/>
          <w:color w:val="auto"/>
          <w:sz w:val="24"/>
          <w:highlight w:val="none"/>
        </w:rPr>
        <w:t>详细评审</w:t>
      </w:r>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8</w:t>
      </w:r>
      <w:r>
        <w:rPr>
          <w:rFonts w:ascii="宋体" w:hAnsi="宋体"/>
          <w:bCs/>
          <w:color w:val="auto"/>
          <w:sz w:val="24"/>
          <w:highlight w:val="none"/>
        </w:rPr>
        <w:t>.2.1</w:t>
      </w:r>
      <w:bookmarkStart w:id="48" w:name="_Hlk514734853"/>
      <w:r>
        <w:rPr>
          <w:rFonts w:hint="eastAsia" w:ascii="宋体" w:hAnsi="宋体"/>
          <w:bCs/>
          <w:color w:val="auto"/>
          <w:sz w:val="24"/>
          <w:highlight w:val="none"/>
        </w:rPr>
        <w:t>评标委员会将对所有通过初审的投标文件进行详细评审，具体如下：</w:t>
      </w:r>
      <w:bookmarkEnd w:id="48"/>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根据评分的细则，评委应对进入详细评审的所有投标文件进行评分，并分别填写打分表。</w:t>
      </w:r>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将投标人每个分值项得分进行汇总求出平均值，得到该投标人的得分。</w:t>
      </w:r>
    </w:p>
    <w:p>
      <w:pPr>
        <w:adjustRightInd w:val="0"/>
        <w:snapToGrid w:val="0"/>
        <w:spacing w:line="360" w:lineRule="auto"/>
        <w:ind w:right="-10" w:firstLine="420" w:firstLineChars="175"/>
        <w:rPr>
          <w:rFonts w:hint="eastAsia" w:ascii="宋体" w:hAnsi="宋体"/>
          <w:bCs/>
          <w:color w:val="auto"/>
          <w:sz w:val="24"/>
          <w:highlight w:val="none"/>
        </w:rPr>
      </w:pPr>
      <w:r>
        <w:rPr>
          <w:rFonts w:hint="eastAsia" w:ascii="宋体" w:hAnsi="宋体"/>
          <w:bCs/>
          <w:color w:val="auto"/>
          <w:sz w:val="24"/>
          <w:szCs w:val="24"/>
          <w:highlight w:val="none"/>
        </w:rPr>
        <w:t>投标人的各项得分均保留小数点后两位（小数点后第三位四舍五入）。</w:t>
      </w:r>
    </w:p>
    <w:p>
      <w:pPr>
        <w:adjustRightInd w:val="0"/>
        <w:snapToGrid w:val="0"/>
        <w:spacing w:line="360" w:lineRule="auto"/>
        <w:ind w:right="-10" w:firstLine="420" w:firstLineChars="175"/>
        <w:rPr>
          <w:rFonts w:hint="eastAsia" w:ascii="宋体" w:hAnsi="宋体"/>
          <w:bCs/>
          <w:color w:val="auto"/>
          <w:sz w:val="24"/>
          <w:highlight w:val="none"/>
        </w:rPr>
      </w:pPr>
      <w:r>
        <w:rPr>
          <w:rFonts w:hint="eastAsia" w:ascii="宋体" w:hAnsi="宋体"/>
          <w:bCs/>
          <w:color w:val="auto"/>
          <w:sz w:val="24"/>
          <w:highlight w:val="none"/>
        </w:rPr>
        <w:t>8.2.2</w:t>
      </w:r>
      <w:r>
        <w:rPr>
          <w:rFonts w:hint="eastAsia" w:ascii="宋体" w:hAnsi="宋体"/>
          <w:color w:val="auto"/>
          <w:sz w:val="24"/>
          <w:szCs w:val="24"/>
          <w:highlight w:val="none"/>
        </w:rPr>
        <w:t>技术部分详细评审</w:t>
      </w:r>
      <w:bookmarkStart w:id="49" w:name="_Hlk514734883"/>
      <w:r>
        <w:rPr>
          <w:rFonts w:hint="eastAsia" w:ascii="宋体" w:hAnsi="宋体"/>
          <w:bCs/>
          <w:color w:val="auto"/>
          <w:sz w:val="24"/>
          <w:highlight w:val="none"/>
        </w:rPr>
        <w:t>指标如下：</w:t>
      </w:r>
      <w:bookmarkEnd w:id="42"/>
      <w:bookmarkEnd w:id="47"/>
      <w:bookmarkEnd w:id="49"/>
      <w:bookmarkStart w:id="50" w:name="_Toc220232391"/>
    </w:p>
    <w:tbl>
      <w:tblPr>
        <w:tblStyle w:val="66"/>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80"/>
        <w:gridCol w:w="5948"/>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blHeader/>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280" w:type="dxa"/>
            <w:vAlign w:val="center"/>
          </w:tcPr>
          <w:p>
            <w:pPr>
              <w:keepNext w:val="0"/>
              <w:keepLines w:val="0"/>
              <w:pageBreakBefore w:val="0"/>
              <w:kinsoku/>
              <w:wordWrap/>
              <w:overflowPunct/>
              <w:topLinePunct w:val="0"/>
              <w:bidi w:val="0"/>
              <w:snapToGrid/>
              <w:spacing w:before="120" w:line="50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评分项目</w:t>
            </w:r>
          </w:p>
        </w:tc>
        <w:tc>
          <w:tcPr>
            <w:tcW w:w="5948" w:type="dxa"/>
            <w:vAlign w:val="center"/>
          </w:tcPr>
          <w:p>
            <w:pPr>
              <w:keepNext w:val="0"/>
              <w:keepLines w:val="0"/>
              <w:pageBreakBefore w:val="0"/>
              <w:kinsoku/>
              <w:wordWrap/>
              <w:overflowPunct/>
              <w:topLinePunct w:val="0"/>
              <w:bidi w:val="0"/>
              <w:snapToGrid/>
              <w:spacing w:before="120" w:line="500" w:lineRule="exact"/>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1334"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cs="宋体"/>
                <w:b/>
                <w:bCs/>
                <w:color w:val="auto"/>
                <w:sz w:val="24"/>
                <w:szCs w:val="24"/>
                <w:highlight w:val="none"/>
              </w:rPr>
            </w:pPr>
            <w:r>
              <w:rPr>
                <w:rFonts w:ascii="宋体" w:hAnsi="宋体" w:cs="宋体"/>
                <w:b/>
                <w:bCs/>
                <w:color w:val="auto"/>
                <w:kern w:val="0"/>
                <w:sz w:val="24"/>
                <w:szCs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280" w:type="dxa"/>
            <w:vAlign w:val="center"/>
          </w:tcPr>
          <w:p>
            <w:pPr>
              <w:pStyle w:val="282"/>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企业</w:t>
            </w:r>
            <w:r>
              <w:rPr>
                <w:rFonts w:hint="eastAsia" w:ascii="宋体" w:hAnsi="宋体" w:eastAsia="宋体" w:cs="宋体"/>
                <w:color w:val="auto"/>
                <w:sz w:val="24"/>
                <w:szCs w:val="24"/>
                <w:highlight w:val="none"/>
              </w:rPr>
              <w:t>业绩</w:t>
            </w:r>
          </w:p>
        </w:tc>
        <w:tc>
          <w:tcPr>
            <w:tcW w:w="5948" w:type="dxa"/>
            <w:vAlign w:val="center"/>
          </w:tcPr>
          <w:p>
            <w:pPr>
              <w:pStyle w:val="28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201</w:t>
            </w:r>
            <w:r>
              <w:rPr>
                <w:rFonts w:hint="eastAsia" w:ascii="宋体" w:hAnsi="宋体" w:eastAsia="宋体" w:cs="宋体"/>
                <w:color w:val="auto"/>
                <w:kern w:val="0"/>
                <w:sz w:val="24"/>
                <w:szCs w:val="24"/>
                <w:highlight w:val="none"/>
                <w:lang w:val="en-US"/>
              </w:rPr>
              <w:t>8</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rPr>
              <w:t>10</w:t>
            </w:r>
            <w:r>
              <w:rPr>
                <w:rFonts w:hint="eastAsia" w:ascii="宋体" w:hAnsi="宋体" w:eastAsia="宋体" w:cs="宋体"/>
                <w:color w:val="auto"/>
                <w:kern w:val="0"/>
                <w:sz w:val="24"/>
                <w:szCs w:val="24"/>
                <w:highlight w:val="none"/>
              </w:rPr>
              <w:t>月1日</w:t>
            </w:r>
            <w:r>
              <w:rPr>
                <w:rFonts w:hint="eastAsia" w:ascii="宋体" w:hAnsi="宋体" w:eastAsia="宋体" w:cs="宋体"/>
                <w:color w:val="auto"/>
                <w:kern w:val="0"/>
                <w:sz w:val="24"/>
                <w:szCs w:val="24"/>
                <w:highlight w:val="none"/>
                <w:lang w:val="en-US"/>
              </w:rPr>
              <w:t>以来</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以合同签订时间为准）</w:t>
            </w:r>
            <w:r>
              <w:rPr>
                <w:rFonts w:hint="eastAsia" w:ascii="宋体" w:hAnsi="宋体" w:eastAsia="宋体" w:cs="宋体"/>
                <w:color w:val="auto"/>
                <w:kern w:val="0"/>
                <w:sz w:val="24"/>
                <w:szCs w:val="24"/>
                <w:highlight w:val="none"/>
                <w:lang w:val="en-US"/>
              </w:rPr>
              <w:t>承接的电梯维保服务业绩</w:t>
            </w:r>
            <w:r>
              <w:rPr>
                <w:rFonts w:hint="eastAsia" w:cs="宋体"/>
                <w:color w:val="auto"/>
                <w:kern w:val="0"/>
                <w:sz w:val="24"/>
                <w:szCs w:val="24"/>
                <w:highlight w:val="none"/>
                <w:lang w:val="en-US" w:eastAsia="zh-CN"/>
              </w:rPr>
              <w:t>打分</w:t>
            </w:r>
            <w:r>
              <w:rPr>
                <w:rFonts w:hint="eastAsia" w:ascii="宋体" w:hAnsi="宋体" w:eastAsia="宋体" w:cs="宋体"/>
                <w:color w:val="auto"/>
                <w:kern w:val="0"/>
                <w:sz w:val="24"/>
                <w:szCs w:val="24"/>
                <w:highlight w:val="none"/>
                <w:lang w:val="en-US"/>
              </w:rPr>
              <w:t>，合同金额30万元</w:t>
            </w:r>
            <w:r>
              <w:rPr>
                <w:rFonts w:hint="eastAsia" w:ascii="宋体" w:hAnsi="宋体"/>
                <w:color w:val="auto"/>
                <w:sz w:val="24"/>
                <w:szCs w:val="24"/>
                <w:highlight w:val="none"/>
              </w:rPr>
              <w:t>≤F＜</w:t>
            </w:r>
            <w:r>
              <w:rPr>
                <w:rFonts w:hint="eastAsia" w:ascii="宋体" w:hAnsi="宋体" w:eastAsia="宋体" w:cs="宋体"/>
                <w:color w:val="auto"/>
                <w:kern w:val="0"/>
                <w:sz w:val="24"/>
                <w:szCs w:val="24"/>
                <w:highlight w:val="none"/>
                <w:lang w:val="en-US"/>
              </w:rPr>
              <w:t>50万元的，</w:t>
            </w:r>
            <w:r>
              <w:rPr>
                <w:rFonts w:hint="eastAsia" w:ascii="宋体" w:hAnsi="宋体" w:eastAsia="宋体" w:cs="宋体"/>
                <w:color w:val="auto"/>
                <w:kern w:val="0"/>
                <w:sz w:val="24"/>
                <w:szCs w:val="24"/>
                <w:highlight w:val="none"/>
              </w:rPr>
              <w:t>每提供一份</w:t>
            </w:r>
            <w:r>
              <w:rPr>
                <w:rFonts w:hint="eastAsia"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lang w:val="en-US"/>
              </w:rPr>
              <w:t>1</w:t>
            </w:r>
            <w:r>
              <w:rPr>
                <w:rFonts w:hint="eastAsia" w:ascii="宋体" w:hAnsi="宋体" w:eastAsia="宋体" w:cs="宋体"/>
                <w:color w:val="auto"/>
                <w:kern w:val="0"/>
                <w:sz w:val="24"/>
                <w:szCs w:val="24"/>
                <w:highlight w:val="none"/>
              </w:rPr>
              <w:t>分，</w:t>
            </w:r>
            <w:r>
              <w:rPr>
                <w:rFonts w:hint="eastAsia" w:cs="宋体"/>
                <w:color w:val="auto"/>
                <w:kern w:val="0"/>
                <w:sz w:val="24"/>
                <w:szCs w:val="24"/>
                <w:highlight w:val="none"/>
                <w:lang w:val="en-US" w:eastAsia="zh-CN"/>
              </w:rPr>
              <w:t>本子项</w:t>
            </w:r>
            <w:r>
              <w:rPr>
                <w:rFonts w:hint="eastAsia" w:ascii="宋体" w:hAnsi="宋体" w:eastAsia="宋体" w:cs="宋体"/>
                <w:color w:val="auto"/>
                <w:kern w:val="0"/>
                <w:sz w:val="24"/>
                <w:szCs w:val="24"/>
                <w:highlight w:val="none"/>
              </w:rPr>
              <w:t>满分</w:t>
            </w:r>
            <w:r>
              <w:rPr>
                <w:rFonts w:hint="eastAsia"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rPr>
              <w:t>合同金额</w:t>
            </w:r>
            <w:r>
              <w:rPr>
                <w:rFonts w:hint="eastAsia" w:ascii="宋体" w:hAnsi="宋体" w:cs="宋体"/>
                <w:color w:val="auto"/>
                <w:sz w:val="24"/>
                <w:szCs w:val="24"/>
                <w:highlight w:val="none"/>
              </w:rPr>
              <w:t>F≥</w:t>
            </w:r>
            <w:r>
              <w:rPr>
                <w:rFonts w:hint="eastAsia" w:ascii="宋体" w:hAnsi="宋体" w:eastAsia="宋体" w:cs="宋体"/>
                <w:color w:val="auto"/>
                <w:kern w:val="0"/>
                <w:sz w:val="24"/>
                <w:szCs w:val="24"/>
                <w:highlight w:val="none"/>
                <w:lang w:val="en-US"/>
              </w:rPr>
              <w:t>50万元的，</w:t>
            </w:r>
            <w:r>
              <w:rPr>
                <w:rFonts w:hint="eastAsia" w:ascii="宋体" w:hAnsi="宋体" w:eastAsia="宋体" w:cs="宋体"/>
                <w:color w:val="auto"/>
                <w:kern w:val="0"/>
                <w:sz w:val="24"/>
                <w:szCs w:val="24"/>
                <w:highlight w:val="none"/>
              </w:rPr>
              <w:t>每提供一份得</w:t>
            </w:r>
            <w:r>
              <w:rPr>
                <w:rFonts w:hint="eastAsia" w:ascii="宋体" w:hAnsi="宋体" w:eastAsia="宋体" w:cs="宋体"/>
                <w:color w:val="auto"/>
                <w:kern w:val="0"/>
                <w:sz w:val="24"/>
                <w:szCs w:val="24"/>
                <w:highlight w:val="none"/>
                <w:lang w:val="en-US"/>
              </w:rPr>
              <w:t>2分，</w:t>
            </w:r>
            <w:r>
              <w:rPr>
                <w:rFonts w:hint="eastAsia" w:cs="宋体"/>
                <w:color w:val="auto"/>
                <w:kern w:val="0"/>
                <w:sz w:val="24"/>
                <w:szCs w:val="24"/>
                <w:highlight w:val="none"/>
                <w:lang w:val="en-US" w:eastAsia="zh-CN"/>
              </w:rPr>
              <w:t>本子项满分</w:t>
            </w:r>
            <w:r>
              <w:rPr>
                <w:rFonts w:hint="eastAsia" w:ascii="宋体" w:hAnsi="宋体" w:eastAsia="宋体" w:cs="宋体"/>
                <w:color w:val="auto"/>
                <w:kern w:val="0"/>
                <w:sz w:val="24"/>
                <w:szCs w:val="24"/>
                <w:highlight w:val="none"/>
                <w:lang w:val="en-US"/>
              </w:rPr>
              <w:t>10分</w:t>
            </w:r>
            <w:r>
              <w:rPr>
                <w:rFonts w:hint="eastAsia" w:ascii="宋体" w:hAnsi="宋体" w:eastAsia="宋体" w:cs="宋体"/>
                <w:color w:val="auto"/>
                <w:kern w:val="0"/>
                <w:sz w:val="24"/>
                <w:szCs w:val="24"/>
                <w:highlight w:val="none"/>
              </w:rPr>
              <w:t>。</w:t>
            </w:r>
          </w:p>
          <w:p>
            <w:pPr>
              <w:pStyle w:val="28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rPr>
              <w:t>注：</w:t>
            </w: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val="en-US"/>
              </w:rPr>
              <w:t>本项满分1</w:t>
            </w:r>
            <w:r>
              <w:rPr>
                <w:rFonts w:hint="eastAsia"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val="en-US"/>
              </w:rPr>
              <w:t>分，投标文件中提供维保服务合同复印件。</w:t>
            </w:r>
            <w:r>
              <w:rPr>
                <w:rFonts w:hint="eastAsia"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rPr>
              <w:t>投标文件中提供合同金额对应的全部发票复印件，若因合同期等问题导致发票金额不足的，投标人应附说明并加盖公章。</w:t>
            </w:r>
          </w:p>
        </w:tc>
        <w:tc>
          <w:tcPr>
            <w:tcW w:w="1334" w:type="dxa"/>
            <w:vAlign w:val="center"/>
          </w:tcPr>
          <w:p>
            <w:pPr>
              <w:pStyle w:val="282"/>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kern w:val="0"/>
                <w:sz w:val="24"/>
                <w:szCs w:val="24"/>
                <w:highlight w:val="none"/>
                <w:lang w:val="en-US"/>
              </w:rPr>
            </w:pPr>
            <w:r>
              <w:rPr>
                <w:rFonts w:hint="eastAsia" w:ascii="宋体" w:hAnsi="宋体" w:cs="宋体"/>
                <w:color w:val="auto"/>
                <w:sz w:val="24"/>
                <w:szCs w:val="24"/>
                <w:highlight w:val="none"/>
                <w:lang w:val="en-US" w:eastAsia="zh-CN"/>
              </w:rPr>
              <w:t>0-</w:t>
            </w:r>
            <w:r>
              <w:rPr>
                <w:rFonts w:hint="eastAsia" w:cs="宋体"/>
                <w:color w:val="auto"/>
                <w:sz w:val="24"/>
                <w:szCs w:val="24"/>
                <w:highlight w:val="none"/>
                <w:lang w:val="en-US" w:eastAsia="zh-CN"/>
              </w:rPr>
              <w:t>15</w:t>
            </w:r>
            <w:r>
              <w:rPr>
                <w:rFonts w:hint="eastAsia" w:ascii="宋体" w:hAnsi="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280"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p>
        </w:tc>
        <w:tc>
          <w:tcPr>
            <w:tcW w:w="5948" w:type="dxa"/>
            <w:vAlign w:val="center"/>
          </w:tcPr>
          <w:p>
            <w:pPr>
              <w:pStyle w:val="28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投标人具有持有特种设备作业人员证书的人数为</w:t>
            </w:r>
            <w:r>
              <w:rPr>
                <w:rFonts w:hint="eastAsia"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rPr>
              <w:t>0</w:t>
            </w:r>
            <w:r>
              <w:rPr>
                <w:rFonts w:hint="eastAsia" w:ascii="宋体" w:hAnsi="宋体"/>
                <w:color w:val="auto"/>
                <w:sz w:val="24"/>
                <w:szCs w:val="24"/>
                <w:highlight w:val="none"/>
              </w:rPr>
              <w:t>≤F＜</w:t>
            </w:r>
            <w:r>
              <w:rPr>
                <w:rFonts w:hint="eastAsia" w:ascii="宋体" w:hAnsi="宋体" w:eastAsia="宋体" w:cs="宋体"/>
                <w:color w:val="auto"/>
                <w:kern w:val="0"/>
                <w:sz w:val="24"/>
                <w:szCs w:val="24"/>
                <w:highlight w:val="none"/>
                <w:lang w:val="en-US"/>
              </w:rPr>
              <w:t>30人的得2分；30</w:t>
            </w:r>
            <w:r>
              <w:rPr>
                <w:rFonts w:hint="eastAsia" w:ascii="宋体" w:hAnsi="宋体"/>
                <w:color w:val="auto"/>
                <w:sz w:val="24"/>
                <w:szCs w:val="24"/>
                <w:highlight w:val="none"/>
              </w:rPr>
              <w:t>≤F＜</w:t>
            </w:r>
            <w:r>
              <w:rPr>
                <w:rFonts w:hint="eastAsia" w:ascii="宋体" w:hAnsi="宋体" w:eastAsia="宋体" w:cs="宋体"/>
                <w:color w:val="auto"/>
                <w:kern w:val="0"/>
                <w:sz w:val="24"/>
                <w:szCs w:val="24"/>
                <w:highlight w:val="none"/>
                <w:lang w:val="en-US"/>
              </w:rPr>
              <w:t>40人</w:t>
            </w:r>
            <w:r>
              <w:rPr>
                <w:rFonts w:hint="eastAsia"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lang w:val="en-US"/>
              </w:rPr>
              <w:t>得4分；</w:t>
            </w:r>
            <w:r>
              <w:rPr>
                <w:rFonts w:hint="eastAsia" w:ascii="宋体" w:hAnsi="宋体"/>
                <w:color w:val="auto"/>
                <w:sz w:val="24"/>
                <w:szCs w:val="24"/>
                <w:highlight w:val="none"/>
              </w:rPr>
              <w:t>F</w:t>
            </w:r>
            <w:r>
              <w:rPr>
                <w:rFonts w:hint="eastAsia" w:ascii="宋体" w:hAnsi="宋体" w:eastAsia="宋体" w:cs="宋体"/>
                <w:color w:val="auto"/>
                <w:kern w:val="0"/>
                <w:sz w:val="24"/>
                <w:szCs w:val="24"/>
                <w:highlight w:val="none"/>
                <w:lang w:val="en-US"/>
              </w:rPr>
              <w:t>≥40人</w:t>
            </w:r>
            <w:r>
              <w:rPr>
                <w:rFonts w:hint="eastAsia"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lang w:val="en-US"/>
              </w:rPr>
              <w:t>得</w:t>
            </w:r>
            <w:r>
              <w:rPr>
                <w:rFonts w:hint="eastAsia"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rPr>
              <w:t>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注：投标文件中须提供以上人员的证书复印件（或扫描件）、投标人近三个月（2021年9、10、11月）为其缴纳社保的证明材料复印件（或扫描件）。未提供或未有效提供的不予计分。</w:t>
            </w:r>
          </w:p>
        </w:tc>
        <w:tc>
          <w:tcPr>
            <w:tcW w:w="1334" w:type="dxa"/>
            <w:vAlign w:val="center"/>
          </w:tcPr>
          <w:p>
            <w:pPr>
              <w:keepNext w:val="0"/>
              <w:keepLines w:val="0"/>
              <w:pageBreakBefore w:val="0"/>
              <w:kinsoku/>
              <w:wordWrap/>
              <w:overflowPunct/>
              <w:topLinePunct w:val="0"/>
              <w:bidi w:val="0"/>
              <w:snapToGrid/>
              <w:spacing w:before="120" w:line="5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280" w:type="dxa"/>
            <w:vAlign w:val="center"/>
          </w:tcPr>
          <w:p>
            <w:pPr>
              <w:keepNext w:val="0"/>
              <w:keepLines w:val="0"/>
              <w:pageBreakBefore w:val="0"/>
              <w:kinsoku/>
              <w:wordWrap/>
              <w:overflowPunct/>
              <w:topLinePunct w:val="0"/>
              <w:bidi w:val="0"/>
              <w:snapToGrid/>
              <w:spacing w:before="120" w:line="500" w:lineRule="exact"/>
              <w:jc w:val="both"/>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企业</w:t>
            </w:r>
            <w:r>
              <w:rPr>
                <w:rFonts w:hint="eastAsia" w:ascii="宋体" w:hAnsi="宋体" w:eastAsia="宋体" w:cs="宋体"/>
                <w:color w:val="auto"/>
                <w:sz w:val="24"/>
                <w:szCs w:val="24"/>
                <w:highlight w:val="none"/>
              </w:rPr>
              <w:t>资信</w:t>
            </w:r>
          </w:p>
        </w:tc>
        <w:tc>
          <w:tcPr>
            <w:tcW w:w="59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1、投标人具有特种设备生产许可证：电梯安装（含修理）A1级资质的，得4分。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2、投标人具有有效的ISO9001质量体系认证、ISO14001环境体系认证、ISO45001职业健康安全管理体系认证的，每个得2分，本子项满分6分。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投标人及投标人当地分支机构在项目所在地省级及以上电梯维保单位信用评价中，每获得A+信用评价一次的得1分；投标人及投标人当地分支机构每获得项目所在地省市级电梯行业协会颁发的“五星级服务单位”称号一次的得1分（以该证书检验情况中加盖“年审合格”章为准，每通过一年“年审合格”计一次），满分5分。</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zh-CN"/>
              </w:rPr>
              <w:t>备注：投标文件中提供相关证书的扫描件或复印件作为评标依据，未提供的不得分。</w:t>
            </w:r>
          </w:p>
        </w:tc>
        <w:tc>
          <w:tcPr>
            <w:tcW w:w="1334"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280"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人员配备</w:t>
            </w:r>
          </w:p>
        </w:tc>
        <w:tc>
          <w:tcPr>
            <w:tcW w:w="5948"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评标委员会根据项目服务人员配备情况进行打分，</w:t>
            </w:r>
            <w:r>
              <w:rPr>
                <w:rFonts w:hint="eastAsia" w:ascii="宋体" w:hAnsi="宋体" w:eastAsia="宋体" w:cs="宋体"/>
                <w:color w:val="auto"/>
                <w:sz w:val="24"/>
                <w:szCs w:val="24"/>
                <w:highlight w:val="none"/>
                <w:lang w:eastAsia="zh-CN"/>
              </w:rPr>
              <w:t>符合人员要求的得</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lang w:eastAsia="zh-CN"/>
              </w:rPr>
              <w:t>每馆</w:t>
            </w:r>
            <w:r>
              <w:rPr>
                <w:rFonts w:hint="eastAsia" w:ascii="宋体" w:hAnsi="宋体" w:eastAsia="宋体" w:cs="宋体"/>
                <w:color w:val="auto"/>
                <w:sz w:val="24"/>
                <w:szCs w:val="24"/>
                <w:highlight w:val="none"/>
              </w:rPr>
              <w:t>1名，有</w:t>
            </w:r>
            <w:r>
              <w:rPr>
                <w:rFonts w:hint="eastAsia" w:ascii="宋体" w:hAnsi="宋体" w:eastAsia="宋体" w:cs="宋体"/>
                <w:color w:val="auto"/>
                <w:sz w:val="24"/>
                <w:szCs w:val="24"/>
                <w:highlight w:val="none"/>
                <w:lang w:val="en-US" w:eastAsia="zh-CN"/>
              </w:rPr>
              <w:t>3年以上的电梯维修保养从业经验</w:t>
            </w:r>
            <w:r>
              <w:rPr>
                <w:rFonts w:hint="eastAsia" w:ascii="宋体" w:hAnsi="宋体" w:eastAsia="宋体" w:cs="宋体"/>
                <w:color w:val="auto"/>
                <w:sz w:val="24"/>
                <w:szCs w:val="24"/>
                <w:highlight w:val="none"/>
              </w:rPr>
              <w:t>；安全作业人员不少于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人，其中</w:t>
            </w:r>
            <w:r>
              <w:rPr>
                <w:rFonts w:hint="eastAsia" w:ascii="宋体" w:hAnsi="宋体" w:eastAsia="宋体" w:cs="宋体"/>
                <w:color w:val="auto"/>
                <w:sz w:val="24"/>
                <w:szCs w:val="24"/>
                <w:highlight w:val="none"/>
                <w:lang w:val="en-US" w:eastAsia="zh-CN"/>
              </w:rPr>
              <w:t>每馆</w:t>
            </w:r>
            <w:r>
              <w:rPr>
                <w:rFonts w:hint="eastAsia" w:ascii="宋体" w:hAnsi="宋体" w:eastAsia="宋体" w:cs="宋体"/>
                <w:color w:val="auto"/>
                <w:sz w:val="24"/>
                <w:szCs w:val="24"/>
                <w:highlight w:val="none"/>
              </w:rPr>
              <w:t>1名为项目</w:t>
            </w:r>
            <w:r>
              <w:rPr>
                <w:rFonts w:hint="eastAsia" w:ascii="宋体" w:hAnsi="宋体" w:eastAsia="宋体" w:cs="宋体"/>
                <w:color w:val="auto"/>
                <w:sz w:val="24"/>
                <w:szCs w:val="24"/>
                <w:highlight w:val="none"/>
                <w:lang w:val="en-US" w:eastAsia="zh-CN"/>
              </w:rPr>
              <w:t>常</w:t>
            </w:r>
            <w:r>
              <w:rPr>
                <w:rFonts w:hint="eastAsia" w:ascii="宋体" w:hAnsi="宋体" w:eastAsia="宋体" w:cs="宋体"/>
                <w:color w:val="auto"/>
                <w:sz w:val="24"/>
                <w:szCs w:val="24"/>
                <w:highlight w:val="none"/>
              </w:rPr>
              <w:t>派服务维保人员；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提供服务团队人员名单、电话及由当地市场监督管理局颁发的合格有效的特种设备作业人员证证书；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投标人近三个月（2021年9、10、11月）为其缴纳社保的证明材料及劳动合同，提供以上材料的复印件或扫描件。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以上资料未提供或提供不全的不予计分。</w:t>
            </w:r>
          </w:p>
        </w:tc>
        <w:tc>
          <w:tcPr>
            <w:tcW w:w="1334" w:type="dxa"/>
            <w:vAlign w:val="center"/>
          </w:tcPr>
          <w:p>
            <w:pPr>
              <w:pStyle w:val="120"/>
              <w:keepNext w:val="0"/>
              <w:keepLines w:val="0"/>
              <w:pageBreakBefore w:val="0"/>
              <w:widowControl/>
              <w:kinsoku/>
              <w:wordWrap/>
              <w:overflowPunct/>
              <w:topLinePunct w:val="0"/>
              <w:bidi w:val="0"/>
              <w:snapToGrid/>
              <w:spacing w:before="120" w:line="500" w:lineRule="exact"/>
              <w:ind w:left="0" w:lef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280"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w:t>
            </w:r>
          </w:p>
        </w:tc>
        <w:tc>
          <w:tcPr>
            <w:tcW w:w="594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根据投标人提供</w:t>
            </w:r>
            <w:r>
              <w:rPr>
                <w:rFonts w:hint="eastAsia" w:ascii="宋体" w:hAnsi="宋体" w:cs="宋体"/>
                <w:color w:val="auto"/>
                <w:sz w:val="24"/>
                <w:szCs w:val="24"/>
                <w:highlight w:val="none"/>
                <w:lang w:val="zh-CN"/>
              </w:rPr>
              <w:t>原厂</w:t>
            </w:r>
            <w:r>
              <w:rPr>
                <w:rFonts w:hint="eastAsia" w:ascii="宋体" w:hAnsi="宋体" w:eastAsia="宋体" w:cs="宋体"/>
                <w:color w:val="auto"/>
                <w:sz w:val="24"/>
                <w:szCs w:val="24"/>
                <w:highlight w:val="none"/>
                <w:lang w:val="zh-CN"/>
              </w:rPr>
              <w:t>备品备件储备情况的图片及文字说明由评标小组对储备种类及数量进行综合评分。优得</w:t>
            </w:r>
            <w:r>
              <w:rPr>
                <w:rFonts w:hint="eastAsia" w:ascii="宋体" w:hAnsi="宋体" w:cs="宋体"/>
                <w:color w:val="auto"/>
                <w:sz w:val="24"/>
                <w:szCs w:val="24"/>
                <w:highlight w:val="none"/>
                <w:lang w:val="en-US" w:eastAsia="zh-CN"/>
              </w:rPr>
              <w:t>7＜</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分，良得</w:t>
            </w:r>
            <w:r>
              <w:rPr>
                <w:rFonts w:hint="eastAsia" w:ascii="宋体" w:hAnsi="宋体" w:cs="宋体"/>
                <w:color w:val="auto"/>
                <w:sz w:val="24"/>
                <w:szCs w:val="24"/>
                <w:highlight w:val="none"/>
                <w:lang w:val="en-US" w:eastAsia="zh-CN"/>
              </w:rPr>
              <w:t>3＜</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分，一般得0</w:t>
            </w:r>
            <w:r>
              <w:rPr>
                <w:rFonts w:hint="eastAsia" w:ascii="宋体" w:hAnsi="宋体" w:cs="宋体"/>
                <w:color w:val="auto"/>
                <w:sz w:val="24"/>
                <w:szCs w:val="24"/>
                <w:highlight w:val="none"/>
                <w:lang w:val="en-US" w:eastAsia="zh-CN"/>
              </w:rPr>
              <w:t>＜</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分，较差或未提供的不得分。</w:t>
            </w:r>
          </w:p>
          <w:p>
            <w:pPr>
              <w:pStyle w:val="83"/>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注：中标后，招标人可要求对候选供应商备品备件存放处进行现场验证，候选人须配合招标人验证工作，对于现场情况与投标文件内容不符的或不予配合的供应商招标人有权取消其中标资格。</w:t>
            </w:r>
          </w:p>
        </w:tc>
        <w:tc>
          <w:tcPr>
            <w:tcW w:w="1334" w:type="dxa"/>
            <w:vAlign w:val="center"/>
          </w:tcPr>
          <w:p>
            <w:pPr>
              <w:pStyle w:val="83"/>
              <w:keepNext w:val="0"/>
              <w:keepLines w:val="0"/>
              <w:pageBreakBefore w:val="0"/>
              <w:kinsoku/>
              <w:wordWrap/>
              <w:overflowPunct/>
              <w:topLinePunct w:val="0"/>
              <w:bidi w:val="0"/>
              <w:snapToGrid/>
              <w:spacing w:before="120" w:line="50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280"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维保服务</w:t>
            </w:r>
          </w:p>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方案</w:t>
            </w:r>
          </w:p>
        </w:tc>
        <w:tc>
          <w:tcPr>
            <w:tcW w:w="5948" w:type="dxa"/>
            <w:vAlign w:val="center"/>
          </w:tcPr>
          <w:p>
            <w:pPr>
              <w:keepNext w:val="0"/>
              <w:keepLines w:val="0"/>
              <w:pageBreakBefore w:val="0"/>
              <w:kinsoku/>
              <w:wordWrap/>
              <w:overflowPunct/>
              <w:topLinePunct w:val="0"/>
              <w:bidi w:val="0"/>
              <w:snapToGrid/>
              <w:spacing w:before="12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评标委员会根据各投标人针对本项目提供维保服务方案，从服务响应速度、问题处理解决方案、日常维护检修实验、应急服务、</w:t>
            </w:r>
            <w:r>
              <w:rPr>
                <w:rFonts w:hint="eastAsia" w:ascii="宋体" w:hAnsi="宋体" w:eastAsia="宋体" w:cs="宋体"/>
                <w:color w:val="auto"/>
                <w:sz w:val="24"/>
                <w:szCs w:val="24"/>
                <w:highlight w:val="none"/>
              </w:rPr>
              <w:t>维保信息化服务</w:t>
            </w:r>
            <w:r>
              <w:rPr>
                <w:rFonts w:hint="eastAsia" w:ascii="宋体" w:hAnsi="宋体" w:eastAsia="宋体" w:cs="宋体"/>
                <w:color w:val="auto"/>
                <w:sz w:val="24"/>
                <w:szCs w:val="24"/>
                <w:highlight w:val="none"/>
                <w:lang w:val="zh-CN"/>
              </w:rPr>
              <w:t>等方</w:t>
            </w:r>
            <w:r>
              <w:rPr>
                <w:rFonts w:hint="eastAsia" w:ascii="宋体" w:hAnsi="宋体" w:cs="宋体"/>
                <w:color w:val="auto"/>
                <w:sz w:val="24"/>
                <w:szCs w:val="24"/>
                <w:highlight w:val="none"/>
                <w:lang w:val="en-US" w:eastAsia="zh-CN"/>
              </w:rPr>
              <w:t>打分</w:t>
            </w:r>
            <w:r>
              <w:rPr>
                <w:rFonts w:hint="eastAsia" w:ascii="宋体" w:hAnsi="宋体" w:eastAsia="宋体" w:cs="宋体"/>
                <w:color w:val="auto"/>
                <w:sz w:val="24"/>
                <w:szCs w:val="24"/>
                <w:highlight w:val="none"/>
                <w:lang w:val="zh-CN"/>
              </w:rPr>
              <w:t>，满分</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rPr>
              <w:t>计划完整、科学、合理得</w:t>
            </w:r>
            <w:r>
              <w:rPr>
                <w:rFonts w:hint="eastAsia" w:ascii="宋体" w:hAnsi="宋体" w:eastAsia="宋体" w:cs="宋体"/>
                <w:color w:val="auto"/>
                <w:sz w:val="24"/>
                <w:szCs w:val="24"/>
                <w:highlight w:val="none"/>
                <w:lang w:val="en-US" w:eastAsia="zh-CN"/>
              </w:rPr>
              <w:t>11</w:t>
            </w:r>
            <w:r>
              <w:rPr>
                <w:rFonts w:hint="eastAsia" w:ascii="宋体" w:hAnsi="宋体" w:cs="宋体"/>
                <w:color w:val="auto"/>
                <w:sz w:val="24"/>
                <w:szCs w:val="24"/>
                <w:highlight w:val="none"/>
                <w:lang w:val="en-US" w:eastAsia="zh-CN"/>
              </w:rPr>
              <w:t>＜</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分；较完整、科学、合理得</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分；笼统、一般得1</w:t>
            </w:r>
            <w:r>
              <w:rPr>
                <w:rFonts w:hint="eastAsia" w:ascii="宋体" w:hAnsi="宋体" w:cs="宋体"/>
                <w:color w:val="auto"/>
                <w:sz w:val="24"/>
                <w:szCs w:val="24"/>
                <w:highlight w:val="none"/>
                <w:lang w:val="en-US" w:eastAsia="zh-CN"/>
              </w:rPr>
              <w:t>＜</w:t>
            </w:r>
            <w:r>
              <w:rPr>
                <w:rFonts w:hint="eastAsia" w:ascii="宋体" w:hAnsi="宋体"/>
                <w:color w:val="auto"/>
                <w:sz w:val="24"/>
                <w:szCs w:val="24"/>
                <w:highlight w:val="none"/>
              </w:rPr>
              <w:t>F</w:t>
            </w:r>
            <w:r>
              <w:rPr>
                <w:rFonts w:hint="eastAsia" w:ascii="宋体" w:hAnsi="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334"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280"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本地化服务</w:t>
            </w:r>
          </w:p>
        </w:tc>
        <w:tc>
          <w:tcPr>
            <w:tcW w:w="5948" w:type="dxa"/>
            <w:vAlign w:val="center"/>
          </w:tcPr>
          <w:p>
            <w:pPr>
              <w:keepNext w:val="0"/>
              <w:keepLines w:val="0"/>
              <w:pageBreakBefore w:val="0"/>
              <w:kinsoku/>
              <w:wordWrap/>
              <w:overflowPunct/>
              <w:topLinePunct w:val="0"/>
              <w:bidi w:val="0"/>
              <w:snapToGrid/>
              <w:spacing w:before="120"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具有本地化服务实施方案，根据投标人方案的服务方式、服务响应时间、物料准备情况以及其他为本项目提供更好服务的相关承诺进行评分，</w:t>
            </w:r>
            <w:r>
              <w:rPr>
                <w:rFonts w:hint="eastAsia" w:ascii="宋体" w:hAnsi="宋体" w:eastAsia="宋体" w:cs="宋体"/>
                <w:color w:val="auto"/>
                <w:sz w:val="24"/>
                <w:szCs w:val="24"/>
                <w:highlight w:val="none"/>
                <w:lang w:val="zh-CN" w:eastAsia="zh-CN"/>
              </w:rPr>
              <w:t>其中展会服务承诺提供</w:t>
            </w:r>
            <w:r>
              <w:rPr>
                <w:rFonts w:hint="eastAsia" w:ascii="宋体" w:hAnsi="宋体" w:eastAsia="宋体" w:cs="宋体"/>
                <w:color w:val="auto"/>
                <w:sz w:val="24"/>
                <w:szCs w:val="24"/>
                <w:highlight w:val="none"/>
                <w:lang w:val="en-US" w:eastAsia="zh-CN"/>
              </w:rPr>
              <w:t>2人以上驻场服务的可得</w:t>
            </w:r>
            <w:r>
              <w:rPr>
                <w:rFonts w:hint="eastAsia" w:ascii="宋体" w:hAnsi="宋体" w:eastAsia="宋体" w:cs="宋体"/>
                <w:color w:val="auto"/>
                <w:sz w:val="24"/>
                <w:szCs w:val="24"/>
                <w:highlight w:val="none"/>
                <w:lang w:val="zh-CN"/>
              </w:rPr>
              <w:t>优秀，得7＜F≤10分；</w:t>
            </w:r>
            <w:r>
              <w:rPr>
                <w:rFonts w:hint="eastAsia" w:ascii="宋体" w:hAnsi="宋体" w:eastAsia="宋体" w:cs="宋体"/>
                <w:color w:val="auto"/>
                <w:sz w:val="24"/>
                <w:szCs w:val="24"/>
                <w:highlight w:val="none"/>
                <w:lang w:val="zh-CN" w:eastAsia="zh-CN"/>
              </w:rPr>
              <w:t>展会服务承诺提供</w:t>
            </w:r>
            <w:r>
              <w:rPr>
                <w:rFonts w:hint="eastAsia" w:ascii="宋体" w:hAnsi="宋体" w:eastAsia="宋体" w:cs="宋体"/>
                <w:color w:val="auto"/>
                <w:sz w:val="24"/>
                <w:szCs w:val="24"/>
                <w:highlight w:val="none"/>
                <w:lang w:val="en-US" w:eastAsia="zh-CN"/>
              </w:rPr>
              <w:t>1人驻场服务的可得</w:t>
            </w:r>
            <w:r>
              <w:rPr>
                <w:rFonts w:hint="eastAsia" w:ascii="宋体" w:hAnsi="宋体" w:eastAsia="宋体" w:cs="宋体"/>
                <w:color w:val="auto"/>
                <w:sz w:val="24"/>
                <w:szCs w:val="24"/>
                <w:highlight w:val="none"/>
                <w:lang w:val="zh-CN"/>
              </w:rPr>
              <w:t>良好，得4＜F≤7分</w:t>
            </w:r>
            <w:r>
              <w:rPr>
                <w:rFonts w:hint="eastAsia" w:ascii="宋体" w:hAnsi="宋体" w:eastAsia="宋体" w:cs="宋体"/>
                <w:color w:val="auto"/>
                <w:sz w:val="24"/>
                <w:szCs w:val="24"/>
                <w:highlight w:val="none"/>
                <w:lang w:val="zh-CN" w:eastAsia="zh-CN"/>
              </w:rPr>
              <w:t>；展会服务不承诺驻场的可得</w:t>
            </w:r>
            <w:r>
              <w:rPr>
                <w:rFonts w:hint="eastAsia" w:ascii="宋体" w:hAnsi="宋体" w:eastAsia="宋体" w:cs="宋体"/>
                <w:color w:val="auto"/>
                <w:sz w:val="24"/>
                <w:szCs w:val="24"/>
                <w:highlight w:val="none"/>
                <w:lang w:val="zh-CN"/>
              </w:rPr>
              <w:t>一般，得1＜F≤4分，未提供的不得分。</w:t>
            </w:r>
          </w:p>
          <w:p>
            <w:pPr>
              <w:keepNext w:val="0"/>
              <w:keepLines w:val="0"/>
              <w:pageBreakBefore w:val="0"/>
              <w:kinsoku/>
              <w:wordWrap/>
              <w:overflowPunct/>
              <w:topLinePunct w:val="0"/>
              <w:bidi w:val="0"/>
              <w:snapToGrid/>
              <w:spacing w:before="120"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kern w:val="2"/>
                <w:sz w:val="24"/>
                <w:szCs w:val="24"/>
                <w:highlight w:val="none"/>
                <w:lang w:val="zh-CN" w:eastAsia="zh-CN" w:bidi="ar-SA"/>
              </w:rPr>
              <w:t>注：投标文件提供营业执照、本地办公场所等证明资料作为评审依据。</w:t>
            </w:r>
          </w:p>
        </w:tc>
        <w:tc>
          <w:tcPr>
            <w:tcW w:w="1334"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1280" w:type="dxa"/>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shd w:val="clear" w:color="auto" w:fill="FFFFFF"/>
              </w:rPr>
            </w:pPr>
          </w:p>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履约评价</w:t>
            </w:r>
          </w:p>
        </w:tc>
        <w:tc>
          <w:tcPr>
            <w:tcW w:w="5948" w:type="dxa"/>
          </w:tcPr>
          <w:p>
            <w:pPr>
              <w:keepNext w:val="0"/>
              <w:keepLines w:val="0"/>
              <w:pageBreakBefore w:val="0"/>
              <w:widowControl/>
              <w:kinsoku/>
              <w:wordWrap/>
              <w:overflowPunct/>
              <w:topLinePunct w:val="0"/>
              <w:bidi w:val="0"/>
              <w:snapToGrid/>
              <w:spacing w:before="120" w:line="500" w:lineRule="exact"/>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上述经磋商小组评审认可的业绩合同中，每提供一个获得业主单位满意评价的得 1分，满分得 5分。</w:t>
            </w:r>
          </w:p>
          <w:p>
            <w:pPr>
              <w:keepNext w:val="0"/>
              <w:keepLines w:val="0"/>
              <w:pageBreakBefore w:val="0"/>
              <w:kinsoku/>
              <w:wordWrap/>
              <w:overflowPunct/>
              <w:topLinePunct w:val="0"/>
              <w:bidi w:val="0"/>
              <w:snapToGrid/>
              <w:spacing w:before="120" w:line="500" w:lineRule="exac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注：每个项目仅计分一次，不重复累计。投标文件中需提供加盖业主单位公章的满意评价证明材料扫描件。</w:t>
            </w:r>
          </w:p>
        </w:tc>
        <w:tc>
          <w:tcPr>
            <w:tcW w:w="1334" w:type="dxa"/>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cs="宋体"/>
                <w:color w:val="auto"/>
                <w:sz w:val="24"/>
                <w:szCs w:val="24"/>
                <w:highlight w:val="none"/>
                <w:lang w:val="en-US" w:eastAsia="zh-CN"/>
              </w:rPr>
            </w:pPr>
          </w:p>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5" w:type="dxa"/>
            <w:vAlign w:val="center"/>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280" w:type="dxa"/>
          </w:tcPr>
          <w:p>
            <w:pPr>
              <w:keepNext w:val="0"/>
              <w:keepLines w:val="0"/>
              <w:pageBreakBefore w:val="0"/>
              <w:kinsoku/>
              <w:wordWrap/>
              <w:overflowPunct/>
              <w:topLinePunct w:val="0"/>
              <w:bidi w:val="0"/>
              <w:snapToGrid/>
              <w:spacing w:before="120" w:line="500" w:lineRule="exact"/>
              <w:jc w:val="center"/>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合计</w:t>
            </w:r>
          </w:p>
        </w:tc>
        <w:tc>
          <w:tcPr>
            <w:tcW w:w="5948" w:type="dxa"/>
          </w:tcPr>
          <w:p>
            <w:pPr>
              <w:keepNext w:val="0"/>
              <w:keepLines w:val="0"/>
              <w:pageBreakBefore w:val="0"/>
              <w:kinsoku/>
              <w:wordWrap/>
              <w:overflowPunct/>
              <w:topLinePunct w:val="0"/>
              <w:bidi w:val="0"/>
              <w:snapToGrid/>
              <w:spacing w:before="120" w:line="500" w:lineRule="exact"/>
              <w:textAlignment w:val="auto"/>
              <w:rPr>
                <w:rFonts w:hint="eastAsia" w:ascii="宋体" w:hAnsi="宋体" w:eastAsia="宋体" w:cs="宋体"/>
                <w:color w:val="auto"/>
                <w:sz w:val="24"/>
                <w:szCs w:val="24"/>
                <w:highlight w:val="none"/>
                <w:shd w:val="clear" w:color="auto" w:fill="FFFFFF"/>
              </w:rPr>
            </w:pPr>
          </w:p>
        </w:tc>
        <w:tc>
          <w:tcPr>
            <w:tcW w:w="1334" w:type="dxa"/>
          </w:tcPr>
          <w:p>
            <w:pPr>
              <w:keepNext w:val="0"/>
              <w:keepLines w:val="0"/>
              <w:pageBreakBefore w:val="0"/>
              <w:kinsoku/>
              <w:wordWrap/>
              <w:overflowPunct/>
              <w:topLinePunct w:val="0"/>
              <w:bidi w:val="0"/>
              <w:snapToGrid/>
              <w:spacing w:before="120" w:line="500" w:lineRule="exact"/>
              <w:jc w:val="center"/>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80分</w:t>
            </w:r>
          </w:p>
        </w:tc>
      </w:tr>
    </w:tbl>
    <w:p>
      <w:pPr>
        <w:rPr>
          <w:color w:val="auto"/>
          <w:highlight w:val="none"/>
        </w:rPr>
      </w:pP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8.3商务部分得分计算</w:t>
      </w:r>
    </w:p>
    <w:p>
      <w:pPr>
        <w:adjustRightInd w:val="0"/>
        <w:snapToGrid w:val="0"/>
        <w:spacing w:line="360" w:lineRule="auto"/>
        <w:ind w:right="-10" w:firstLine="480" w:firstLineChars="200"/>
        <w:rPr>
          <w:rFonts w:ascii="宋体" w:hAnsi="宋体"/>
          <w:bCs/>
          <w:color w:val="auto"/>
          <w:sz w:val="24"/>
          <w:szCs w:val="20"/>
          <w:highlight w:val="none"/>
        </w:rPr>
      </w:pPr>
      <w:r>
        <w:rPr>
          <w:rFonts w:hint="eastAsia" w:ascii="宋体" w:hAnsi="宋体"/>
          <w:bCs/>
          <w:color w:val="auto"/>
          <w:sz w:val="24"/>
          <w:szCs w:val="20"/>
          <w:highlight w:val="none"/>
        </w:rPr>
        <w:t>依据通过初审的有效投标人名单，其投标人的商务部分得分按照以下方式计算：</w:t>
      </w:r>
    </w:p>
    <w:tbl>
      <w:tblPr>
        <w:tblStyle w:val="6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054"/>
        <w:gridCol w:w="6511"/>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31" w:type="dxa"/>
            <w:vAlign w:val="center"/>
          </w:tcPr>
          <w:p>
            <w:pPr>
              <w:spacing w:line="0" w:lineRule="atLeast"/>
              <w:rPr>
                <w:rFonts w:ascii="宋体" w:hAnsi="宋体"/>
                <w:b/>
                <w:color w:val="auto"/>
                <w:sz w:val="24"/>
                <w:szCs w:val="24"/>
                <w:highlight w:val="none"/>
              </w:rPr>
            </w:pPr>
            <w:r>
              <w:rPr>
                <w:rFonts w:hint="eastAsia" w:ascii="宋体" w:hAnsi="宋体"/>
                <w:b/>
                <w:bCs w:val="0"/>
                <w:color w:val="auto"/>
                <w:sz w:val="24"/>
                <w:szCs w:val="24"/>
                <w:highlight w:val="none"/>
              </w:rPr>
              <w:t>商务部分</w:t>
            </w:r>
          </w:p>
        </w:tc>
        <w:tc>
          <w:tcPr>
            <w:tcW w:w="1054" w:type="dxa"/>
            <w:vAlign w:val="center"/>
          </w:tcPr>
          <w:p>
            <w:pPr>
              <w:spacing w:line="0" w:lineRule="atLeast"/>
              <w:jc w:val="center"/>
              <w:rPr>
                <w:rFonts w:ascii="宋体" w:hAnsi="宋体"/>
                <w:color w:val="auto"/>
                <w:sz w:val="24"/>
                <w:szCs w:val="24"/>
                <w:highlight w:val="none"/>
              </w:rPr>
            </w:pPr>
            <w:r>
              <w:rPr>
                <w:rFonts w:ascii="宋体" w:hAnsi="宋体"/>
                <w:color w:val="auto"/>
                <w:sz w:val="24"/>
                <w:szCs w:val="24"/>
                <w:highlight w:val="none"/>
              </w:rPr>
              <w:t>最终投标报价</w:t>
            </w:r>
          </w:p>
        </w:tc>
        <w:tc>
          <w:tcPr>
            <w:tcW w:w="6511" w:type="dxa"/>
            <w:vAlign w:val="center"/>
          </w:tcPr>
          <w:p>
            <w:pPr>
              <w:spacing w:line="360" w:lineRule="auto"/>
              <w:rPr>
                <w:rFonts w:ascii="宋体" w:hAnsi="宋体"/>
                <w:color w:val="auto"/>
                <w:sz w:val="24"/>
                <w:szCs w:val="24"/>
                <w:highlight w:val="none"/>
              </w:rPr>
            </w:pPr>
            <w:r>
              <w:rPr>
                <w:rFonts w:ascii="宋体" w:hAnsi="宋体"/>
                <w:color w:val="auto"/>
                <w:sz w:val="24"/>
                <w:szCs w:val="24"/>
                <w:highlight w:val="none"/>
              </w:rPr>
              <w:t>价格分统一采用</w:t>
            </w:r>
            <w:r>
              <w:rPr>
                <w:rFonts w:hint="eastAsia" w:ascii="宋体" w:hAnsi="宋体"/>
                <w:color w:val="auto"/>
                <w:sz w:val="24"/>
                <w:szCs w:val="24"/>
                <w:highlight w:val="none"/>
              </w:rPr>
              <w:t>综合评分</w:t>
            </w:r>
            <w:r>
              <w:rPr>
                <w:rFonts w:ascii="宋体" w:hAnsi="宋体"/>
                <w:color w:val="auto"/>
                <w:sz w:val="24"/>
                <w:szCs w:val="24"/>
                <w:highlight w:val="none"/>
              </w:rPr>
              <w:t>法，即满足招标文件要求且投标价格最低的投标报价为评标基准价，其价格分为满分。其他投标人的价格分统一按照下列公式计算：投标报价得分＝（评标基准价/投标报价）×</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0</w:t>
            </w:r>
            <w:r>
              <w:rPr>
                <w:rFonts w:ascii="宋体" w:hAnsi="宋体"/>
                <w:color w:val="auto"/>
                <w:sz w:val="24"/>
                <w:szCs w:val="24"/>
                <w:highlight w:val="none"/>
              </w:rPr>
              <w:t>％×100</w:t>
            </w:r>
          </w:p>
        </w:tc>
        <w:tc>
          <w:tcPr>
            <w:tcW w:w="1104" w:type="dxa"/>
            <w:vAlign w:val="center"/>
          </w:tcPr>
          <w:p>
            <w:pPr>
              <w:widowControl/>
              <w:spacing w:line="0" w:lineRule="atLeas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0-</w:t>
            </w:r>
            <w:r>
              <w:rPr>
                <w:rFonts w:hint="eastAsia" w:ascii="宋体" w:hAnsi="宋体" w:cs="宋体"/>
                <w:b/>
                <w:color w:val="auto"/>
                <w:kern w:val="0"/>
                <w:sz w:val="24"/>
                <w:szCs w:val="24"/>
                <w:highlight w:val="none"/>
                <w:u w:val="none"/>
                <w:lang w:val="en-US" w:eastAsia="zh-CN"/>
              </w:rPr>
              <w:t>20</w:t>
            </w:r>
            <w:r>
              <w:rPr>
                <w:rFonts w:hint="eastAsia" w:ascii="宋体" w:hAnsi="宋体" w:cs="宋体"/>
                <w:b/>
                <w:color w:val="auto"/>
                <w:kern w:val="0"/>
                <w:sz w:val="24"/>
                <w:szCs w:val="24"/>
                <w:highlight w:val="none"/>
              </w:rPr>
              <w:t>分</w:t>
            </w:r>
          </w:p>
        </w:tc>
      </w:tr>
    </w:tbl>
    <w:p>
      <w:pPr>
        <w:rPr>
          <w:color w:val="auto"/>
          <w:highlight w:val="none"/>
        </w:rPr>
      </w:pP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szCs w:val="24"/>
          <w:highlight w:val="none"/>
        </w:rPr>
        <w:t>8.4确定中标候选人</w:t>
      </w:r>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8</w:t>
      </w:r>
      <w:r>
        <w:rPr>
          <w:rFonts w:ascii="宋体" w:hAnsi="宋体"/>
          <w:bCs/>
          <w:color w:val="auto"/>
          <w:sz w:val="24"/>
          <w:highlight w:val="none"/>
        </w:rPr>
        <w:t>.4.1</w:t>
      </w:r>
      <w:r>
        <w:rPr>
          <w:rFonts w:hint="eastAsia" w:ascii="宋体" w:hAnsi="宋体"/>
          <w:bCs/>
          <w:color w:val="auto"/>
          <w:sz w:val="24"/>
          <w:highlight w:val="none"/>
        </w:rPr>
        <w:t>计算最终得分</w:t>
      </w:r>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将每个有效投标人的技术部分得分加商务部分得分，得出该投标人的最终得分。</w:t>
      </w:r>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投标人的各项得分均</w:t>
      </w:r>
      <w:bookmarkStart w:id="51" w:name="_Hlk514730679"/>
      <w:r>
        <w:rPr>
          <w:rFonts w:hint="eastAsia" w:ascii="宋体" w:hAnsi="宋体"/>
          <w:bCs/>
          <w:color w:val="auto"/>
          <w:sz w:val="24"/>
          <w:highlight w:val="none"/>
        </w:rPr>
        <w:t>保留小数点后两位（小数点后第三位四舍五入）</w:t>
      </w:r>
      <w:bookmarkEnd w:id="51"/>
      <w:r>
        <w:rPr>
          <w:rFonts w:hint="eastAsia" w:ascii="宋体" w:hAnsi="宋体"/>
          <w:bCs/>
          <w:color w:val="auto"/>
          <w:sz w:val="24"/>
          <w:highlight w:val="none"/>
        </w:rPr>
        <w:t>。</w:t>
      </w:r>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8</w:t>
      </w:r>
      <w:r>
        <w:rPr>
          <w:rFonts w:ascii="宋体" w:hAnsi="宋体"/>
          <w:bCs/>
          <w:color w:val="auto"/>
          <w:sz w:val="24"/>
          <w:highlight w:val="none"/>
        </w:rPr>
        <w:t>.4.2</w:t>
      </w:r>
      <w:r>
        <w:rPr>
          <w:rFonts w:hint="eastAsia" w:ascii="宋体" w:hAnsi="宋体"/>
          <w:bCs/>
          <w:color w:val="auto"/>
          <w:sz w:val="24"/>
          <w:highlight w:val="none"/>
        </w:rPr>
        <w:t>按照有效投标人最终得分由高到低排出中标候选人。</w:t>
      </w:r>
    </w:p>
    <w:p>
      <w:pPr>
        <w:adjustRightInd w:val="0"/>
        <w:snapToGrid w:val="0"/>
        <w:spacing w:line="360" w:lineRule="auto"/>
        <w:ind w:right="-10" w:firstLine="420" w:firstLineChars="175"/>
        <w:rPr>
          <w:rFonts w:ascii="宋体" w:hAnsi="宋体"/>
          <w:bCs/>
          <w:color w:val="auto"/>
          <w:sz w:val="24"/>
          <w:highlight w:val="none"/>
        </w:rPr>
      </w:pPr>
      <w:r>
        <w:rPr>
          <w:rFonts w:hint="eastAsia" w:ascii="宋体" w:hAnsi="宋体"/>
          <w:bCs/>
          <w:color w:val="auto"/>
          <w:sz w:val="24"/>
          <w:highlight w:val="none"/>
        </w:rPr>
        <w:t>最终得分相同的，按技术部分得分由高到低顺序排序。技术部分得分及最终得分均相同的，</w:t>
      </w:r>
      <w:bookmarkStart w:id="52" w:name="_Hlk514735510"/>
      <w:r>
        <w:rPr>
          <w:rFonts w:hint="eastAsia" w:ascii="宋体" w:hAnsi="宋体"/>
          <w:bCs/>
          <w:color w:val="auto"/>
          <w:sz w:val="24"/>
          <w:highlight w:val="none"/>
        </w:rPr>
        <w:t>则采取评标委员会抽签方式确定其前后次序。</w:t>
      </w:r>
      <w:bookmarkEnd w:id="52"/>
    </w:p>
    <w:p>
      <w:pPr>
        <w:adjustRightInd w:val="0"/>
        <w:snapToGrid w:val="0"/>
        <w:spacing w:line="360" w:lineRule="auto"/>
        <w:ind w:right="-10" w:firstLine="422" w:firstLineChars="175"/>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各投标人的得分一经得出，并核对无误后，任何人不得更改。</w:t>
      </w:r>
    </w:p>
    <w:p>
      <w:pPr>
        <w:pStyle w:val="25"/>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13.</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14.</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15.</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16.</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auto"/>
          <w:sz w:val="24"/>
          <w:szCs w:val="24"/>
          <w:highlight w:val="none"/>
        </w:rPr>
      </w:pPr>
      <w:r>
        <w:rPr>
          <w:rFonts w:hint="eastAsia" w:cs="黑体" w:asciiTheme="minorEastAsia" w:hAnsiTheme="minorEastAsia" w:eastAsiaTheme="minorEastAsia"/>
          <w:b/>
          <w:color w:val="auto"/>
          <w:sz w:val="24"/>
          <w:szCs w:val="24"/>
          <w:highlight w:val="none"/>
        </w:rPr>
        <w:t>17. 其他</w:t>
      </w:r>
    </w:p>
    <w:p>
      <w:pPr>
        <w:spacing w:line="360" w:lineRule="auto"/>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bCs/>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Theme="minorEastAsia" w:hAnsiTheme="minorEastAsia" w:eastAsiaTheme="minorEastAsia"/>
          <w:b/>
          <w:color w:val="auto"/>
          <w:sz w:val="24"/>
          <w:szCs w:val="24"/>
          <w:highlight w:val="none"/>
        </w:rPr>
        <w:t>。</w:t>
      </w:r>
    </w:p>
    <w:p>
      <w:pPr>
        <w:spacing w:line="360" w:lineRule="auto"/>
        <w:rPr>
          <w:color w:val="auto"/>
          <w:highlight w:val="none"/>
        </w:rPr>
      </w:pPr>
    </w:p>
    <w:p>
      <w:pPr>
        <w:rPr>
          <w:color w:val="auto"/>
          <w:highlight w:val="none"/>
        </w:rPr>
      </w:pPr>
    </w:p>
    <w:p>
      <w:pPr>
        <w:pStyle w:val="4"/>
        <w:spacing w:line="500" w:lineRule="exact"/>
        <w:ind w:firstLine="0"/>
        <w:jc w:val="both"/>
        <w:rPr>
          <w:rFonts w:ascii="宋体" w:hAnsi="宋体" w:eastAsia="宋体"/>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bookmarkStart w:id="53" w:name="_Toc32306258"/>
      <w:bookmarkStart w:id="54" w:name="_Toc13822"/>
      <w:r>
        <w:rPr>
          <w:rFonts w:hint="eastAsia" w:ascii="宋体" w:hAnsi="宋体" w:eastAsia="宋体"/>
          <w:color w:val="auto"/>
          <w:highlight w:val="none"/>
        </w:rPr>
        <w:t>第</w:t>
      </w:r>
      <w:r>
        <w:rPr>
          <w:rFonts w:hint="eastAsia" w:ascii="宋体" w:hAnsi="宋体" w:eastAsia="宋体"/>
          <w:color w:val="auto"/>
          <w:highlight w:val="none"/>
          <w:lang w:val="en-US" w:eastAsia="zh-CN"/>
        </w:rPr>
        <w:t>六</w:t>
      </w:r>
      <w:r>
        <w:rPr>
          <w:rFonts w:hint="eastAsia" w:ascii="宋体" w:hAnsi="宋体" w:eastAsia="宋体"/>
          <w:color w:val="auto"/>
          <w:highlight w:val="none"/>
        </w:rPr>
        <w:t>章</w:t>
      </w:r>
      <w:bookmarkStart w:id="55" w:name="_Toc220232392"/>
      <w:r>
        <w:rPr>
          <w:rFonts w:hint="eastAsia" w:ascii="宋体" w:hAnsi="宋体" w:eastAsia="宋体"/>
          <w:color w:val="auto"/>
          <w:highlight w:val="none"/>
        </w:rPr>
        <w:t xml:space="preserve">  合同条款及格式</w:t>
      </w:r>
      <w:bookmarkEnd w:id="53"/>
      <w:bookmarkEnd w:id="54"/>
    </w:p>
    <w:bookmarkEnd w:id="55"/>
    <w:p>
      <w:pPr>
        <w:spacing w:line="900" w:lineRule="exact"/>
        <w:jc w:val="center"/>
        <w:rPr>
          <w:rFonts w:hint="eastAsia" w:ascii="宋体" w:hAnsi="宋体"/>
          <w:b/>
          <w:color w:val="auto"/>
          <w:sz w:val="44"/>
          <w:szCs w:val="44"/>
          <w:highlight w:val="none"/>
        </w:rPr>
      </w:pPr>
      <w:r>
        <w:rPr>
          <w:rFonts w:hint="eastAsia" w:ascii="宋体" w:hAnsi="宋体"/>
          <w:b/>
          <w:color w:val="auto"/>
          <w:sz w:val="44"/>
          <w:szCs w:val="44"/>
          <w:highlight w:val="none"/>
        </w:rPr>
        <w:t>《合肥政文国际会展管理有限公司两馆电梯</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rPr>
        <w:t>维保项目合同》</w:t>
      </w:r>
    </w:p>
    <w:p>
      <w:pPr>
        <w:spacing w:line="540" w:lineRule="exact"/>
        <w:ind w:firstLine="883" w:firstLineChars="200"/>
        <w:jc w:val="center"/>
        <w:rPr>
          <w:rFonts w:ascii="黑体" w:hAnsi="黑体" w:eastAsia="黑体" w:cs="宋体"/>
          <w:b/>
          <w:color w:val="auto"/>
          <w:kern w:val="0"/>
          <w:sz w:val="44"/>
          <w:szCs w:val="44"/>
          <w:highlight w:val="none"/>
        </w:rPr>
      </w:pPr>
    </w:p>
    <w:p>
      <w:pPr>
        <w:spacing w:line="540" w:lineRule="exact"/>
        <w:ind w:firstLine="883" w:firstLineChars="200"/>
        <w:jc w:val="center"/>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电梯维保合同</w:t>
      </w:r>
    </w:p>
    <w:p>
      <w:pPr>
        <w:adjustRightInd w:val="0"/>
        <w:snapToGrid w:val="0"/>
        <w:ind w:firstLine="261" w:firstLineChars="200"/>
        <w:rPr>
          <w:rFonts w:ascii="仿宋_GB2312" w:hAnsi="宋体" w:eastAsia="仿宋_GB2312" w:cs="宋体"/>
          <w:b/>
          <w:bCs/>
          <w:color w:val="auto"/>
          <w:sz w:val="13"/>
          <w:szCs w:val="13"/>
          <w:highlight w:val="none"/>
        </w:rPr>
      </w:pPr>
    </w:p>
    <w:p>
      <w:pPr>
        <w:adjustRightInd w:val="0"/>
        <w:snapToGrid w:val="0"/>
        <w:spacing w:line="520" w:lineRule="exact"/>
        <w:jc w:val="right"/>
        <w:rPr>
          <w:rFonts w:ascii="仿宋" w:hAnsi="仿宋" w:eastAsia="仿宋" w:cs="黑体"/>
          <w:b/>
          <w:color w:val="auto"/>
          <w:kern w:val="0"/>
          <w:szCs w:val="21"/>
          <w:highlight w:val="none"/>
        </w:rPr>
      </w:pPr>
      <w:bookmarkStart w:id="56" w:name="_Hlk47980575"/>
      <w:r>
        <w:rPr>
          <w:rFonts w:hint="eastAsia" w:ascii="仿宋" w:hAnsi="仿宋" w:eastAsia="仿宋"/>
          <w:b/>
          <w:bCs/>
          <w:color w:val="auto"/>
          <w:highlight w:val="none"/>
        </w:rPr>
        <w:t>文旅博览（202</w:t>
      </w:r>
      <w:r>
        <w:rPr>
          <w:rFonts w:hint="eastAsia" w:ascii="仿宋" w:hAnsi="仿宋" w:eastAsia="仿宋"/>
          <w:b/>
          <w:bCs/>
          <w:color w:val="auto"/>
          <w:highlight w:val="none"/>
          <w:lang w:val="en-US" w:eastAsia="zh-CN"/>
        </w:rPr>
        <w:t>1</w:t>
      </w:r>
      <w:r>
        <w:rPr>
          <w:rFonts w:hint="eastAsia" w:ascii="仿宋" w:hAnsi="仿宋" w:eastAsia="仿宋"/>
          <w:b/>
          <w:bCs/>
          <w:color w:val="auto"/>
          <w:highlight w:val="none"/>
        </w:rPr>
        <w:t>）第xxx号合同</w:t>
      </w:r>
    </w:p>
    <w:p>
      <w:pPr>
        <w:adjustRightInd w:val="0"/>
        <w:snapToGrid w:val="0"/>
        <w:spacing w:line="520" w:lineRule="exact"/>
        <w:ind w:firstLine="482" w:firstLineChars="200"/>
        <w:rPr>
          <w:rFonts w:ascii="仿宋_GB2312" w:hAnsi="宋体" w:eastAsia="仿宋_GB2312" w:cs="宋体"/>
          <w:b/>
          <w:bCs/>
          <w:color w:val="auto"/>
          <w:sz w:val="24"/>
          <w:highlight w:val="none"/>
        </w:rPr>
      </w:pPr>
      <w:r>
        <w:rPr>
          <w:rFonts w:hint="eastAsia" w:ascii="仿宋_GB2312" w:hAnsi="宋体" w:eastAsia="仿宋_GB2312" w:cs="宋体"/>
          <w:b/>
          <w:bCs/>
          <w:color w:val="auto"/>
          <w:sz w:val="24"/>
          <w:highlight w:val="none"/>
        </w:rPr>
        <w:t>甲方：合肥政文国际会展管理有限公司</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 xml:space="preserve">地 址：  合肥市滨湖新区锦绣大道3899号               </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 xml:space="preserve">法定代表人： </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联系人：</w:t>
      </w:r>
    </w:p>
    <w:p>
      <w:pPr>
        <w:adjustRightInd w:val="0"/>
        <w:snapToGrid w:val="0"/>
        <w:spacing w:line="520" w:lineRule="exact"/>
        <w:ind w:firstLine="480" w:firstLineChars="200"/>
        <w:rPr>
          <w:rFonts w:ascii="仿宋_GB2312" w:hAnsi="宋体" w:eastAsia="仿宋_GB2312" w:cs="宋体"/>
          <w:b/>
          <w:bCs/>
          <w:color w:val="auto"/>
          <w:sz w:val="24"/>
          <w:highlight w:val="none"/>
        </w:rPr>
      </w:pPr>
      <w:r>
        <w:rPr>
          <w:rFonts w:hint="eastAsia" w:ascii="仿宋_GB2312" w:hAnsi="宋体" w:eastAsia="仿宋_GB2312" w:cs="宋体"/>
          <w:color w:val="auto"/>
          <w:sz w:val="24"/>
          <w:highlight w:val="none"/>
        </w:rPr>
        <w:t>电话：</w:t>
      </w:r>
    </w:p>
    <w:p>
      <w:pPr>
        <w:adjustRightInd w:val="0"/>
        <w:snapToGrid w:val="0"/>
        <w:ind w:firstLine="261" w:firstLineChars="200"/>
        <w:rPr>
          <w:rFonts w:ascii="仿宋_GB2312" w:hAnsi="宋体" w:eastAsia="仿宋_GB2312" w:cs="宋体"/>
          <w:b/>
          <w:bCs/>
          <w:color w:val="auto"/>
          <w:sz w:val="13"/>
          <w:szCs w:val="13"/>
          <w:highlight w:val="none"/>
        </w:rPr>
      </w:pPr>
    </w:p>
    <w:p>
      <w:pPr>
        <w:adjustRightInd w:val="0"/>
        <w:snapToGrid w:val="0"/>
        <w:spacing w:line="520" w:lineRule="exact"/>
        <w:ind w:firstLine="482" w:firstLineChars="200"/>
        <w:rPr>
          <w:rFonts w:hint="eastAsia" w:ascii="仿宋_GB2312" w:hAnsi="宋体" w:eastAsia="仿宋_GB2312" w:cs="宋体"/>
          <w:b/>
          <w:bCs/>
          <w:color w:val="auto"/>
          <w:sz w:val="24"/>
          <w:highlight w:val="none"/>
          <w:lang w:eastAsia="zh-CN"/>
        </w:rPr>
      </w:pPr>
      <w:r>
        <w:rPr>
          <w:rFonts w:hint="eastAsia" w:ascii="仿宋_GB2312" w:hAnsi="宋体" w:eastAsia="仿宋_GB2312" w:cs="宋体"/>
          <w:b/>
          <w:bCs/>
          <w:color w:val="auto"/>
          <w:sz w:val="24"/>
          <w:highlight w:val="none"/>
        </w:rPr>
        <w:t>乙方：</w:t>
      </w:r>
      <w:r>
        <w:rPr>
          <w:rFonts w:hint="eastAsia" w:ascii="仿宋_GB2312" w:hAnsi="宋体" w:eastAsia="仿宋_GB2312" w:cs="宋体"/>
          <w:b/>
          <w:bCs/>
          <w:color w:val="auto"/>
          <w:sz w:val="24"/>
          <w:highlight w:val="none"/>
          <w:lang w:val="en-US" w:eastAsia="zh-CN"/>
        </w:rPr>
        <w:t xml:space="preserve"> </w:t>
      </w:r>
    </w:p>
    <w:p>
      <w:pPr>
        <w:adjustRightInd w:val="0"/>
        <w:snapToGrid w:val="0"/>
        <w:spacing w:line="520" w:lineRule="exact"/>
        <w:ind w:firstLine="480" w:firstLineChars="200"/>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地 址：</w:t>
      </w:r>
      <w:r>
        <w:rPr>
          <w:rFonts w:hint="eastAsia" w:ascii="仿宋_GB2312" w:hAnsi="宋体" w:eastAsia="仿宋_GB2312" w:cs="宋体"/>
          <w:color w:val="auto"/>
          <w:sz w:val="24"/>
          <w:highlight w:val="none"/>
          <w:lang w:val="en-US" w:eastAsia="zh-CN"/>
        </w:rPr>
        <w:t xml:space="preserve"> </w:t>
      </w:r>
    </w:p>
    <w:p>
      <w:pPr>
        <w:adjustRightInd w:val="0"/>
        <w:snapToGrid w:val="0"/>
        <w:spacing w:line="520" w:lineRule="exact"/>
        <w:ind w:firstLine="480" w:firstLineChars="200"/>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单位负责人：</w:t>
      </w:r>
      <w:r>
        <w:rPr>
          <w:rFonts w:hint="eastAsia" w:ascii="仿宋_GB2312" w:hAnsi="宋体" w:eastAsia="仿宋_GB2312" w:cs="宋体"/>
          <w:color w:val="auto"/>
          <w:sz w:val="24"/>
          <w:highlight w:val="none"/>
          <w:lang w:val="en-US" w:eastAsia="zh-CN"/>
        </w:rPr>
        <w:t xml:space="preserve"> </w:t>
      </w:r>
    </w:p>
    <w:p>
      <w:pPr>
        <w:adjustRightInd w:val="0"/>
        <w:snapToGrid w:val="0"/>
        <w:spacing w:line="520" w:lineRule="exact"/>
        <w:ind w:firstLine="480" w:firstLineChars="200"/>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联系人：</w:t>
      </w:r>
      <w:r>
        <w:rPr>
          <w:rFonts w:hint="eastAsia" w:ascii="仿宋_GB2312" w:hAnsi="宋体" w:eastAsia="仿宋_GB2312" w:cs="宋体"/>
          <w:color w:val="auto"/>
          <w:sz w:val="24"/>
          <w:highlight w:val="none"/>
          <w:lang w:val="en-US" w:eastAsia="zh-CN"/>
        </w:rPr>
        <w:t xml:space="preserve"> </w:t>
      </w:r>
    </w:p>
    <w:p>
      <w:pPr>
        <w:adjustRightInd w:val="0"/>
        <w:snapToGrid w:val="0"/>
        <w:spacing w:line="520" w:lineRule="exact"/>
        <w:ind w:firstLine="480" w:firstLineChars="200"/>
        <w:rPr>
          <w:rFonts w:hint="eastAsia" w:ascii="仿宋_GB2312" w:eastAsia="仿宋_GB2312" w:hAnsiTheme="minorEastAsia" w:cstheme="minorEastAsia"/>
          <w:color w:val="auto"/>
          <w:sz w:val="24"/>
          <w:highlight w:val="none"/>
          <w:lang w:eastAsia="zh-CN"/>
        </w:rPr>
      </w:pPr>
      <w:r>
        <w:rPr>
          <w:rFonts w:hint="eastAsia" w:ascii="仿宋_GB2312" w:eastAsia="仿宋_GB2312" w:hAnsiTheme="minorEastAsia" w:cstheme="minorEastAsia"/>
          <w:color w:val="auto"/>
          <w:sz w:val="24"/>
          <w:highlight w:val="none"/>
        </w:rPr>
        <w:t>电话：</w:t>
      </w:r>
      <w:r>
        <w:rPr>
          <w:rFonts w:hint="eastAsia" w:ascii="仿宋_GB2312" w:eastAsia="仿宋_GB2312" w:hAnsiTheme="minorEastAsia" w:cstheme="minorEastAsia"/>
          <w:color w:val="auto"/>
          <w:sz w:val="24"/>
          <w:highlight w:val="none"/>
          <w:lang w:val="en-US" w:eastAsia="zh-CN"/>
        </w:rPr>
        <w:t xml:space="preserve"> </w:t>
      </w:r>
    </w:p>
    <w:bookmarkEnd w:id="56"/>
    <w:p>
      <w:pPr>
        <w:adjustRightInd w:val="0"/>
        <w:snapToGrid w:val="0"/>
        <w:ind w:firstLine="260" w:firstLineChars="200"/>
        <w:rPr>
          <w:rFonts w:ascii="仿宋_GB2312" w:eastAsia="仿宋_GB2312" w:hAnsiTheme="minorEastAsia" w:cstheme="minorEastAsia"/>
          <w:color w:val="auto"/>
          <w:sz w:val="13"/>
          <w:szCs w:val="13"/>
          <w:highlight w:val="none"/>
        </w:rPr>
      </w:pPr>
      <w:bookmarkStart w:id="57" w:name="_Hlk49613031"/>
    </w:p>
    <w:bookmarkEnd w:id="57"/>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为贯彻“安全生产，预防为主”的方针，保障电梯安全运行，防止事故发生，依照《中华人民共和国合同法》、《中华人民共和国特种设备安全法》、《特种设备安全监察条例》、《电梯使用管理与维护保养规则》（TSGT5002-2017）等规定，遵循平等、自愿、公平和诚实信用的原则，经甲乙双方协商订立本合同。</w:t>
      </w:r>
    </w:p>
    <w:p>
      <w:pPr>
        <w:adjustRightInd w:val="0"/>
        <w:snapToGrid w:val="0"/>
        <w:spacing w:line="520" w:lineRule="exact"/>
        <w:ind w:firstLine="482" w:firstLineChars="200"/>
        <w:rPr>
          <w:rFonts w:ascii="仿宋_GB2312" w:eastAsia="仿宋_GB2312" w:hAnsiTheme="minorEastAsia" w:cstheme="minorEastAsia"/>
          <w:b/>
          <w:bCs/>
          <w:color w:val="auto"/>
          <w:sz w:val="24"/>
          <w:highlight w:val="none"/>
        </w:rPr>
      </w:pPr>
      <w:bookmarkStart w:id="58" w:name="_Hlt504194270"/>
      <w:bookmarkEnd w:id="58"/>
      <w:bookmarkStart w:id="59" w:name="_Hlt503689602"/>
      <w:bookmarkEnd w:id="59"/>
      <w:bookmarkStart w:id="60" w:name="_Hlt504194631"/>
      <w:bookmarkEnd w:id="60"/>
      <w:bookmarkStart w:id="61" w:name="第一条合同标的"/>
      <w:r>
        <w:rPr>
          <w:rFonts w:hint="eastAsia" w:ascii="仿宋_GB2312" w:eastAsia="仿宋_GB2312" w:hAnsiTheme="minorEastAsia" w:cstheme="minorEastAsia"/>
          <w:b/>
          <w:bCs/>
          <w:color w:val="auto"/>
          <w:sz w:val="24"/>
          <w:highlight w:val="none"/>
        </w:rPr>
        <w:t>第一条 服务对象</w:t>
      </w:r>
    </w:p>
    <w:bookmarkEnd w:id="61"/>
    <w:p>
      <w:pPr>
        <w:adjustRightInd w:val="0"/>
        <w:snapToGrid w:val="0"/>
        <w:spacing w:line="520" w:lineRule="exact"/>
        <w:ind w:firstLine="480" w:firstLineChars="200"/>
        <w:rPr>
          <w:rFonts w:ascii="仿宋_GB2312" w:hAnsi="宋体" w:eastAsia="仿宋_GB2312" w:cs="宋体"/>
          <w:color w:val="auto"/>
          <w:sz w:val="24"/>
          <w:highlight w:val="none"/>
        </w:rPr>
      </w:pPr>
      <w:bookmarkStart w:id="62" w:name="_Hlt503692502"/>
      <w:bookmarkEnd w:id="62"/>
      <w:bookmarkStart w:id="63" w:name="第二条合同金额"/>
      <w:r>
        <w:rPr>
          <w:rFonts w:hint="eastAsia" w:ascii="仿宋_GB2312" w:hAnsi="宋体" w:eastAsia="仿宋_GB2312" w:cs="宋体"/>
          <w:color w:val="auto"/>
          <w:sz w:val="24"/>
          <w:highlight w:val="none"/>
        </w:rPr>
        <w:t>1.1本合同内所述及的“电梯维保”是指在本合同中列出的、由甲方委托乙方维保的、已经政府主管部门检验合格并允许使用的各类乘客电梯、载货电梯、液压电梯、杂物电梯、自动扶梯和自动人行道等甲方电梯的总称。</w:t>
      </w:r>
      <w:bookmarkEnd w:id="63"/>
    </w:p>
    <w:p>
      <w:pPr>
        <w:adjustRightInd w:val="0"/>
        <w:snapToGrid w:val="0"/>
        <w:spacing w:line="520" w:lineRule="exact"/>
        <w:ind w:firstLine="482" w:firstLineChars="200"/>
        <w:rPr>
          <w:rFonts w:ascii="仿宋_GB2312" w:eastAsia="仿宋_GB2312" w:hAnsiTheme="minorEastAsia" w:cstheme="minorEastAsia"/>
          <w:b/>
          <w:bCs/>
          <w:color w:val="auto"/>
          <w:sz w:val="24"/>
          <w:highlight w:val="none"/>
        </w:rPr>
      </w:pPr>
      <w:r>
        <w:rPr>
          <w:rFonts w:hint="eastAsia" w:ascii="仿宋_GB2312" w:eastAsia="仿宋_GB2312" w:hAnsiTheme="minorEastAsia" w:cstheme="minorEastAsia"/>
          <w:b/>
          <w:bCs/>
          <w:color w:val="auto"/>
          <w:sz w:val="24"/>
          <w:highlight w:val="none"/>
        </w:rPr>
        <w:t>第二条 服务期限</w:t>
      </w:r>
    </w:p>
    <w:p>
      <w:pPr>
        <w:spacing w:line="520" w:lineRule="exact"/>
        <w:ind w:left="1" w:firstLine="477" w:firstLineChars="199"/>
        <w:rPr>
          <w:rFonts w:ascii="仿宋_GB2312" w:eastAsia="仿宋_GB2312" w:hAnsiTheme="minorEastAsia"/>
          <w:color w:val="auto"/>
          <w:kern w:val="0"/>
          <w:sz w:val="24"/>
          <w:highlight w:val="none"/>
        </w:rPr>
      </w:pPr>
      <w:r>
        <w:rPr>
          <w:rFonts w:hint="eastAsia" w:ascii="仿宋_GB2312" w:hAnsi="宋体" w:eastAsia="仿宋_GB2312" w:cs="宋体"/>
          <w:color w:val="auto"/>
          <w:sz w:val="24"/>
          <w:highlight w:val="none"/>
        </w:rPr>
        <w:t>2.1</w:t>
      </w:r>
      <w:r>
        <w:rPr>
          <w:rFonts w:hint="eastAsia" w:ascii="仿宋_GB2312" w:eastAsia="仿宋_GB2312" w:hAnsiTheme="minorEastAsia"/>
          <w:color w:val="auto"/>
          <w:kern w:val="0"/>
          <w:sz w:val="24"/>
          <w:highlight w:val="none"/>
        </w:rPr>
        <w:t>本合同约定维保期限详见附件一列表所示，期限届满后乙方需续约的，应于期限届满前壹个月向甲方提出申请，经双方协商一致后，可</w:t>
      </w:r>
      <w:r>
        <w:rPr>
          <w:rFonts w:hint="eastAsia" w:ascii="仿宋_GB2312" w:eastAsia="仿宋_GB2312" w:hAnsiTheme="minorEastAsia"/>
          <w:color w:val="auto"/>
          <w:kern w:val="0"/>
          <w:sz w:val="24"/>
          <w:highlight w:val="none"/>
          <w:lang w:eastAsia="zh-CN"/>
        </w:rPr>
        <w:t>按招标约定</w:t>
      </w:r>
      <w:r>
        <w:rPr>
          <w:rFonts w:hint="eastAsia" w:ascii="仿宋_GB2312" w:eastAsia="仿宋_GB2312" w:hAnsiTheme="minorEastAsia"/>
          <w:color w:val="auto"/>
          <w:kern w:val="0"/>
          <w:sz w:val="24"/>
          <w:highlight w:val="none"/>
        </w:rPr>
        <w:t>签订下一年度合同</w:t>
      </w:r>
      <w:r>
        <w:rPr>
          <w:rFonts w:hint="eastAsia" w:ascii="仿宋_GB2312" w:eastAsia="仿宋_GB2312" w:cs="宋体" w:hAnsiTheme="minorEastAsia"/>
          <w:color w:val="auto"/>
          <w:kern w:val="0"/>
          <w:sz w:val="24"/>
          <w:highlight w:val="none"/>
        </w:rPr>
        <w:t>。</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2.2服务起始日起【3</w:t>
      </w:r>
      <w:r>
        <w:rPr>
          <w:rFonts w:ascii="仿宋_GB2312" w:hAnsi="宋体" w:eastAsia="仿宋_GB2312" w:cs="宋体"/>
          <w:color w:val="auto"/>
          <w:sz w:val="24"/>
          <w:highlight w:val="none"/>
        </w:rPr>
        <w:t>0</w:t>
      </w:r>
      <w:r>
        <w:rPr>
          <w:rFonts w:hint="eastAsia" w:ascii="仿宋_GB2312" w:hAnsi="宋体" w:eastAsia="仿宋_GB2312" w:cs="宋体"/>
          <w:color w:val="auto"/>
          <w:sz w:val="24"/>
          <w:highlight w:val="none"/>
        </w:rPr>
        <w:t>】天为考察期。考察期内，如甲方认为乙方电梯维保服务不符合本合同规定，甲方可随时提出解除合同并办理相关书面手续。届时本合同自甲方解除通知到达乙方时终止，双方按甲方确认的，乙方实际提供服务的天数结算电梯维保费。除此之外，甲方无需向乙方承担其他任何费用或责任。</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2.3本合同届满前【一】个月，双方就合同是否续签进行协商。若本合同服务期满后，双方暂未及时续签并且甲方需要乙方继续提供维保服务的，甲方需书面函告乙方，暂按本合同条款执行维保服务【三】个月，并以此作为本合同的延续执行期，直至新的《维保服务合同》生效。若延续执行期届满时双方仍未续签，则本合同终止，且甲方应在【3</w:t>
      </w:r>
      <w:r>
        <w:rPr>
          <w:rFonts w:ascii="仿宋_GB2312" w:hAnsi="宋体" w:eastAsia="仿宋_GB2312" w:cs="宋体"/>
          <w:color w:val="auto"/>
          <w:sz w:val="24"/>
          <w:highlight w:val="none"/>
        </w:rPr>
        <w:t>0</w:t>
      </w:r>
      <w:r>
        <w:rPr>
          <w:rFonts w:hint="eastAsia" w:ascii="仿宋_GB2312" w:hAnsi="宋体" w:eastAsia="仿宋_GB2312" w:cs="宋体"/>
          <w:color w:val="auto"/>
          <w:sz w:val="24"/>
          <w:highlight w:val="none"/>
        </w:rPr>
        <w:t>】日内按服务期内维保服务费价格付清维保服务费。</w:t>
      </w:r>
    </w:p>
    <w:p>
      <w:pPr>
        <w:adjustRightInd w:val="0"/>
        <w:snapToGrid w:val="0"/>
        <w:spacing w:line="520" w:lineRule="exact"/>
        <w:ind w:firstLine="482" w:firstLineChars="200"/>
        <w:rPr>
          <w:rFonts w:ascii="仿宋_GB2312" w:eastAsia="仿宋_GB2312" w:hAnsiTheme="minorEastAsia" w:cstheme="minorEastAsia"/>
          <w:b/>
          <w:bCs/>
          <w:color w:val="auto"/>
          <w:sz w:val="24"/>
          <w:highlight w:val="none"/>
        </w:rPr>
      </w:pPr>
      <w:bookmarkStart w:id="64" w:name="_Hlt503599660"/>
      <w:bookmarkEnd w:id="64"/>
      <w:bookmarkStart w:id="65" w:name="_Hlt503692535"/>
      <w:bookmarkEnd w:id="65"/>
      <w:bookmarkStart w:id="66" w:name="_Hlt503602554"/>
      <w:bookmarkEnd w:id="66"/>
      <w:bookmarkStart w:id="67" w:name="第五条货款支付方式"/>
      <w:r>
        <w:rPr>
          <w:rFonts w:hint="eastAsia" w:ascii="仿宋_GB2312" w:eastAsia="仿宋_GB2312" w:hAnsiTheme="minorEastAsia" w:cstheme="minorEastAsia"/>
          <w:b/>
          <w:bCs/>
          <w:color w:val="auto"/>
          <w:sz w:val="24"/>
          <w:highlight w:val="none"/>
        </w:rPr>
        <w:t>第三条 服务时间</w:t>
      </w:r>
    </w:p>
    <w:p>
      <w:pPr>
        <w:adjustRightInd w:val="0"/>
        <w:snapToGrid w:val="0"/>
        <w:spacing w:line="520" w:lineRule="exact"/>
        <w:ind w:firstLine="480" w:firstLineChars="200"/>
        <w:rPr>
          <w:rFonts w:ascii="仿宋_GB2312" w:hAnsi="宋体" w:eastAsia="仿宋_GB2312" w:cs="宋体"/>
          <w:strike/>
          <w:color w:val="auto"/>
          <w:sz w:val="24"/>
          <w:highlight w:val="none"/>
        </w:rPr>
      </w:pPr>
      <w:r>
        <w:rPr>
          <w:rFonts w:hint="eastAsia" w:ascii="仿宋_GB2312" w:hAnsi="宋体" w:eastAsia="仿宋_GB2312" w:cs="宋体"/>
          <w:color w:val="auto"/>
          <w:sz w:val="24"/>
          <w:highlight w:val="none"/>
        </w:rPr>
        <w:t>3.1本合同乙方提供的维保服务，应以不影响甲方办公或经营管理需要为原则，具体应在甲方正常营业时间内并尽量避开业主上下班高峰时间进行（由双方结合实际情况最终确定）。</w:t>
      </w:r>
    </w:p>
    <w:p>
      <w:pPr>
        <w:adjustRightInd w:val="0"/>
        <w:snapToGrid w:val="0"/>
        <w:spacing w:line="520" w:lineRule="exact"/>
        <w:ind w:firstLine="480" w:firstLineChars="200"/>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3.2本合同所维保的电梯，若发生故障（包括夜间发生故障）需要应急处理时不受上述时间限制，</w:t>
      </w:r>
      <w:r>
        <w:rPr>
          <w:rFonts w:hint="eastAsia" w:ascii="仿宋_GB2312" w:hAnsi="宋体" w:eastAsia="仿宋_GB2312" w:cs="宋体"/>
          <w:color w:val="auto"/>
          <w:sz w:val="24"/>
          <w:highlight w:val="none"/>
          <w:lang w:eastAsia="zh-CN"/>
        </w:rPr>
        <w:t>按照国家质检总局</w:t>
      </w:r>
      <w:r>
        <w:rPr>
          <w:rFonts w:hint="eastAsia" w:ascii="仿宋_GB2312" w:hAnsi="宋体" w:eastAsia="仿宋_GB2312" w:cs="宋体"/>
          <w:color w:val="auto"/>
          <w:sz w:val="24"/>
          <w:highlight w:val="none"/>
          <w:lang w:val="en-US" w:eastAsia="zh-CN"/>
        </w:rPr>
        <w:t>TSGT5002-2017《电梯维护保养规则》中第五条，乙方设立24小时服务热线：</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lang w:val="en-US" w:eastAsia="zh-CN"/>
        </w:rPr>
        <w:t>。对于甲方向乙方服务热线报告的困人故障，乙方将在30分钟内赶制现场处理关人问题；报告的其他故障，</w:t>
      </w:r>
      <w:r>
        <w:rPr>
          <w:rFonts w:hint="eastAsia" w:ascii="仿宋_GB2312" w:hAnsi="宋体" w:eastAsia="仿宋_GB2312" w:cs="宋体"/>
          <w:color w:val="auto"/>
          <w:sz w:val="24"/>
          <w:highlight w:val="none"/>
        </w:rPr>
        <w:t>乙方保证在发生障碍后【6</w:t>
      </w:r>
      <w:r>
        <w:rPr>
          <w:rFonts w:ascii="仿宋_GB2312" w:hAnsi="宋体" w:eastAsia="仿宋_GB2312" w:cs="宋体"/>
          <w:color w:val="auto"/>
          <w:sz w:val="24"/>
          <w:highlight w:val="none"/>
        </w:rPr>
        <w:t>0</w:t>
      </w:r>
      <w:r>
        <w:rPr>
          <w:rFonts w:hint="eastAsia" w:ascii="仿宋_GB2312" w:hAnsi="宋体" w:eastAsia="仿宋_GB2312" w:cs="宋体"/>
          <w:color w:val="auto"/>
          <w:sz w:val="24"/>
          <w:highlight w:val="none"/>
        </w:rPr>
        <w:t>分钟】内到现场维修。</w:t>
      </w:r>
      <w:r>
        <w:rPr>
          <w:rFonts w:hint="eastAsia" w:ascii="仿宋_GB2312" w:hAnsi="宋体" w:eastAsia="仿宋_GB2312" w:cs="宋体"/>
          <w:color w:val="auto"/>
          <w:sz w:val="24"/>
          <w:highlight w:val="none"/>
          <w:lang w:eastAsia="zh-CN"/>
        </w:rPr>
        <w:t>若被要求在非正常工作时间到达现场，则到场人员将只做排除危害乘客安全的调试和临时维修工作，所以其它的维修保养工作将由维保人员在正常工作时间内实施。</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3.3服务期限内，乙方应每【1</w:t>
      </w:r>
      <w:r>
        <w:rPr>
          <w:rFonts w:ascii="仿宋_GB2312" w:hAnsi="宋体" w:eastAsia="仿宋_GB2312" w:cs="宋体"/>
          <w:color w:val="auto"/>
          <w:sz w:val="24"/>
          <w:highlight w:val="none"/>
        </w:rPr>
        <w:t>5</w:t>
      </w:r>
      <w:r>
        <w:rPr>
          <w:rFonts w:hint="eastAsia" w:ascii="仿宋_GB2312" w:hAnsi="宋体" w:eastAsia="仿宋_GB2312" w:cs="宋体"/>
          <w:color w:val="auto"/>
          <w:sz w:val="24"/>
          <w:highlight w:val="none"/>
        </w:rPr>
        <w:t xml:space="preserve">】天1次根据国家有关的技术规范和乙方的工艺要求对电梯零部件进行维保。 </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3.4无论本合同因何种原因终止的，本合同终止之日起【3</w:t>
      </w:r>
      <w:r>
        <w:rPr>
          <w:rFonts w:ascii="仿宋_GB2312" w:hAnsi="宋体" w:eastAsia="仿宋_GB2312" w:cs="宋体"/>
          <w:color w:val="auto"/>
          <w:sz w:val="24"/>
          <w:highlight w:val="none"/>
        </w:rPr>
        <w:t>0</w:t>
      </w:r>
      <w:r>
        <w:rPr>
          <w:rFonts w:hint="eastAsia" w:ascii="仿宋_GB2312" w:hAnsi="宋体" w:eastAsia="仿宋_GB2312" w:cs="宋体"/>
          <w:color w:val="auto"/>
          <w:sz w:val="24"/>
          <w:highlight w:val="none"/>
        </w:rPr>
        <w:t>】日内乙方应向甲方移交电梯的全部资料，维修工作记录的书面材料和电子文档。甲方提出公证要求的，乙方应配合甲方对前述材料进行公证。乙方的撤离人员不得对电梯的硬件作任何损毁、拆除、改造，亦不得拷贝、修改、删除本合同项下电梯操作系统的操作程序和命令。</w:t>
      </w:r>
    </w:p>
    <w:p>
      <w:pPr>
        <w:adjustRightInd w:val="0"/>
        <w:snapToGrid w:val="0"/>
        <w:spacing w:line="520" w:lineRule="exact"/>
        <w:ind w:firstLine="482" w:firstLineChars="200"/>
        <w:rPr>
          <w:rFonts w:ascii="仿宋_GB2312" w:eastAsia="仿宋_GB2312" w:hAnsiTheme="minorEastAsia" w:cstheme="minorEastAsia"/>
          <w:b/>
          <w:bCs/>
          <w:color w:val="auto"/>
          <w:sz w:val="24"/>
          <w:highlight w:val="none"/>
        </w:rPr>
      </w:pPr>
      <w:bookmarkStart w:id="68" w:name="_Hlt503689586"/>
      <w:bookmarkEnd w:id="68"/>
      <w:r>
        <w:rPr>
          <w:rFonts w:hint="eastAsia" w:ascii="仿宋_GB2312" w:eastAsia="仿宋_GB2312" w:hAnsiTheme="minorEastAsia" w:cstheme="minorEastAsia"/>
          <w:b/>
          <w:bCs/>
          <w:color w:val="auto"/>
          <w:sz w:val="24"/>
          <w:highlight w:val="none"/>
        </w:rPr>
        <w:t>第四条 乙方的服务内容</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4.1乙方应以附件【一】中双方约定的维保方式提供服务，因甲方人为原因损坏或不可抗力原因损坏的零配件由甲方购买后乙方负责免费更换。</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4.2若在维保过程中发生安全事故，应由政府主管部门介入并作出事故鉴定结论，或在政府主管部门不介入之时由双方共同委托有能力的第三方权威监测机构作鉴定。双方的安全责任及法律责任根据鉴定结论进行划分。</w:t>
      </w:r>
    </w:p>
    <w:p>
      <w:pPr>
        <w:adjustRightInd w:val="0"/>
        <w:snapToGrid w:val="0"/>
        <w:spacing w:line="520" w:lineRule="exact"/>
        <w:ind w:firstLine="482" w:firstLineChars="200"/>
        <w:rPr>
          <w:rFonts w:ascii="仿宋_GB2312" w:hAnsi="宋体" w:eastAsia="仿宋_GB2312" w:cs="宋体"/>
          <w:b/>
          <w:bCs/>
          <w:color w:val="auto"/>
          <w:sz w:val="24"/>
          <w:highlight w:val="none"/>
        </w:rPr>
      </w:pPr>
      <w:r>
        <w:rPr>
          <w:rFonts w:hint="eastAsia" w:ascii="仿宋_GB2312" w:hAnsi="宋体" w:eastAsia="仿宋_GB2312" w:cs="宋体"/>
          <w:b/>
          <w:bCs/>
          <w:color w:val="auto"/>
          <w:sz w:val="24"/>
          <w:highlight w:val="none"/>
        </w:rPr>
        <w:t>第五条 乙方的责任</w:t>
      </w:r>
    </w:p>
    <w:p>
      <w:pPr>
        <w:adjustRightInd w:val="0"/>
        <w:snapToGrid w:val="0"/>
        <w:spacing w:line="520" w:lineRule="exact"/>
        <w:ind w:firstLine="480" w:firstLineChars="200"/>
        <w:rPr>
          <w:rFonts w:ascii="仿宋_GB2312" w:hAnsi="宋体" w:eastAsia="仿宋_GB2312" w:cs="宋体"/>
          <w:b/>
          <w:bCs/>
          <w:color w:val="auto"/>
          <w:sz w:val="24"/>
          <w:highlight w:val="none"/>
        </w:rPr>
      </w:pPr>
      <w:r>
        <w:rPr>
          <w:rFonts w:hint="eastAsia" w:ascii="仿宋_GB2312" w:hAnsi="宋体" w:eastAsia="仿宋_GB2312" w:cs="宋体"/>
          <w:color w:val="auto"/>
          <w:sz w:val="24"/>
          <w:highlight w:val="none"/>
        </w:rPr>
        <w:t>5.1乙方在提供服务时，当甲方保证提供协助服务条件的前提下，应严格遵守甲方有关的规章制度。</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5.2乙方应严格按照约定的内容提供服务，并按照双方确认的《</w:t>
      </w:r>
      <w:r>
        <w:rPr>
          <w:rFonts w:hint="eastAsia" w:ascii="仿宋_GB2312" w:eastAsia="仿宋_GB2312" w:hAnsiTheme="minorEastAsia"/>
          <w:color w:val="auto"/>
          <w:sz w:val="24"/>
          <w:highlight w:val="none"/>
        </w:rPr>
        <w:t>电梯维护保养规则</w:t>
      </w:r>
      <w:r>
        <w:rPr>
          <w:rFonts w:hint="eastAsia" w:ascii="仿宋_GB2312" w:eastAsia="仿宋_GB2312" w:hAnsiTheme="minorEastAsia"/>
          <w:color w:val="auto"/>
          <w:kern w:val="0"/>
          <w:sz w:val="24"/>
          <w:highlight w:val="none"/>
        </w:rPr>
        <w:t>》</w:t>
      </w:r>
      <w:r>
        <w:rPr>
          <w:rFonts w:hint="eastAsia" w:ascii="仿宋_GB2312" w:hAnsi="宋体" w:eastAsia="仿宋_GB2312" w:cs="宋体"/>
          <w:color w:val="auto"/>
          <w:sz w:val="24"/>
          <w:highlight w:val="none"/>
        </w:rPr>
        <w:t xml:space="preserve">所列的项目进行清洁、润滑、调整和检查等维保工作。甲方的确认并不减免乙方的任何责任，甲方也不因此承担任何责任。       </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5.3乙方应按照本合同及附件约定的维保方式，提供确保整机正常和安全的运行所需的备品配件。</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5.4乙方应根据电梯的维保情况，在【</w:t>
      </w:r>
      <w:r>
        <w:rPr>
          <w:rFonts w:hint="eastAsia" w:ascii="仿宋_GB2312" w:hAnsi="宋体" w:eastAsia="仿宋_GB2312" w:cs="宋体"/>
          <w:color w:val="auto"/>
          <w:sz w:val="24"/>
          <w:highlight w:val="none"/>
          <w:lang w:val="en-US" w:eastAsia="zh-CN"/>
        </w:rPr>
        <w:t>2022</w:t>
      </w:r>
      <w:r>
        <w:rPr>
          <w:rFonts w:hint="eastAsia" w:ascii="仿宋_GB2312" w:hAnsi="宋体" w:eastAsia="仿宋_GB2312" w:cs="宋体"/>
          <w:color w:val="auto"/>
          <w:sz w:val="24"/>
          <w:highlight w:val="none"/>
        </w:rPr>
        <w:t>】年【</w:t>
      </w:r>
      <w:r>
        <w:rPr>
          <w:rFonts w:hint="eastAsia" w:ascii="仿宋_GB2312" w:hAnsi="宋体" w:eastAsia="仿宋_GB2312" w:cs="宋体"/>
          <w:color w:val="auto"/>
          <w:sz w:val="24"/>
          <w:highlight w:val="none"/>
          <w:lang w:val="en-US" w:eastAsia="zh-CN"/>
        </w:rPr>
        <w:t>01</w:t>
      </w:r>
      <w:r>
        <w:rPr>
          <w:rFonts w:hint="eastAsia" w:ascii="仿宋_GB2312" w:hAnsi="宋体" w:eastAsia="仿宋_GB2312" w:cs="宋体"/>
          <w:color w:val="auto"/>
          <w:sz w:val="24"/>
          <w:highlight w:val="none"/>
        </w:rPr>
        <w:t>】月【</w:t>
      </w:r>
      <w:r>
        <w:rPr>
          <w:rFonts w:hint="eastAsia" w:ascii="仿宋_GB2312" w:hAnsi="宋体" w:eastAsia="仿宋_GB2312" w:cs="宋体"/>
          <w:color w:val="auto"/>
          <w:sz w:val="24"/>
          <w:highlight w:val="none"/>
          <w:lang w:val="en-US" w:eastAsia="zh-CN"/>
        </w:rPr>
        <w:t>01</w:t>
      </w:r>
      <w:r>
        <w:rPr>
          <w:rFonts w:hint="eastAsia" w:ascii="仿宋_GB2312" w:hAnsi="宋体" w:eastAsia="仿宋_GB2312" w:cs="宋体"/>
          <w:color w:val="auto"/>
          <w:sz w:val="24"/>
          <w:highlight w:val="none"/>
        </w:rPr>
        <w:t>】日至【</w:t>
      </w:r>
      <w:r>
        <w:rPr>
          <w:rFonts w:hint="eastAsia" w:ascii="仿宋_GB2312" w:hAnsi="宋体" w:eastAsia="仿宋_GB2312" w:cs="宋体"/>
          <w:color w:val="auto"/>
          <w:sz w:val="24"/>
          <w:highlight w:val="none"/>
          <w:lang w:val="en-US" w:eastAsia="zh-CN"/>
        </w:rPr>
        <w:t>2022</w:t>
      </w:r>
      <w:r>
        <w:rPr>
          <w:rFonts w:hint="eastAsia" w:ascii="仿宋_GB2312" w:hAnsi="宋体" w:eastAsia="仿宋_GB2312" w:cs="宋体"/>
          <w:color w:val="auto"/>
          <w:sz w:val="24"/>
          <w:highlight w:val="none"/>
        </w:rPr>
        <w:t>】年【</w:t>
      </w:r>
      <w:r>
        <w:rPr>
          <w:rFonts w:hint="eastAsia" w:ascii="仿宋_GB2312" w:hAnsi="宋体" w:eastAsia="仿宋_GB2312" w:cs="宋体"/>
          <w:color w:val="auto"/>
          <w:sz w:val="24"/>
          <w:highlight w:val="none"/>
          <w:lang w:val="en-US" w:eastAsia="zh-CN"/>
        </w:rPr>
        <w:t>12</w:t>
      </w:r>
      <w:r>
        <w:rPr>
          <w:rFonts w:hint="eastAsia" w:ascii="仿宋_GB2312" w:hAnsi="宋体" w:eastAsia="仿宋_GB2312" w:cs="宋体"/>
          <w:color w:val="auto"/>
          <w:sz w:val="24"/>
          <w:highlight w:val="none"/>
        </w:rPr>
        <w:t>】月【</w:t>
      </w:r>
      <w:r>
        <w:rPr>
          <w:rFonts w:hint="eastAsia" w:ascii="仿宋_GB2312" w:hAnsi="宋体" w:eastAsia="仿宋_GB2312" w:cs="宋体"/>
          <w:color w:val="auto"/>
          <w:sz w:val="24"/>
          <w:highlight w:val="none"/>
          <w:lang w:val="en-US" w:eastAsia="zh-CN"/>
        </w:rPr>
        <w:t>31</w:t>
      </w:r>
      <w:r>
        <w:rPr>
          <w:rFonts w:hint="eastAsia" w:ascii="仿宋_GB2312" w:hAnsi="宋体" w:eastAsia="仿宋_GB2312" w:cs="宋体"/>
          <w:color w:val="auto"/>
          <w:sz w:val="24"/>
          <w:highlight w:val="none"/>
        </w:rPr>
        <w:t>】日之间提出修理建议及报价（报价中含需要更换的零部件清单及中标零部件单价），经甲方及甲方所属公司审核批准后执行。</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5.5乙方应配合政府主管部门对本合同约定的服务期内的电梯零部件实施年检并确保通过年检，</w:t>
      </w:r>
      <w:r>
        <w:rPr>
          <w:rFonts w:hint="eastAsia" w:ascii="仿宋_GB2312" w:hAnsi="宋体" w:eastAsia="仿宋_GB2312" w:cs="宋体"/>
          <w:color w:val="auto"/>
          <w:sz w:val="24"/>
          <w:highlight w:val="none"/>
          <w:lang w:eastAsia="zh-CN"/>
        </w:rPr>
        <w:t>年检费用由甲方承担；因维保质量原因未能通过定期检测或不合格而产生的复检</w:t>
      </w:r>
      <w:r>
        <w:rPr>
          <w:rFonts w:hint="eastAsia" w:ascii="仿宋_GB2312" w:hAnsi="宋体" w:eastAsia="仿宋_GB2312" w:cs="宋体"/>
          <w:color w:val="auto"/>
          <w:sz w:val="24"/>
          <w:highlight w:val="none"/>
        </w:rPr>
        <w:t>费用由</w:t>
      </w:r>
      <w:r>
        <w:rPr>
          <w:rFonts w:hint="eastAsia" w:ascii="仿宋_GB2312" w:hAnsi="宋体" w:eastAsia="仿宋_GB2312" w:cs="宋体"/>
          <w:color w:val="auto"/>
          <w:sz w:val="24"/>
          <w:highlight w:val="none"/>
          <w:lang w:eastAsia="zh-CN"/>
        </w:rPr>
        <w:t>乙</w:t>
      </w:r>
      <w:r>
        <w:rPr>
          <w:rFonts w:hint="eastAsia" w:ascii="仿宋_GB2312" w:hAnsi="宋体" w:eastAsia="仿宋_GB2312" w:cs="宋体"/>
          <w:color w:val="auto"/>
          <w:sz w:val="24"/>
          <w:highlight w:val="none"/>
        </w:rPr>
        <w:t>方承担。对政府主管部门提出的涉及乙方维保环节、部位的整改内容、项目及时提供免费整改。</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5.6在乙方按本合同约定的服务期内，对本合同项下电梯设备存在的非维保责任故障，乙方应及时书面通知甲方整改；当存在的故障可能严重影响电梯零部件安全运行时，乙方应及时通知甲方暂时停止使用该电梯零部件。</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5.7乙方保证，委派至甲方项目提供维修维保服务的人员应为相适应的并取得国家相应作业资格的专业技术人员和技术工人。若甲方要求乙方更换现场工作人员的，乙方应予以调换，直至甲方满意为止。</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5.8电梯零部件发生故障后，乙方维修人员应在【</w:t>
      </w:r>
      <w:r>
        <w:rPr>
          <w:rFonts w:ascii="仿宋_GB2312" w:hAnsi="宋体" w:eastAsia="仿宋_GB2312" w:cs="宋体"/>
          <w:color w:val="auto"/>
          <w:sz w:val="24"/>
          <w:highlight w:val="none"/>
        </w:rPr>
        <w:t>6</w:t>
      </w:r>
      <w:r>
        <w:rPr>
          <w:rFonts w:hint="eastAsia" w:ascii="仿宋_GB2312" w:hAnsi="宋体" w:eastAsia="仿宋_GB2312" w:cs="宋体"/>
          <w:color w:val="auto"/>
          <w:sz w:val="24"/>
          <w:highlight w:val="none"/>
        </w:rPr>
        <w:t>0】分钟内到达现场并于【</w:t>
      </w:r>
      <w:r>
        <w:rPr>
          <w:rFonts w:ascii="仿宋_GB2312" w:hAnsi="宋体" w:eastAsia="仿宋_GB2312" w:cs="宋体"/>
          <w:color w:val="auto"/>
          <w:sz w:val="24"/>
          <w:highlight w:val="none"/>
        </w:rPr>
        <w:t>2</w:t>
      </w:r>
      <w:r>
        <w:rPr>
          <w:rFonts w:hint="eastAsia" w:ascii="仿宋_GB2312" w:hAnsi="宋体" w:eastAsia="仿宋_GB2312" w:cs="宋体"/>
          <w:color w:val="auto"/>
          <w:sz w:val="24"/>
          <w:highlight w:val="none"/>
        </w:rPr>
        <w:t>日】内修复完毕并恢复正常(涉及非常用易损耗件的更换除外)。</w:t>
      </w:r>
      <w:bookmarkStart w:id="69" w:name="OLE_LINK22"/>
      <w:bookmarkStart w:id="70" w:name="OLE_LINK23"/>
      <w:r>
        <w:rPr>
          <w:rFonts w:hint="eastAsia" w:ascii="仿宋_GB2312" w:hAnsi="宋体" w:eastAsia="仿宋_GB2312" w:cs="宋体"/>
          <w:color w:val="auto"/>
          <w:sz w:val="24"/>
          <w:highlight w:val="none"/>
        </w:rPr>
        <w:t>乙方应在服务工作现场设置安全警示标识等相关安全保障措施，并严格执行国家安全技术规范的要求，保证其维保电梯的安全技术性能，自行承担因作业而产生的安全保障责任，因乙方履行维保义务而造成甲方或任何第三方人身、财产损失的，由乙方自行承担因此发生的一切责任和费用，给甲方造成损失的，应据实赔偿。</w:t>
      </w:r>
      <w:bookmarkEnd w:id="69"/>
      <w:bookmarkEnd w:id="70"/>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5.9在维护保养过程中，乙方不能擅自改动电梯设备原有的配置方案，如需要改动时，应及时通知甲方，并经甲方书面认可后方可改动，并向甲方提供相关技术资料。</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5.10乙方在维护保养中应严格执行国家安全技术规范的要求，保证其维护保养的电梯的安全技术性能，并负责落实现场安全防护措施，保证施工安全。因此引发的一切责任和费用均由乙方承担。</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5.11乙方应自行办理从事本合同项下服务所需要的全部政府审批手续（包括获得相应的资质及配备相应的特种作业人员等），并承担责任和费用，且不得影响本合同的履行。</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5.12乙方应当确保在本合同约定的服务期限内《特种设备安装改造维修许可证》持续有效，为甲方提供电梯维保人员具备合法上岗资格。因用人不当而产生的一切责任由乙方承担。</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5.13合同履行期间，因乙方及其员工行为造成甲方、乙方或任何第三方的人身、财产损失，由乙方承担全部赔偿责任。</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5.14乙方应依法为其员工购买工伤保险，但无论乙方是否购买保险，均不得要求甲方为乙方员工可能的人身、财产损害承担任何责任。</w:t>
      </w:r>
    </w:p>
    <w:p>
      <w:pPr>
        <w:spacing w:line="520" w:lineRule="exact"/>
        <w:ind w:firstLine="480" w:firstLineChars="200"/>
        <w:rPr>
          <w:rFonts w:ascii="仿宋_GB2312" w:eastAsia="仿宋_GB2312" w:cs="宋体" w:hAnsiTheme="minorEastAsia"/>
          <w:color w:val="auto"/>
          <w:kern w:val="0"/>
          <w:sz w:val="24"/>
          <w:highlight w:val="none"/>
        </w:rPr>
      </w:pPr>
      <w:r>
        <w:rPr>
          <w:rFonts w:hint="eastAsia" w:ascii="仿宋_GB2312" w:eastAsia="仿宋_GB2312" w:cs="宋体" w:hAnsiTheme="minorEastAsia"/>
          <w:color w:val="auto"/>
          <w:kern w:val="0"/>
          <w:sz w:val="24"/>
          <w:highlight w:val="none"/>
        </w:rPr>
        <w:t>5</w:t>
      </w:r>
      <w:r>
        <w:rPr>
          <w:rFonts w:ascii="仿宋_GB2312" w:eastAsia="仿宋_GB2312" w:cs="宋体" w:hAnsiTheme="minorEastAsia"/>
          <w:color w:val="auto"/>
          <w:kern w:val="0"/>
          <w:sz w:val="24"/>
          <w:highlight w:val="none"/>
        </w:rPr>
        <w:t>.15</w:t>
      </w:r>
      <w:r>
        <w:rPr>
          <w:rFonts w:hint="eastAsia" w:ascii="仿宋_GB2312" w:eastAsia="仿宋_GB2312" w:cs="宋体" w:hAnsiTheme="minorEastAsia"/>
          <w:color w:val="auto"/>
          <w:kern w:val="0"/>
          <w:sz w:val="24"/>
          <w:highlight w:val="none"/>
        </w:rPr>
        <w:t>若政府监管部门规定或要求乙方进行下列检验的（包括但不限于定期检验、限速器试验、125%制动试验等），乙方将向甲方另行收取相应的费用。</w:t>
      </w:r>
      <w:r>
        <w:rPr>
          <w:rFonts w:hint="eastAsia" w:ascii="仿宋_GB2312" w:eastAsia="仿宋_GB2312" w:cs="宋体" w:hAnsiTheme="minorEastAsia"/>
          <w:color w:val="auto"/>
          <w:kern w:val="0"/>
          <w:sz w:val="24"/>
          <w:highlight w:val="none"/>
          <w:lang w:eastAsia="zh-CN"/>
        </w:rPr>
        <w:t>乙方相关费用收费标准请详细说明</w:t>
      </w:r>
      <w:r>
        <w:rPr>
          <w:rFonts w:hint="eastAsia" w:ascii="仿宋_GB2312" w:eastAsia="仿宋_GB2312" w:cs="宋体" w:hAnsiTheme="minorEastAsia"/>
          <w:color w:val="auto"/>
          <w:kern w:val="0"/>
          <w:sz w:val="24"/>
          <w:highlight w:val="none"/>
        </w:rPr>
        <w:t>。</w:t>
      </w:r>
    </w:p>
    <w:p>
      <w:pPr>
        <w:spacing w:line="5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5.16在甲方大型展会期间安排专业人员现场保障，甲方须以电话或短信、微信等有效方式提前3天通知乙方服务运营主管</w:t>
      </w:r>
      <w:r>
        <w:rPr>
          <w:rFonts w:hint="eastAsia" w:ascii="仿宋_GB2312" w:eastAsia="仿宋_GB2312"/>
          <w:color w:val="auto"/>
          <w:sz w:val="24"/>
          <w:highlight w:val="none"/>
          <w:u w:val="single"/>
          <w:lang w:val="en-US" w:eastAsia="zh-CN"/>
        </w:rPr>
        <w:t xml:space="preserve">              （姓名电话）</w:t>
      </w:r>
      <w:r>
        <w:rPr>
          <w:rFonts w:hint="eastAsia" w:ascii="仿宋_GB2312" w:eastAsia="仿宋_GB2312"/>
          <w:color w:val="auto"/>
          <w:sz w:val="24"/>
          <w:highlight w:val="none"/>
        </w:rPr>
        <w:t>。</w:t>
      </w:r>
    </w:p>
    <w:p>
      <w:pPr>
        <w:spacing w:line="52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5.17负责新开启电梯的申报备案工作，甲方应积极予以配合。</w:t>
      </w:r>
    </w:p>
    <w:p>
      <w:pPr>
        <w:pStyle w:val="2"/>
        <w:rPr>
          <w:rFonts w:hint="eastAsia"/>
          <w:color w:val="auto"/>
          <w:highlight w:val="none"/>
        </w:rPr>
      </w:pPr>
    </w:p>
    <w:p>
      <w:pPr>
        <w:adjustRightInd w:val="0"/>
        <w:snapToGrid w:val="0"/>
        <w:spacing w:line="520" w:lineRule="exact"/>
        <w:ind w:firstLine="482" w:firstLineChars="200"/>
        <w:rPr>
          <w:rFonts w:ascii="仿宋_GB2312" w:hAnsi="宋体" w:eastAsia="仿宋_GB2312" w:cs="宋体"/>
          <w:b/>
          <w:bCs/>
          <w:color w:val="auto"/>
          <w:sz w:val="24"/>
          <w:highlight w:val="none"/>
        </w:rPr>
      </w:pPr>
      <w:r>
        <w:rPr>
          <w:rFonts w:hint="eastAsia" w:ascii="仿宋_GB2312" w:hAnsi="宋体" w:eastAsia="仿宋_GB2312" w:cs="宋体"/>
          <w:b/>
          <w:bCs/>
          <w:color w:val="auto"/>
          <w:sz w:val="24"/>
          <w:highlight w:val="none"/>
        </w:rPr>
        <w:t>第六条 甲方的责任</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6.1甲方应按照《特种设备安全法》的规定，履行电梯使用单位的义务。在签订本合同时，甲方已经获得并知晓该《特种设备安全法》。</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6.2负责按照政府主管部门对电梯零部件日常管理的法规、规定和要求进行全面管理，对乙方的服务项目、服务内容和服务质量以加盖公章的书面文件形式进行确认。</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6.3在乙方提供维保服务期间，负责给予乙方合理和充分的停梯时间并协助乙方设置现场安全警示标志。</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6.4在本合同约定的服务期内，甲方若需对本合同电梯零部件实施改造、修理、装饰、更换的，必须严格按国家有关法规、规章、规定实施，并与乙方进行沟通，以免影响电梯的使用性能和安全性能。</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6.5属甲方管理、使用不当、或甲方人为原因损坏、不可抗力或非维保范围内的原因，而导致电梯零部件需要修理、更换的，由甲方承担零部件更换、修理的费用。乙方按照甲方的要求免费进行更换、修理。</w:t>
      </w:r>
    </w:p>
    <w:p>
      <w:pPr>
        <w:adjustRightInd w:val="0"/>
        <w:snapToGrid w:val="0"/>
        <w:spacing w:line="520" w:lineRule="exact"/>
        <w:ind w:firstLine="482" w:firstLineChars="200"/>
        <w:rPr>
          <w:rFonts w:ascii="仿宋_GB2312" w:hAnsi="宋体" w:eastAsia="仿宋_GB2312" w:cs="宋体"/>
          <w:b/>
          <w:bCs/>
          <w:color w:val="auto"/>
          <w:sz w:val="24"/>
          <w:highlight w:val="none"/>
        </w:rPr>
      </w:pPr>
      <w:r>
        <w:rPr>
          <w:rFonts w:hint="eastAsia" w:ascii="仿宋_GB2312" w:hAnsi="宋体" w:eastAsia="仿宋_GB2312" w:cs="宋体"/>
          <w:b/>
          <w:bCs/>
          <w:color w:val="auto"/>
          <w:sz w:val="24"/>
          <w:highlight w:val="none"/>
        </w:rPr>
        <w:t xml:space="preserve">第七条 </w:t>
      </w:r>
      <w:bookmarkEnd w:id="67"/>
      <w:r>
        <w:rPr>
          <w:rFonts w:hint="eastAsia" w:ascii="仿宋_GB2312" w:hAnsi="宋体" w:eastAsia="仿宋_GB2312" w:cs="宋体"/>
          <w:b/>
          <w:bCs/>
          <w:color w:val="auto"/>
          <w:sz w:val="24"/>
          <w:highlight w:val="none"/>
        </w:rPr>
        <w:t>合同价款</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本合同服务期限内维保服务费总价为【</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】元整（小写：【</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】元）。</w:t>
      </w:r>
      <w:bookmarkStart w:id="71" w:name="OLE_LINK24"/>
      <w:bookmarkStart w:id="72" w:name="OLE_LINK25"/>
      <w:r>
        <w:rPr>
          <w:rFonts w:hint="eastAsia" w:ascii="仿宋_GB2312" w:hAnsi="宋体" w:eastAsia="仿宋_GB2312" w:cs="宋体"/>
          <w:color w:val="auto"/>
          <w:sz w:val="24"/>
          <w:highlight w:val="none"/>
        </w:rPr>
        <w:t>维保服务费总价固定包干</w:t>
      </w:r>
      <w:bookmarkEnd w:id="71"/>
      <w:bookmarkEnd w:id="72"/>
      <w:r>
        <w:rPr>
          <w:rFonts w:hint="eastAsia" w:ascii="仿宋_GB2312" w:hAnsi="宋体" w:eastAsia="仿宋_GB2312" w:cs="宋体"/>
          <w:color w:val="auto"/>
          <w:sz w:val="24"/>
          <w:highlight w:val="none"/>
        </w:rPr>
        <w:t>，包括但不限于维保服务或修理涉及的人工费、材料费、机械费、管理费、及利润、营业税及附加、措施费、易损件更换、零部件修理调试、保险、税金、利润等乙方完成合作协议或本合同项下工作所需的甲方应付的一切费用，除合作协议或本合同另有明确约定外，维保服务费总额不得以任何理由（包括物价上涨、最低工资标准或社保交费基数上调、人员配置增加、零部件配置调整等）调增。任何计算错误皆由乙方承担，乙方对此无异议。</w:t>
      </w:r>
    </w:p>
    <w:p>
      <w:pPr>
        <w:adjustRightInd w:val="0"/>
        <w:snapToGrid w:val="0"/>
        <w:spacing w:line="520" w:lineRule="exact"/>
        <w:ind w:firstLine="482" w:firstLineChars="200"/>
        <w:rPr>
          <w:rFonts w:ascii="仿宋_GB2312" w:hAnsi="宋体" w:eastAsia="仿宋_GB2312" w:cs="宋体"/>
          <w:b/>
          <w:bCs/>
          <w:color w:val="auto"/>
          <w:sz w:val="24"/>
          <w:highlight w:val="none"/>
        </w:rPr>
      </w:pPr>
      <w:bookmarkStart w:id="73" w:name="_Hlt503598349"/>
      <w:bookmarkEnd w:id="73"/>
      <w:bookmarkStart w:id="74" w:name="_Hlt503599678"/>
      <w:bookmarkEnd w:id="74"/>
      <w:bookmarkStart w:id="75" w:name="_Hlt503689598"/>
      <w:bookmarkEnd w:id="75"/>
      <w:bookmarkStart w:id="76" w:name="_Hlt503689592"/>
      <w:bookmarkEnd w:id="76"/>
      <w:bookmarkStart w:id="77" w:name="_Hlt503687325"/>
      <w:bookmarkEnd w:id="77"/>
      <w:bookmarkStart w:id="78" w:name="_Hlt503692871"/>
      <w:bookmarkEnd w:id="78"/>
      <w:bookmarkStart w:id="79" w:name="_Hlt503692538"/>
      <w:bookmarkEnd w:id="79"/>
      <w:bookmarkStart w:id="80" w:name="_Hlt503692670"/>
      <w:bookmarkEnd w:id="80"/>
      <w:bookmarkStart w:id="81" w:name="_Hlt503692688"/>
      <w:bookmarkEnd w:id="81"/>
      <w:bookmarkStart w:id="82" w:name="_Hlt503692780"/>
      <w:bookmarkEnd w:id="82"/>
      <w:bookmarkStart w:id="83" w:name="_Hlt503689594"/>
      <w:bookmarkEnd w:id="83"/>
      <w:bookmarkStart w:id="84" w:name="_Hlt504185804"/>
      <w:bookmarkEnd w:id="84"/>
      <w:bookmarkStart w:id="85" w:name="第十四条变更处理方法"/>
      <w:r>
        <w:rPr>
          <w:rFonts w:hint="eastAsia" w:ascii="仿宋_GB2312" w:hAnsi="宋体" w:eastAsia="仿宋_GB2312" w:cs="宋体"/>
          <w:b/>
          <w:bCs/>
          <w:color w:val="auto"/>
          <w:sz w:val="24"/>
          <w:highlight w:val="none"/>
        </w:rPr>
        <w:t>第八条 维保服务费的支付</w:t>
      </w:r>
    </w:p>
    <w:p>
      <w:pPr>
        <w:numPr>
          <w:ilvl w:val="0"/>
          <w:numId w:val="0"/>
        </w:numPr>
        <w:spacing w:line="520" w:lineRule="exact"/>
        <w:ind w:left="498" w:leftChars="228" w:hanging="19" w:hangingChars="8"/>
        <w:jc w:val="left"/>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 xml:space="preserve">8.1甲方按（□月 □季 </w:t>
      </w:r>
      <w:r>
        <w:rPr>
          <w:rFonts w:ascii="仿宋_GB2312" w:hAnsi="宋体" w:eastAsia="仿宋_GB2312" w:cs="宋体"/>
          <w:color w:val="auto"/>
          <w:sz w:val="24"/>
          <w:highlight w:val="none"/>
        </w:rPr>
        <w:fldChar w:fldCharType="begin"/>
      </w:r>
      <w:r>
        <w:rPr>
          <w:rFonts w:hint="eastAsia" w:ascii="仿宋_GB2312" w:hAnsi="宋体" w:eastAsia="仿宋_GB2312" w:cs="宋体"/>
          <w:color w:val="auto"/>
          <w:sz w:val="24"/>
          <w:highlight w:val="none"/>
        </w:rPr>
        <w:instrText xml:space="preserve">eq \o\ac(□,√)</w:instrText>
      </w:r>
      <w:r>
        <w:rPr>
          <w:rFonts w:ascii="仿宋_GB2312" w:hAnsi="宋体" w:eastAsia="仿宋_GB2312" w:cs="宋体"/>
          <w:color w:val="auto"/>
          <w:sz w:val="24"/>
          <w:highlight w:val="none"/>
        </w:rPr>
        <w:fldChar w:fldCharType="end"/>
      </w:r>
      <w:r>
        <w:rPr>
          <w:rFonts w:hint="eastAsia" w:ascii="仿宋_GB2312" w:hAnsi="宋体" w:eastAsia="仿宋_GB2312" w:cs="宋体"/>
          <w:color w:val="auto"/>
          <w:sz w:val="24"/>
          <w:highlight w:val="none"/>
        </w:rPr>
        <w:t>半年 □年）支付维保费，具体开票时间和金额为：</w:t>
      </w:r>
      <w:r>
        <w:rPr>
          <w:rFonts w:hint="eastAsia" w:ascii="仿宋_GB2312" w:hAnsi="宋体" w:eastAsia="仿宋_GB2312" w:cs="宋体"/>
          <w:color w:val="auto"/>
          <w:sz w:val="24"/>
          <w:highlight w:val="none"/>
          <w:u w:val="single"/>
          <w:lang w:val="en-US" w:eastAsia="zh-CN"/>
        </w:rPr>
        <w:t xml:space="preserve">    </w:t>
      </w:r>
      <w:r>
        <w:rPr>
          <w:rFonts w:ascii="仿宋_GB2312" w:hAnsi="宋体" w:eastAsia="仿宋_GB2312" w:cs="宋体"/>
          <w:color w:val="auto"/>
          <w:sz w:val="24"/>
          <w:highlight w:val="none"/>
        </w:rPr>
        <w:t>年</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rPr>
        <w:t>月</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rPr>
        <w:t>日、</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rPr>
        <w:t>年</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rPr>
        <w:t>月</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rPr>
        <w:t>日</w:t>
      </w:r>
      <w:r>
        <w:rPr>
          <w:rFonts w:ascii="仿宋_GB2312" w:hAnsi="宋体" w:eastAsia="仿宋_GB2312" w:cs="宋体"/>
          <w:color w:val="auto"/>
          <w:sz w:val="24"/>
          <w:highlight w:val="none"/>
        </w:rPr>
        <w:t>，</w:t>
      </w:r>
      <w:r>
        <w:rPr>
          <w:rFonts w:hint="eastAsia" w:ascii="仿宋_GB2312" w:hAnsi="宋体" w:eastAsia="仿宋_GB2312" w:cs="宋体"/>
          <w:color w:val="auto"/>
          <w:sz w:val="24"/>
          <w:highlight w:val="none"/>
        </w:rPr>
        <w:t>每期开票金额为</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rPr>
        <w:t>元，付款期限为30天，以开票时间起计算：</w:t>
      </w:r>
    </w:p>
    <w:tbl>
      <w:tblPr>
        <w:tblStyle w:val="67"/>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21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line="520" w:lineRule="exact"/>
              <w:jc w:val="left"/>
              <w:rPr>
                <w:rFonts w:ascii="仿宋_GB2312" w:eastAsia="仿宋_GB2312" w:cs="宋体" w:hAnsiTheme="minorEastAsia"/>
                <w:b/>
                <w:bCs/>
                <w:color w:val="auto"/>
                <w:kern w:val="0"/>
                <w:sz w:val="24"/>
                <w:highlight w:val="none"/>
                <w:u w:val="single"/>
              </w:rPr>
            </w:pPr>
            <w:r>
              <w:rPr>
                <w:rFonts w:hint="eastAsia" w:ascii="仿宋_GB2312" w:eastAsia="仿宋_GB2312" w:cs="宋体" w:hAnsiTheme="minorEastAsia"/>
                <w:b/>
                <w:bCs/>
                <w:color w:val="auto"/>
                <w:kern w:val="0"/>
                <w:sz w:val="24"/>
                <w:highlight w:val="none"/>
                <w:u w:val="single"/>
              </w:rPr>
              <w:t>开票时间</w:t>
            </w:r>
          </w:p>
        </w:tc>
        <w:tc>
          <w:tcPr>
            <w:tcW w:w="2213" w:type="dxa"/>
          </w:tcPr>
          <w:p>
            <w:pPr>
              <w:spacing w:line="520" w:lineRule="exact"/>
              <w:jc w:val="left"/>
              <w:rPr>
                <w:rFonts w:ascii="仿宋_GB2312" w:eastAsia="仿宋_GB2312" w:cs="宋体" w:hAnsiTheme="minorEastAsia"/>
                <w:b/>
                <w:bCs/>
                <w:color w:val="auto"/>
                <w:kern w:val="0"/>
                <w:sz w:val="24"/>
                <w:highlight w:val="none"/>
                <w:u w:val="single"/>
              </w:rPr>
            </w:pPr>
            <w:r>
              <w:rPr>
                <w:rFonts w:hint="eastAsia" w:ascii="仿宋_GB2312" w:eastAsia="仿宋_GB2312" w:cs="宋体" w:hAnsiTheme="minorEastAsia"/>
                <w:b/>
                <w:bCs/>
                <w:color w:val="auto"/>
                <w:kern w:val="0"/>
                <w:sz w:val="24"/>
                <w:highlight w:val="none"/>
                <w:u w:val="single"/>
              </w:rPr>
              <w:t>开票金额</w:t>
            </w:r>
          </w:p>
        </w:tc>
        <w:tc>
          <w:tcPr>
            <w:tcW w:w="2835" w:type="dxa"/>
          </w:tcPr>
          <w:p>
            <w:pPr>
              <w:spacing w:line="520" w:lineRule="exact"/>
              <w:jc w:val="left"/>
              <w:rPr>
                <w:rFonts w:ascii="仿宋_GB2312" w:eastAsia="仿宋_GB2312" w:cs="宋体" w:hAnsiTheme="minorEastAsia"/>
                <w:b/>
                <w:bCs/>
                <w:color w:val="auto"/>
                <w:kern w:val="0"/>
                <w:sz w:val="24"/>
                <w:highlight w:val="none"/>
                <w:u w:val="single"/>
              </w:rPr>
            </w:pPr>
            <w:r>
              <w:rPr>
                <w:rFonts w:hint="eastAsia" w:ascii="仿宋_GB2312" w:eastAsia="仿宋_GB2312" w:cs="宋体" w:hAnsiTheme="minorEastAsia"/>
                <w:b/>
                <w:bCs/>
                <w:color w:val="auto"/>
                <w:kern w:val="0"/>
                <w:sz w:val="24"/>
                <w:highlight w:val="none"/>
                <w:u w:val="single"/>
              </w:rPr>
              <w:t>开票备注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line="520" w:lineRule="exact"/>
              <w:jc w:val="left"/>
              <w:rPr>
                <w:rFonts w:ascii="仿宋_GB2312" w:eastAsia="仿宋_GB2312" w:cs="宋体" w:hAnsiTheme="minorEastAsia"/>
                <w:color w:val="auto"/>
                <w:kern w:val="0"/>
                <w:sz w:val="24"/>
                <w:highlight w:val="none"/>
              </w:rPr>
            </w:pPr>
          </w:p>
        </w:tc>
        <w:tc>
          <w:tcPr>
            <w:tcW w:w="2213" w:type="dxa"/>
          </w:tcPr>
          <w:p>
            <w:pPr>
              <w:spacing w:line="520" w:lineRule="exact"/>
              <w:jc w:val="left"/>
              <w:rPr>
                <w:rFonts w:ascii="仿宋_GB2312" w:eastAsia="仿宋_GB2312" w:cs="宋体" w:hAnsiTheme="minorEastAsia"/>
                <w:color w:val="auto"/>
                <w:kern w:val="0"/>
                <w:sz w:val="24"/>
                <w:highlight w:val="none"/>
              </w:rPr>
            </w:pPr>
          </w:p>
        </w:tc>
        <w:tc>
          <w:tcPr>
            <w:tcW w:w="2835" w:type="dxa"/>
          </w:tcPr>
          <w:p>
            <w:pPr>
              <w:spacing w:line="520" w:lineRule="exact"/>
              <w:jc w:val="left"/>
              <w:rPr>
                <w:rFonts w:ascii="仿宋_GB2312" w:eastAsia="仿宋_GB2312" w:cs="宋体" w:hAnsiTheme="minorEastAsia"/>
                <w:color w:val="auto"/>
                <w:kern w:val="0"/>
                <w:sz w:val="24"/>
                <w:highlight w:val="none"/>
              </w:rPr>
            </w:pPr>
            <w:r>
              <w:rPr>
                <w:rFonts w:hint="eastAsia" w:ascii="仿宋_GB2312" w:eastAsia="仿宋_GB2312" w:cs="宋体" w:hAnsiTheme="minorEastAsia"/>
                <w:color w:val="auto"/>
                <w:kern w:val="0"/>
                <w:sz w:val="24"/>
                <w:highlight w:val="none"/>
              </w:rPr>
              <w:t>第一期维保发票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4" w:type="dxa"/>
          </w:tcPr>
          <w:p>
            <w:pPr>
              <w:spacing w:line="520" w:lineRule="exact"/>
              <w:jc w:val="left"/>
              <w:rPr>
                <w:rFonts w:ascii="仿宋_GB2312" w:eastAsia="仿宋_GB2312" w:cs="宋体" w:hAnsiTheme="minorEastAsia"/>
                <w:color w:val="auto"/>
                <w:kern w:val="0"/>
                <w:sz w:val="24"/>
                <w:highlight w:val="none"/>
              </w:rPr>
            </w:pPr>
          </w:p>
        </w:tc>
        <w:tc>
          <w:tcPr>
            <w:tcW w:w="2213" w:type="dxa"/>
          </w:tcPr>
          <w:p>
            <w:pPr>
              <w:spacing w:line="520" w:lineRule="exact"/>
              <w:jc w:val="left"/>
              <w:rPr>
                <w:rFonts w:ascii="仿宋_GB2312" w:eastAsia="仿宋_GB2312" w:cs="宋体" w:hAnsiTheme="minorEastAsia"/>
                <w:color w:val="auto"/>
                <w:kern w:val="0"/>
                <w:sz w:val="24"/>
                <w:highlight w:val="none"/>
              </w:rPr>
            </w:pPr>
          </w:p>
        </w:tc>
        <w:tc>
          <w:tcPr>
            <w:tcW w:w="2835" w:type="dxa"/>
          </w:tcPr>
          <w:p>
            <w:pPr>
              <w:spacing w:line="520" w:lineRule="exact"/>
              <w:jc w:val="left"/>
              <w:rPr>
                <w:rFonts w:ascii="仿宋_GB2312" w:eastAsia="仿宋_GB2312" w:cs="宋体" w:hAnsiTheme="minorEastAsia"/>
                <w:color w:val="auto"/>
                <w:kern w:val="0"/>
                <w:sz w:val="24"/>
                <w:highlight w:val="none"/>
              </w:rPr>
            </w:pPr>
            <w:r>
              <w:rPr>
                <w:rFonts w:hint="eastAsia" w:ascii="仿宋_GB2312" w:eastAsia="仿宋_GB2312" w:cs="宋体" w:hAnsiTheme="minorEastAsia"/>
                <w:color w:val="auto"/>
                <w:kern w:val="0"/>
                <w:sz w:val="24"/>
                <w:highlight w:val="none"/>
              </w:rPr>
              <w:t>第二期维保发票</w:t>
            </w:r>
          </w:p>
        </w:tc>
      </w:tr>
    </w:tbl>
    <w:p>
      <w:pPr>
        <w:spacing w:line="520" w:lineRule="exact"/>
        <w:ind w:left="480" w:firstLine="1200" w:firstLineChars="500"/>
        <w:jc w:val="left"/>
        <w:rPr>
          <w:rFonts w:ascii="仿宋_GB2312" w:eastAsia="仿宋_GB2312" w:cs="宋体" w:hAnsiTheme="minorEastAsia"/>
          <w:color w:val="auto"/>
          <w:kern w:val="0"/>
          <w:sz w:val="24"/>
          <w:highlight w:val="none"/>
        </w:rPr>
      </w:pPr>
      <w:r>
        <w:rPr>
          <w:rFonts w:hint="eastAsia" w:ascii="仿宋_GB2312" w:eastAsia="仿宋_GB2312" w:cs="宋体" w:hAnsiTheme="minorEastAsia"/>
          <w:color w:val="auto"/>
          <w:kern w:val="0"/>
          <w:sz w:val="24"/>
          <w:highlight w:val="none"/>
        </w:rPr>
        <w:t xml:space="preserve">发票类型： </w:t>
      </w:r>
      <w:r>
        <w:rPr>
          <w:rFonts w:ascii="仿宋_GB2312" w:eastAsia="仿宋_GB2312" w:cs="宋体" w:hAnsiTheme="minorEastAsia"/>
          <w:color w:val="auto"/>
          <w:kern w:val="0"/>
          <w:sz w:val="24"/>
          <w:highlight w:val="none"/>
        </w:rPr>
        <w:fldChar w:fldCharType="begin"/>
      </w:r>
      <w:r>
        <w:rPr>
          <w:rFonts w:hint="eastAsia" w:ascii="仿宋_GB2312" w:eastAsia="仿宋_GB2312" w:cs="宋体" w:hAnsiTheme="minorEastAsia"/>
          <w:color w:val="auto"/>
          <w:kern w:val="0"/>
          <w:sz w:val="24"/>
          <w:highlight w:val="none"/>
        </w:rPr>
        <w:instrText xml:space="preserve">eq \o\ac(□,√)</w:instrText>
      </w:r>
      <w:r>
        <w:rPr>
          <w:rFonts w:ascii="仿宋_GB2312" w:eastAsia="仿宋_GB2312" w:cs="宋体" w:hAnsiTheme="minorEastAsia"/>
          <w:color w:val="auto"/>
          <w:kern w:val="0"/>
          <w:sz w:val="24"/>
          <w:highlight w:val="none"/>
        </w:rPr>
        <w:fldChar w:fldCharType="end"/>
      </w:r>
      <w:r>
        <w:rPr>
          <w:rFonts w:hint="eastAsia" w:ascii="仿宋_GB2312" w:eastAsia="仿宋_GB2312" w:cs="宋体" w:hAnsiTheme="minorEastAsia"/>
          <w:color w:val="auto"/>
          <w:kern w:val="0"/>
          <w:sz w:val="24"/>
          <w:highlight w:val="none"/>
        </w:rPr>
        <w:t xml:space="preserve"> 增值税专用发票     </w:t>
      </w:r>
      <w:r>
        <w:rPr>
          <w:rFonts w:hint="eastAsia" w:ascii="仿宋_GB2312" w:eastAsia="仿宋_GB2312" w:hAnsiTheme="minorEastAsia"/>
          <w:color w:val="auto"/>
          <w:sz w:val="24"/>
          <w:highlight w:val="none"/>
        </w:rPr>
        <w:t>□</w:t>
      </w:r>
      <w:r>
        <w:rPr>
          <w:rFonts w:hint="eastAsia" w:ascii="仿宋_GB2312" w:eastAsia="仿宋_GB2312" w:cs="宋体" w:hAnsiTheme="minorEastAsia"/>
          <w:color w:val="auto"/>
          <w:kern w:val="0"/>
          <w:sz w:val="24"/>
          <w:highlight w:val="none"/>
        </w:rPr>
        <w:t xml:space="preserve"> 增值税普通发票 </w:t>
      </w:r>
    </w:p>
    <w:p>
      <w:pPr>
        <w:spacing w:line="360" w:lineRule="auto"/>
        <w:ind w:firstLine="480" w:firstLineChars="20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甲方</w:t>
      </w:r>
      <w:r>
        <w:rPr>
          <w:rFonts w:ascii="仿宋_GB2312" w:hAnsi="宋体" w:eastAsia="仿宋_GB2312" w:cs="宋体"/>
          <w:color w:val="auto"/>
          <w:kern w:val="0"/>
          <w:sz w:val="24"/>
          <w:highlight w:val="none"/>
        </w:rPr>
        <w:t>开票信息</w:t>
      </w:r>
      <w:r>
        <w:rPr>
          <w:rFonts w:hint="eastAsia" w:ascii="仿宋_GB2312" w:hAnsi="宋体" w:eastAsia="仿宋_GB2312" w:cs="宋体"/>
          <w:color w:val="auto"/>
          <w:kern w:val="0"/>
          <w:sz w:val="24"/>
          <w:highlight w:val="none"/>
        </w:rPr>
        <w:t>：</w:t>
      </w:r>
    </w:p>
    <w:p>
      <w:pPr>
        <w:pStyle w:val="120"/>
        <w:numPr>
          <w:ilvl w:val="0"/>
          <w:numId w:val="5"/>
        </w:numPr>
        <w:spacing w:line="360" w:lineRule="auto"/>
        <w:ind w:firstLineChars="0"/>
        <w:jc w:val="left"/>
        <w:rPr>
          <w:rFonts w:ascii="仿宋_GB2312" w:hAnsi="宋体" w:eastAsia="仿宋_GB2312" w:cs="宋体"/>
          <w:color w:val="auto"/>
          <w:kern w:val="0"/>
          <w:sz w:val="24"/>
          <w:highlight w:val="none"/>
          <w:u w:val="single"/>
        </w:rPr>
      </w:pPr>
      <w:r>
        <w:rPr>
          <w:rFonts w:hint="eastAsia" w:ascii="仿宋_GB2312" w:hAnsi="宋体" w:eastAsia="仿宋_GB2312" w:cs="宋体"/>
          <w:color w:val="auto"/>
          <w:kern w:val="0"/>
          <w:sz w:val="24"/>
          <w:highlight w:val="none"/>
        </w:rPr>
        <w:t>公司</w:t>
      </w:r>
      <w:r>
        <w:rPr>
          <w:rFonts w:ascii="仿宋_GB2312" w:hAnsi="宋体" w:eastAsia="仿宋_GB2312" w:cs="宋体"/>
          <w:color w:val="auto"/>
          <w:kern w:val="0"/>
          <w:sz w:val="24"/>
          <w:highlight w:val="none"/>
        </w:rPr>
        <w:t>名称</w:t>
      </w: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u w:val="single"/>
        </w:rPr>
        <w:t>合肥</w:t>
      </w:r>
      <w:r>
        <w:rPr>
          <w:rFonts w:ascii="仿宋_GB2312" w:hAnsi="宋体" w:eastAsia="仿宋_GB2312" w:cs="宋体"/>
          <w:color w:val="auto"/>
          <w:kern w:val="0"/>
          <w:sz w:val="24"/>
          <w:highlight w:val="none"/>
          <w:u w:val="single"/>
        </w:rPr>
        <w:t>政文国际会展管理有限公司</w:t>
      </w:r>
    </w:p>
    <w:p>
      <w:pPr>
        <w:pStyle w:val="120"/>
        <w:numPr>
          <w:ilvl w:val="0"/>
          <w:numId w:val="5"/>
        </w:numPr>
        <w:spacing w:line="360" w:lineRule="auto"/>
        <w:ind w:firstLineChars="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账号</w:t>
      </w:r>
      <w:r>
        <w:rPr>
          <w:rFonts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u w:val="single"/>
          <w:lang w:val="en-US" w:eastAsia="zh-CN"/>
        </w:rPr>
        <w:t xml:space="preserve">        </w:t>
      </w:r>
    </w:p>
    <w:p>
      <w:pPr>
        <w:pStyle w:val="120"/>
        <w:numPr>
          <w:ilvl w:val="0"/>
          <w:numId w:val="5"/>
        </w:numPr>
        <w:spacing w:line="360" w:lineRule="auto"/>
        <w:ind w:firstLineChars="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开户行：</w:t>
      </w:r>
      <w:r>
        <w:rPr>
          <w:rFonts w:hint="eastAsia" w:ascii="仿宋_GB2312" w:hAnsi="宋体" w:eastAsia="仿宋_GB2312" w:cs="宋体"/>
          <w:color w:val="auto"/>
          <w:kern w:val="0"/>
          <w:sz w:val="24"/>
          <w:highlight w:val="none"/>
          <w:u w:val="single"/>
          <w:lang w:val="en-US" w:eastAsia="zh-CN"/>
        </w:rPr>
        <w:t xml:space="preserve">   </w:t>
      </w:r>
    </w:p>
    <w:p>
      <w:pPr>
        <w:pStyle w:val="120"/>
        <w:numPr>
          <w:ilvl w:val="0"/>
          <w:numId w:val="5"/>
        </w:numPr>
        <w:spacing w:line="360" w:lineRule="auto"/>
        <w:ind w:firstLineChars="0"/>
        <w:jc w:val="left"/>
        <w:rPr>
          <w:rFonts w:ascii="仿宋_GB2312" w:hAnsi="宋体" w:eastAsia="仿宋_GB2312" w:cs="宋体"/>
          <w:color w:val="auto"/>
          <w:kern w:val="0"/>
          <w:sz w:val="24"/>
          <w:highlight w:val="none"/>
          <w:u w:val="single"/>
        </w:rPr>
      </w:pPr>
      <w:r>
        <w:rPr>
          <w:rFonts w:hint="eastAsia" w:ascii="仿宋_GB2312" w:hAnsi="宋体" w:eastAsia="仿宋_GB2312" w:cs="宋体"/>
          <w:color w:val="auto"/>
          <w:kern w:val="0"/>
          <w:sz w:val="24"/>
          <w:highlight w:val="none"/>
        </w:rPr>
        <w:t>税号：</w:t>
      </w:r>
      <w:r>
        <w:rPr>
          <w:rFonts w:hint="eastAsia" w:ascii="仿宋_GB2312" w:hAnsi="宋体" w:eastAsia="仿宋_GB2312" w:cs="宋体"/>
          <w:color w:val="auto"/>
          <w:kern w:val="0"/>
          <w:sz w:val="24"/>
          <w:highlight w:val="none"/>
          <w:u w:val="single"/>
          <w:lang w:val="en-US" w:eastAsia="zh-CN"/>
        </w:rPr>
        <w:t xml:space="preserve">        </w:t>
      </w:r>
    </w:p>
    <w:p>
      <w:pPr>
        <w:pStyle w:val="120"/>
        <w:numPr>
          <w:ilvl w:val="0"/>
          <w:numId w:val="5"/>
        </w:numPr>
        <w:spacing w:line="360" w:lineRule="auto"/>
        <w:ind w:firstLineChars="0"/>
        <w:jc w:val="left"/>
        <w:rPr>
          <w:rFonts w:ascii="仿宋_GB2312" w:hAnsi="宋体" w:eastAsia="仿宋_GB2312" w:cs="宋体"/>
          <w:color w:val="auto"/>
          <w:kern w:val="0"/>
          <w:sz w:val="24"/>
          <w:highlight w:val="none"/>
          <w:u w:val="single"/>
        </w:rPr>
      </w:pPr>
      <w:r>
        <w:rPr>
          <w:rFonts w:hint="eastAsia" w:ascii="仿宋_GB2312" w:hAnsi="宋体" w:eastAsia="仿宋_GB2312" w:cs="宋体"/>
          <w:color w:val="auto"/>
          <w:kern w:val="0"/>
          <w:sz w:val="24"/>
          <w:highlight w:val="none"/>
        </w:rPr>
        <w:t>地址</w:t>
      </w:r>
      <w:r>
        <w:rPr>
          <w:rFonts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u w:val="single"/>
        </w:rPr>
        <w:t>安徽省合肥市经济技术开发区合安路与繁华大道交口安徽省国际会展中心</w:t>
      </w:r>
      <w:r>
        <w:rPr>
          <w:rFonts w:hint="eastAsia" w:ascii="仿宋_GB2312" w:hAnsi="宋体" w:eastAsia="仿宋_GB2312" w:cs="宋体"/>
          <w:color w:val="auto"/>
          <w:kern w:val="0"/>
          <w:sz w:val="24"/>
          <w:highlight w:val="none"/>
          <w:u w:val="single"/>
        </w:rPr>
        <w:t xml:space="preserve"> 电话:</w:t>
      </w:r>
      <w:r>
        <w:rPr>
          <w:rFonts w:hint="eastAsia" w:ascii="仿宋_GB2312" w:hAnsi="宋体" w:eastAsia="仿宋_GB2312" w:cs="宋体"/>
          <w:color w:val="auto"/>
          <w:kern w:val="0"/>
          <w:sz w:val="24"/>
          <w:highlight w:val="none"/>
          <w:u w:val="single"/>
          <w:lang w:val="en-US" w:eastAsia="zh-CN"/>
        </w:rPr>
        <w:t xml:space="preserve"> </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8.2甲方按上述约定期限将维保服务费以转账汇款方式支付。</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乙方指定账户信息如下：</w:t>
      </w:r>
    </w:p>
    <w:p>
      <w:pPr>
        <w:pStyle w:val="120"/>
        <w:numPr>
          <w:ilvl w:val="0"/>
          <w:numId w:val="6"/>
        </w:numPr>
        <w:adjustRightInd w:val="0"/>
        <w:snapToGrid w:val="0"/>
        <w:spacing w:line="520" w:lineRule="exact"/>
        <w:ind w:firstLineChars="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户名：【</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w:t>
      </w:r>
    </w:p>
    <w:p>
      <w:pPr>
        <w:pStyle w:val="120"/>
        <w:numPr>
          <w:ilvl w:val="0"/>
          <w:numId w:val="6"/>
        </w:numPr>
        <w:adjustRightInd w:val="0"/>
        <w:snapToGrid w:val="0"/>
        <w:spacing w:line="520" w:lineRule="exact"/>
        <w:ind w:firstLineChars="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税号：【</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w:t>
      </w:r>
    </w:p>
    <w:p>
      <w:pPr>
        <w:pStyle w:val="120"/>
        <w:numPr>
          <w:ilvl w:val="0"/>
          <w:numId w:val="6"/>
        </w:numPr>
        <w:adjustRightInd w:val="0"/>
        <w:snapToGrid w:val="0"/>
        <w:spacing w:line="520" w:lineRule="exact"/>
        <w:ind w:firstLineChars="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地址：【</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w:t>
      </w:r>
    </w:p>
    <w:p>
      <w:pPr>
        <w:pStyle w:val="120"/>
        <w:numPr>
          <w:ilvl w:val="0"/>
          <w:numId w:val="6"/>
        </w:numPr>
        <w:adjustRightInd w:val="0"/>
        <w:snapToGrid w:val="0"/>
        <w:spacing w:line="520" w:lineRule="exact"/>
        <w:ind w:firstLineChars="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电话：【</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w:t>
      </w:r>
    </w:p>
    <w:p>
      <w:pPr>
        <w:pStyle w:val="120"/>
        <w:numPr>
          <w:ilvl w:val="0"/>
          <w:numId w:val="6"/>
        </w:numPr>
        <w:adjustRightInd w:val="0"/>
        <w:snapToGrid w:val="0"/>
        <w:spacing w:line="520" w:lineRule="exact"/>
        <w:ind w:firstLineChars="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w:t>
      </w:r>
    </w:p>
    <w:p>
      <w:pPr>
        <w:pStyle w:val="120"/>
        <w:numPr>
          <w:ilvl w:val="0"/>
          <w:numId w:val="6"/>
        </w:numPr>
        <w:adjustRightInd w:val="0"/>
        <w:snapToGrid w:val="0"/>
        <w:spacing w:line="520" w:lineRule="exact"/>
        <w:ind w:firstLineChars="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账号：【</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甲方向以上乙方指定账户付款即视为完成本合同项下付款义务。乙方对上述账户信息的准确性和可用性承担全部责任，若上述账户信息发生任何变化，乙方应提前【3</w:t>
      </w:r>
      <w:r>
        <w:rPr>
          <w:rFonts w:ascii="仿宋_GB2312" w:hAnsi="宋体" w:eastAsia="仿宋_GB2312" w:cs="宋体"/>
          <w:color w:val="auto"/>
          <w:sz w:val="24"/>
          <w:highlight w:val="none"/>
        </w:rPr>
        <w:t>0</w:t>
      </w:r>
      <w:r>
        <w:rPr>
          <w:rFonts w:hint="eastAsia" w:ascii="仿宋_GB2312" w:hAnsi="宋体" w:eastAsia="仿宋_GB2312" w:cs="宋体"/>
          <w:color w:val="auto"/>
          <w:sz w:val="24"/>
          <w:highlight w:val="none"/>
        </w:rPr>
        <w:t>】个工作日书面通知甲方，否则甲方不对乙方未能收到或迟延收到任何款项承担责任。</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8.3维保服务中发生的零部件更换（即：急修）费用已包含在维保服务费中，由乙方承担，甲方无需额外支付。</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8.4维保中产生的各类废弃物，由乙方负责按照当地环境管理法律法规及有关规定予以处理，所需费用已包含在维保服务费中，甲方不另行支付。</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8.5双方确认每次付款前，如甲方对乙方所提供的服务验收不合格，乙方应及时调整，（若乙方有异议，则最终以当地质量技术监督部门鉴定意见为准），则甲方有权暂不付款直至验收合格，且不承担任何违约责任。如乙方逾期提供相应数额增值税专用发票的，甲方有权暂不付款直至验收合格，且不承担任何违约责任。</w:t>
      </w:r>
    </w:p>
    <w:p>
      <w:pPr>
        <w:adjustRightInd w:val="0"/>
        <w:snapToGrid w:val="0"/>
        <w:spacing w:line="520" w:lineRule="exact"/>
        <w:ind w:firstLine="482" w:firstLineChars="200"/>
        <w:rPr>
          <w:rFonts w:ascii="仿宋_GB2312" w:hAnsi="宋体" w:eastAsia="仿宋_GB2312" w:cs="宋体"/>
          <w:b/>
          <w:bCs/>
          <w:color w:val="auto"/>
          <w:sz w:val="24"/>
          <w:highlight w:val="none"/>
        </w:rPr>
      </w:pPr>
      <w:r>
        <w:rPr>
          <w:rFonts w:hint="eastAsia" w:ascii="仿宋_GB2312" w:hAnsi="宋体" w:eastAsia="仿宋_GB2312" w:cs="宋体"/>
          <w:b/>
          <w:bCs/>
          <w:color w:val="auto"/>
          <w:sz w:val="24"/>
          <w:highlight w:val="none"/>
        </w:rPr>
        <w:t>第九条 违约责任</w:t>
      </w:r>
    </w:p>
    <w:p>
      <w:pPr>
        <w:adjustRightInd w:val="0"/>
        <w:snapToGrid w:val="0"/>
        <w:spacing w:line="520" w:lineRule="exact"/>
        <w:ind w:firstLine="480" w:firstLineChars="200"/>
        <w:rPr>
          <w:rFonts w:ascii="仿宋_GB2312" w:hAnsi="宋体" w:eastAsia="仿宋_GB2312" w:cs="宋体"/>
          <w:b/>
          <w:bCs/>
          <w:color w:val="auto"/>
          <w:sz w:val="24"/>
          <w:highlight w:val="none"/>
        </w:rPr>
      </w:pPr>
      <w:r>
        <w:rPr>
          <w:rFonts w:hint="eastAsia" w:ascii="仿宋_GB2312" w:hAnsi="宋体" w:eastAsia="仿宋_GB2312" w:cs="宋体"/>
          <w:color w:val="auto"/>
          <w:sz w:val="24"/>
          <w:highlight w:val="none"/>
        </w:rPr>
        <w:t>9.1乙方维保工作不符合合同约定的维保标准或要求的，乙方应当返工，直至符合要求为止，返工仍不合格的，扣除当台当次电梯维保费用。</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9.2若在乙方维保有效期内电梯发生事故、停运而给甲方带来损失并书面提出赔偿要求的，由政府主管部门介入或在政府主管部门不介入之时由双方共同委托有能力的第三方权威监测机构作鉴定并做出鉴定结论。若判定由乙方维保责任所致所造成的损失，乙方应当按照鉴定结果及法律规定对甲方作相应赔偿。</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9.3乙方若在合同生效后无故解除合同或以实际行动表示不履行合同的，则需按甲方确认的乙方实际提供的服务据实结算维保服务费，且乙方应向甲方支付维保服务费总价【10】%的违约金。</w:t>
      </w:r>
    </w:p>
    <w:p>
      <w:pPr>
        <w:adjustRightInd w:val="0"/>
        <w:snapToGrid w:val="0"/>
        <w:spacing w:line="520" w:lineRule="exact"/>
        <w:ind w:firstLine="480" w:firstLineChars="200"/>
        <w:rPr>
          <w:rFonts w:eastAsia="仿宋_GB2312"/>
          <w:color w:val="auto"/>
          <w:highlight w:val="none"/>
        </w:rPr>
      </w:pPr>
      <w:r>
        <w:rPr>
          <w:rFonts w:hint="eastAsia" w:ascii="仿宋_GB2312" w:hAnsi="宋体" w:eastAsia="仿宋_GB2312" w:cs="宋体"/>
          <w:color w:val="auto"/>
          <w:sz w:val="24"/>
          <w:highlight w:val="none"/>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ascii="仿宋_GB2312" w:hAnsi="宋体" w:eastAsia="仿宋_GB2312" w:cs="宋体"/>
          <w:strike/>
          <w:color w:val="auto"/>
          <w:sz w:val="24"/>
          <w:highlight w:val="none"/>
        </w:rPr>
      </w:pPr>
      <w:r>
        <w:rPr>
          <w:rFonts w:hint="eastAsia" w:ascii="仿宋_GB2312" w:hAnsi="宋体" w:eastAsia="仿宋_GB2312" w:cs="宋体"/>
          <w:color w:val="auto"/>
          <w:sz w:val="24"/>
          <w:highlight w:val="none"/>
        </w:rPr>
        <w:t>9.6除上述约定外，乙方违反本合同其他任何一项义务的，由甲方限期令其改正，乙方未在该期限内改正或改正后仍不符合甲方要求的，甲方有权解除合同。</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9.7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2" w:firstLineChars="200"/>
        <w:rPr>
          <w:rFonts w:ascii="仿宋_GB2312" w:hAnsi="宋体" w:eastAsia="仿宋_GB2312" w:cs="宋体"/>
          <w:b/>
          <w:bCs/>
          <w:color w:val="auto"/>
          <w:sz w:val="24"/>
          <w:highlight w:val="none"/>
        </w:rPr>
      </w:pPr>
    </w:p>
    <w:p>
      <w:pPr>
        <w:adjustRightInd w:val="0"/>
        <w:snapToGrid w:val="0"/>
        <w:spacing w:line="520" w:lineRule="exact"/>
        <w:ind w:firstLine="482" w:firstLineChars="200"/>
        <w:rPr>
          <w:rFonts w:ascii="仿宋_GB2312" w:hAnsi="宋体" w:eastAsia="仿宋_GB2312" w:cs="宋体"/>
          <w:color w:val="auto"/>
          <w:sz w:val="24"/>
          <w:highlight w:val="none"/>
        </w:rPr>
      </w:pPr>
      <w:r>
        <w:rPr>
          <w:rFonts w:hint="eastAsia" w:ascii="仿宋_GB2312" w:hAnsi="宋体" w:eastAsia="仿宋_GB2312" w:cs="宋体"/>
          <w:b/>
          <w:bCs/>
          <w:color w:val="auto"/>
          <w:sz w:val="24"/>
          <w:highlight w:val="none"/>
        </w:rPr>
        <w:t>第十条 送达地址</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甲方确认的通讯送达地址：合肥市锦绣大道3899号合肥滨湖国际会展中心</w:t>
      </w:r>
    </w:p>
    <w:p>
      <w:pPr>
        <w:adjustRightInd w:val="0"/>
        <w:snapToGrid w:val="0"/>
        <w:spacing w:line="520" w:lineRule="exact"/>
        <w:ind w:firstLine="480" w:firstLineChars="200"/>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 xml:space="preserve">收件人： </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 xml:space="preserve">      联系电话：</w:t>
      </w:r>
      <w:r>
        <w:rPr>
          <w:rFonts w:hint="eastAsia" w:ascii="仿宋_GB2312" w:hAnsi="宋体" w:eastAsia="仿宋_GB2312" w:cs="宋体"/>
          <w:color w:val="auto"/>
          <w:sz w:val="24"/>
          <w:highlight w:val="none"/>
          <w:lang w:val="en-US" w:eastAsia="zh-CN"/>
        </w:rPr>
        <w:t xml:space="preserve"> </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电子邮箱：</w:t>
      </w:r>
    </w:p>
    <w:p>
      <w:pPr>
        <w:adjustRightInd w:val="0"/>
        <w:snapToGrid w:val="0"/>
        <w:spacing w:line="520" w:lineRule="exact"/>
        <w:ind w:firstLine="480" w:firstLineChars="200"/>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乙方确认的通讯送达地址：</w:t>
      </w:r>
      <w:r>
        <w:rPr>
          <w:rFonts w:hint="eastAsia" w:ascii="仿宋_GB2312" w:hAnsi="宋体" w:eastAsia="仿宋_GB2312" w:cs="宋体"/>
          <w:color w:val="auto"/>
          <w:sz w:val="24"/>
          <w:highlight w:val="none"/>
          <w:lang w:val="en-US" w:eastAsia="zh-CN"/>
        </w:rPr>
        <w:t xml:space="preserve"> </w:t>
      </w:r>
    </w:p>
    <w:p>
      <w:pPr>
        <w:adjustRightInd w:val="0"/>
        <w:snapToGrid w:val="0"/>
        <w:spacing w:line="520" w:lineRule="exact"/>
        <w:ind w:firstLine="480" w:firstLineChars="200"/>
        <w:jc w:val="left"/>
        <w:rPr>
          <w:rFonts w:hint="eastAsia"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rPr>
        <w:t>收件人：</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rPr>
        <w:t>联系电话：</w:t>
      </w:r>
      <w:r>
        <w:rPr>
          <w:rFonts w:hint="eastAsia" w:ascii="仿宋_GB2312" w:hAnsi="宋体" w:eastAsia="仿宋_GB2312" w:cs="宋体"/>
          <w:color w:val="auto"/>
          <w:sz w:val="24"/>
          <w:highlight w:val="none"/>
          <w:lang w:val="en-US" w:eastAsia="zh-CN"/>
        </w:rPr>
        <w:t xml:space="preserve"> </w:t>
      </w:r>
    </w:p>
    <w:p>
      <w:pPr>
        <w:adjustRightInd w:val="0"/>
        <w:snapToGrid w:val="0"/>
        <w:spacing w:line="520" w:lineRule="exact"/>
        <w:ind w:firstLine="480" w:firstLineChars="200"/>
        <w:rPr>
          <w:rFonts w:hint="eastAsia"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rPr>
        <w:t>电子邮箱：</w:t>
      </w:r>
      <w:r>
        <w:rPr>
          <w:rFonts w:hint="eastAsia" w:ascii="仿宋_GB2312" w:hAnsi="宋体" w:eastAsia="仿宋_GB2312" w:cs="宋体"/>
          <w:color w:val="auto"/>
          <w:sz w:val="24"/>
          <w:highlight w:val="none"/>
          <w:lang w:val="en-US" w:eastAsia="zh-CN"/>
        </w:rPr>
        <w:t xml:space="preserve"> </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ascii="微软雅黑" w:hAnsi="微软雅黑" w:eastAsia="微软雅黑" w:cs="宋体"/>
          <w:color w:val="auto"/>
          <w:kern w:val="0"/>
          <w:sz w:val="28"/>
          <w:szCs w:val="28"/>
          <w:highlight w:val="none"/>
        </w:rPr>
      </w:pPr>
      <w:r>
        <w:rPr>
          <w:rFonts w:hint="eastAsia" w:ascii="仿宋_GB2312" w:hAnsi="宋体" w:eastAsia="仿宋_GB2312" w:cs="宋体"/>
          <w:b/>
          <w:bCs/>
          <w:color w:val="auto"/>
          <w:sz w:val="24"/>
          <w:highlight w:val="none"/>
        </w:rPr>
        <w:t>第十一条   争议的解决</w:t>
      </w:r>
    </w:p>
    <w:p>
      <w:pPr>
        <w:widowControl/>
        <w:adjustRightInd w:val="0"/>
        <w:snapToGrid w:val="0"/>
        <w:spacing w:line="520" w:lineRule="exact"/>
        <w:ind w:firstLine="48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11.2本合同中任何条款的无效不应影响本合同其他条款的效力，在解决争议的过程中，各方应按本合同所有其他有效条款的约定继续履行本合同。</w:t>
      </w:r>
    </w:p>
    <w:p>
      <w:pPr>
        <w:widowControl/>
        <w:adjustRightInd w:val="0"/>
        <w:snapToGrid w:val="0"/>
        <w:spacing w:line="520" w:lineRule="exact"/>
        <w:ind w:firstLine="482"/>
        <w:rPr>
          <w:rFonts w:hint="eastAsia" w:ascii="仿宋_GB2312" w:hAnsi="宋体" w:eastAsia="仿宋_GB2312" w:cs="宋体"/>
          <w:b/>
          <w:bCs/>
          <w:color w:val="auto"/>
          <w:sz w:val="24"/>
          <w:highlight w:val="none"/>
        </w:rPr>
      </w:pPr>
      <w:r>
        <w:rPr>
          <w:rFonts w:hint="eastAsia" w:ascii="仿宋_GB2312" w:hAnsi="宋体" w:eastAsia="仿宋_GB2312" w:cs="宋体"/>
          <w:b/>
          <w:bCs/>
          <w:color w:val="auto"/>
          <w:sz w:val="24"/>
          <w:highlight w:val="none"/>
        </w:rPr>
        <w:t xml:space="preserve">第十二条 其他事项  </w:t>
      </w:r>
    </w:p>
    <w:p>
      <w:pPr>
        <w:widowControl/>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12.1本合同生效的10日前，乙方应向甲方提供下列证明文件或材料；</w:t>
      </w:r>
    </w:p>
    <w:p>
      <w:pPr>
        <w:widowControl/>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12.1.1营业执照复印件、法定代表人身份证明文件，如为加盟项目，还须提供特许加盟的授权委托证明；</w:t>
      </w:r>
    </w:p>
    <w:p>
      <w:pPr>
        <w:widowControl/>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12.1.2签字人如为代理人，本合同签字人的授权委托书；</w:t>
      </w:r>
    </w:p>
    <w:p>
      <w:pPr>
        <w:widowControl/>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12.1.3甲方要求提供的其它资料；</w:t>
      </w:r>
    </w:p>
    <w:p>
      <w:pPr>
        <w:widowControl/>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12.2双方一致同意不向传播媒介或公众或第三方透露本合同的内容。</w:t>
      </w:r>
    </w:p>
    <w:p>
      <w:pPr>
        <w:widowControl/>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12.3服务期内，甲方需要增加电梯功能和改变性能时，或因国家颁布或修订有关标准而需对电梯零部件进行维修、改造时，双方应再另行签订补充协议后实施。</w:t>
      </w:r>
    </w:p>
    <w:p>
      <w:pPr>
        <w:widowControl/>
        <w:adjustRightInd w:val="0"/>
        <w:snapToGrid w:val="0"/>
        <w:spacing w:line="520" w:lineRule="exact"/>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12.4本合同经甲、乙双方法定代表人或授权代表签字（加注合同签订日期）、盖章后生效。</w:t>
      </w:r>
    </w:p>
    <w:p>
      <w:pPr>
        <w:widowControl/>
        <w:adjustRightInd w:val="0"/>
        <w:snapToGrid w:val="0"/>
        <w:spacing w:line="520" w:lineRule="exact"/>
        <w:ind w:left="420" w:leftChars="200"/>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12.5本合同正本一式【</w:t>
      </w:r>
      <w:r>
        <w:rPr>
          <w:rFonts w:hint="eastAsia" w:ascii="仿宋_GB2312" w:hAnsi="宋体" w:eastAsia="仿宋_GB2312" w:cs="宋体"/>
          <w:color w:val="auto"/>
          <w:sz w:val="24"/>
          <w:highlight w:val="none"/>
          <w:lang w:eastAsia="zh-CN"/>
        </w:rPr>
        <w:t>伍</w:t>
      </w:r>
      <w:r>
        <w:rPr>
          <w:rFonts w:hint="eastAsia" w:ascii="仿宋_GB2312" w:hAnsi="宋体" w:eastAsia="仿宋_GB2312" w:cs="宋体"/>
          <w:color w:val="auto"/>
          <w:sz w:val="24"/>
          <w:highlight w:val="none"/>
        </w:rPr>
        <w:t>】份，甲方执【</w:t>
      </w:r>
      <w:r>
        <w:rPr>
          <w:rFonts w:hint="eastAsia" w:ascii="仿宋_GB2312" w:hAnsi="宋体" w:eastAsia="仿宋_GB2312" w:cs="宋体"/>
          <w:color w:val="auto"/>
          <w:sz w:val="24"/>
          <w:highlight w:val="none"/>
          <w:lang w:eastAsia="zh-CN"/>
        </w:rPr>
        <w:t>叁</w:t>
      </w:r>
      <w:r>
        <w:rPr>
          <w:rFonts w:hint="eastAsia" w:ascii="仿宋_GB2312" w:hAnsi="宋体" w:eastAsia="仿宋_GB2312" w:cs="宋体"/>
          <w:color w:val="auto"/>
          <w:sz w:val="24"/>
          <w:highlight w:val="none"/>
        </w:rPr>
        <w:t>】份,乙方执【贰】份；均具有同等法律效力。</w:t>
      </w:r>
      <w:r>
        <w:rPr>
          <w:rFonts w:hint="eastAsia" w:ascii="仿宋_GB2312" w:eastAsia="仿宋_GB2312"/>
          <w:color w:val="auto"/>
          <w:sz w:val="24"/>
          <w:highlight w:val="none"/>
        </w:rPr>
        <w:t>12.6该项目谈判文件具有本合同同等法律效力。</w:t>
      </w:r>
    </w:p>
    <w:p>
      <w:pPr>
        <w:pStyle w:val="65"/>
        <w:rPr>
          <w:color w:val="auto"/>
          <w:highlight w:val="none"/>
        </w:rPr>
      </w:pPr>
    </w:p>
    <w:p>
      <w:pPr>
        <w:spacing w:line="500" w:lineRule="exact"/>
        <w:rPr>
          <w:rFonts w:hint="default" w:ascii="仿宋_GB2312" w:eastAsia="仿宋_GB2312" w:cs="宋体" w:hAnsiTheme="minorEastAsia"/>
          <w:b/>
          <w:color w:val="auto"/>
          <w:kern w:val="0"/>
          <w:sz w:val="24"/>
          <w:highlight w:val="none"/>
          <w:u w:val="single"/>
          <w:lang w:val="en-US" w:eastAsia="zh-CN"/>
        </w:rPr>
      </w:pPr>
      <w:r>
        <w:rPr>
          <w:rFonts w:hint="eastAsia" w:ascii="仿宋_GB2312" w:hAnsi="宋体" w:eastAsia="仿宋_GB2312" w:cs="宋体"/>
          <w:b/>
          <w:color w:val="auto"/>
          <w:kern w:val="0"/>
          <w:sz w:val="24"/>
          <w:highlight w:val="none"/>
          <w:u w:val="single"/>
        </w:rPr>
        <w:t>合肥政文</w:t>
      </w:r>
      <w:r>
        <w:rPr>
          <w:rFonts w:ascii="仿宋_GB2312" w:hAnsi="宋体" w:eastAsia="仿宋_GB2312" w:cs="宋体"/>
          <w:b/>
          <w:color w:val="auto"/>
          <w:kern w:val="0"/>
          <w:sz w:val="24"/>
          <w:highlight w:val="none"/>
          <w:u w:val="single"/>
        </w:rPr>
        <w:t>国际会展管理有限公司</w:t>
      </w:r>
      <w:r>
        <w:rPr>
          <w:rFonts w:hint="eastAsia" w:ascii="仿宋_GB2312" w:hAnsi="宋体" w:eastAsia="仿宋_GB2312" w:cs="宋体"/>
          <w:b/>
          <w:color w:val="auto"/>
          <w:kern w:val="0"/>
          <w:sz w:val="24"/>
          <w:highlight w:val="none"/>
        </w:rPr>
        <w:t xml:space="preserve"> </w:t>
      </w:r>
      <w:r>
        <w:rPr>
          <w:rFonts w:ascii="仿宋_GB2312" w:hAnsi="宋体" w:eastAsia="仿宋_GB2312" w:cs="宋体"/>
          <w:b/>
          <w:color w:val="auto"/>
          <w:kern w:val="0"/>
          <w:sz w:val="24"/>
          <w:highlight w:val="none"/>
        </w:rPr>
        <w:t xml:space="preserve">             </w:t>
      </w:r>
      <w:r>
        <w:rPr>
          <w:rFonts w:hint="eastAsia" w:ascii="仿宋_GB2312" w:eastAsia="仿宋_GB2312" w:cs="宋体" w:hAnsiTheme="minorEastAsia"/>
          <w:b/>
          <w:color w:val="auto"/>
          <w:kern w:val="0"/>
          <w:sz w:val="24"/>
          <w:highlight w:val="none"/>
          <w:u w:val="single"/>
          <w:lang w:val="en-US" w:eastAsia="zh-CN"/>
        </w:rPr>
        <w:t xml:space="preserve">                            </w:t>
      </w:r>
    </w:p>
    <w:p>
      <w:pPr>
        <w:spacing w:line="500" w:lineRule="exact"/>
        <w:rPr>
          <w:rFonts w:ascii="仿宋_GB2312" w:eastAsia="仿宋_GB2312" w:hAnsiTheme="minorEastAsia"/>
          <w:b/>
          <w:color w:val="auto"/>
          <w:sz w:val="24"/>
          <w:highlight w:val="none"/>
        </w:rPr>
      </w:pPr>
      <w:r>
        <w:rPr>
          <w:rFonts w:hint="eastAsia" w:ascii="仿宋_GB2312" w:eastAsia="仿宋_GB2312" w:hAnsiTheme="minorEastAsia"/>
          <w:b/>
          <w:color w:val="auto"/>
          <w:sz w:val="24"/>
          <w:highlight w:val="none"/>
        </w:rPr>
        <w:t xml:space="preserve">甲方：（签章）                            </w:t>
      </w:r>
      <w:r>
        <w:rPr>
          <w:rFonts w:ascii="仿宋_GB2312" w:eastAsia="仿宋_GB2312" w:hAnsiTheme="minorEastAsia"/>
          <w:b/>
          <w:color w:val="auto"/>
          <w:sz w:val="24"/>
          <w:highlight w:val="none"/>
        </w:rPr>
        <w:t xml:space="preserve"> </w:t>
      </w:r>
      <w:r>
        <w:rPr>
          <w:rFonts w:hint="eastAsia" w:ascii="仿宋_GB2312" w:eastAsia="仿宋_GB2312" w:hAnsiTheme="minorEastAsia"/>
          <w:b/>
          <w:color w:val="auto"/>
          <w:sz w:val="24"/>
          <w:highlight w:val="none"/>
        </w:rPr>
        <w:t>乙方：（签章）</w:t>
      </w:r>
    </w:p>
    <w:p>
      <w:pPr>
        <w:spacing w:line="500" w:lineRule="exact"/>
        <w:rPr>
          <w:rFonts w:hint="eastAsia" w:ascii="仿宋_GB2312" w:eastAsia="仿宋_GB2312" w:cs="Times New Roman" w:hAnsiTheme="minorEastAsia"/>
          <w:color w:val="auto"/>
          <w:sz w:val="24"/>
          <w:highlight w:val="none"/>
          <w:lang w:eastAsia="zh-CN"/>
        </w:rPr>
      </w:pPr>
      <w:r>
        <w:rPr>
          <w:rFonts w:hint="eastAsia" w:ascii="仿宋_GB2312" w:eastAsia="仿宋_GB2312" w:cs="仿宋_GB2312" w:hAnsiTheme="minorEastAsia"/>
          <w:color w:val="auto"/>
          <w:kern w:val="0"/>
          <w:sz w:val="24"/>
          <w:highlight w:val="none"/>
        </w:rPr>
        <w:t>营业执照号码：                            营业执照号码：</w:t>
      </w:r>
      <w:r>
        <w:rPr>
          <w:rFonts w:hint="eastAsia" w:ascii="仿宋_GB2312" w:eastAsia="仿宋_GB2312" w:cs="仿宋_GB2312" w:hAnsiTheme="minorEastAsia"/>
          <w:color w:val="auto"/>
          <w:kern w:val="0"/>
          <w:sz w:val="24"/>
          <w:highlight w:val="none"/>
          <w:lang w:val="en-US" w:eastAsia="zh-CN"/>
        </w:rPr>
        <w:t xml:space="preserve"> </w:t>
      </w:r>
    </w:p>
    <w:p>
      <w:pPr>
        <w:spacing w:line="500" w:lineRule="exact"/>
        <w:ind w:firstLine="5040" w:firstLineChars="2100"/>
        <w:jc w:val="left"/>
        <w:rPr>
          <w:rFonts w:hint="eastAsia" w:ascii="仿宋_GB2312" w:eastAsia="仿宋_GB2312" w:cs="仿宋_GB2312" w:hAnsiTheme="minorEastAsia"/>
          <w:color w:val="auto"/>
          <w:kern w:val="0"/>
          <w:sz w:val="24"/>
          <w:highlight w:val="none"/>
          <w:lang w:val="en-US" w:eastAsia="zh-CN"/>
        </w:rPr>
      </w:pPr>
      <w:r>
        <w:rPr>
          <w:rFonts w:hint="eastAsia" w:ascii="仿宋_GB2312" w:eastAsia="仿宋_GB2312" w:cs="仿宋_GB2312" w:hAnsiTheme="minorEastAsia"/>
          <w:color w:val="auto"/>
          <w:kern w:val="0"/>
          <w:sz w:val="24"/>
          <w:highlight w:val="none"/>
        </w:rPr>
        <w:t xml:space="preserve">                                          </w:t>
      </w:r>
      <w:r>
        <w:rPr>
          <w:rFonts w:hint="eastAsia" w:ascii="仿宋_GB2312" w:eastAsia="仿宋_GB2312" w:cs="仿宋_GB2312" w:hAnsiTheme="minorEastAsia"/>
          <w:color w:val="auto"/>
          <w:kern w:val="0"/>
          <w:sz w:val="24"/>
          <w:highlight w:val="none"/>
          <w:lang w:val="en-US" w:eastAsia="zh-CN"/>
        </w:rPr>
        <w:t xml:space="preserve"> </w:t>
      </w:r>
    </w:p>
    <w:p>
      <w:pPr>
        <w:spacing w:line="500" w:lineRule="exact"/>
        <w:jc w:val="left"/>
        <w:rPr>
          <w:rFonts w:hint="eastAsia" w:eastAsia="宋体"/>
          <w:color w:val="auto"/>
          <w:highlight w:val="none"/>
          <w:lang w:eastAsia="zh-CN"/>
        </w:rPr>
      </w:pPr>
      <w:r>
        <w:rPr>
          <w:rFonts w:hint="eastAsia" w:ascii="仿宋_GB2312" w:eastAsia="仿宋_GB2312" w:cs="仿宋_GB2312" w:hAnsiTheme="minorEastAsia"/>
          <w:color w:val="auto"/>
          <w:kern w:val="0"/>
          <w:sz w:val="24"/>
          <w:highlight w:val="none"/>
        </w:rPr>
        <w:t xml:space="preserve">法定代表人或委托代理人：                  法定代表人或委托代理人：                           </w:t>
      </w:r>
    </w:p>
    <w:p>
      <w:pPr>
        <w:pStyle w:val="2"/>
        <w:rPr>
          <w:rFonts w:hint="eastAsia"/>
          <w:color w:val="auto"/>
          <w:highlight w:val="none"/>
        </w:rPr>
      </w:pPr>
    </w:p>
    <w:p>
      <w:pPr>
        <w:spacing w:line="500" w:lineRule="exact"/>
        <w:ind w:left="5033" w:leftChars="1368" w:hanging="2160" w:hangingChars="900"/>
        <w:rPr>
          <w:rFonts w:ascii="仿宋_GB2312" w:eastAsia="仿宋_GB2312" w:cs="仿宋_GB2312" w:hAnsiTheme="minorEastAsia"/>
          <w:color w:val="auto"/>
          <w:kern w:val="0"/>
          <w:sz w:val="24"/>
          <w:highlight w:val="none"/>
        </w:rPr>
      </w:pPr>
    </w:p>
    <w:p>
      <w:pPr>
        <w:spacing w:line="500" w:lineRule="exact"/>
        <w:rPr>
          <w:rFonts w:hint="eastAsia" w:ascii="仿宋_GB2312" w:eastAsia="仿宋_GB2312" w:cs="仿宋_GB2312" w:hAnsiTheme="minorEastAsia"/>
          <w:color w:val="auto"/>
          <w:kern w:val="0"/>
          <w:sz w:val="24"/>
          <w:highlight w:val="none"/>
          <w:lang w:eastAsia="zh-CN"/>
        </w:rPr>
      </w:pPr>
      <w:r>
        <w:rPr>
          <w:rFonts w:hint="eastAsia" w:ascii="仿宋_GB2312" w:eastAsia="仿宋_GB2312" w:cs="仿宋_GB2312" w:hAnsiTheme="minorEastAsia"/>
          <w:color w:val="auto"/>
          <w:kern w:val="0"/>
          <w:sz w:val="24"/>
          <w:highlight w:val="none"/>
        </w:rPr>
        <w:t>住所：                                    住所：</w:t>
      </w:r>
      <w:r>
        <w:rPr>
          <w:rFonts w:hint="eastAsia" w:ascii="仿宋_GB2312" w:eastAsia="仿宋_GB2312" w:cs="仿宋_GB2312" w:hAnsiTheme="minorEastAsia"/>
          <w:color w:val="auto"/>
          <w:sz w:val="24"/>
          <w:highlight w:val="none"/>
          <w:lang w:val="en-US" w:eastAsia="zh-CN"/>
        </w:rPr>
        <w:t xml:space="preserve"> </w:t>
      </w:r>
    </w:p>
    <w:p>
      <w:pPr>
        <w:spacing w:line="500" w:lineRule="exact"/>
        <w:rPr>
          <w:rFonts w:hint="eastAsia" w:ascii="仿宋_GB2312" w:eastAsia="仿宋_GB2312" w:cs="仿宋_GB2312" w:hAnsiTheme="minorEastAsia"/>
          <w:color w:val="auto"/>
          <w:kern w:val="0"/>
          <w:sz w:val="24"/>
          <w:highlight w:val="none"/>
          <w:lang w:val="en-US" w:eastAsia="zh-CN"/>
        </w:rPr>
      </w:pPr>
      <w:r>
        <w:rPr>
          <w:rFonts w:hint="eastAsia" w:ascii="仿宋_GB2312" w:eastAsia="仿宋_GB2312" w:cs="仿宋_GB2312" w:hAnsiTheme="minorEastAsia"/>
          <w:color w:val="auto"/>
          <w:kern w:val="0"/>
          <w:sz w:val="24"/>
          <w:highlight w:val="none"/>
        </w:rPr>
        <w:t>联系电话：                                联系电话：</w:t>
      </w:r>
      <w:r>
        <w:rPr>
          <w:rFonts w:hint="eastAsia" w:ascii="仿宋_GB2312" w:eastAsia="仿宋_GB2312" w:cs="仿宋_GB2312" w:hAnsiTheme="minorEastAsia"/>
          <w:color w:val="auto"/>
          <w:kern w:val="0"/>
          <w:sz w:val="24"/>
          <w:highlight w:val="none"/>
          <w:lang w:val="en-US" w:eastAsia="zh-CN"/>
        </w:rPr>
        <w:t xml:space="preserve"> </w:t>
      </w:r>
    </w:p>
    <w:p>
      <w:pPr>
        <w:spacing w:line="500" w:lineRule="exact"/>
        <w:rPr>
          <w:rFonts w:ascii="仿宋_GB2312" w:eastAsia="仿宋_GB2312" w:cs="Times New Roman" w:hAnsiTheme="minorEastAsia"/>
          <w:color w:val="auto"/>
          <w:kern w:val="0"/>
          <w:sz w:val="24"/>
          <w:highlight w:val="none"/>
        </w:rPr>
      </w:pPr>
      <w:r>
        <w:rPr>
          <w:rFonts w:hint="eastAsia" w:ascii="仿宋_GB2312" w:eastAsia="仿宋_GB2312" w:cs="仿宋_GB2312" w:hAnsiTheme="minorEastAsia"/>
          <w:color w:val="auto"/>
          <w:kern w:val="0"/>
          <w:sz w:val="24"/>
          <w:highlight w:val="none"/>
        </w:rPr>
        <w:t xml:space="preserve">电梯安全管理员及证号：                               </w:t>
      </w:r>
    </w:p>
    <w:p>
      <w:pPr>
        <w:spacing w:line="500" w:lineRule="exact"/>
        <w:rPr>
          <w:rFonts w:hint="eastAsia" w:ascii="仿宋_GB2312" w:eastAsia="仿宋_GB2312" w:cs="Times New Roman" w:hAnsiTheme="minorEastAsia"/>
          <w:color w:val="auto"/>
          <w:kern w:val="0"/>
          <w:sz w:val="24"/>
          <w:highlight w:val="none"/>
          <w:lang w:val="en-US" w:eastAsia="zh-CN"/>
        </w:rPr>
      </w:pPr>
      <w:r>
        <w:rPr>
          <w:rFonts w:hint="eastAsia" w:ascii="仿宋_GB2312" w:eastAsia="仿宋_GB2312" w:cs="仿宋_GB2312" w:hAnsiTheme="minorEastAsia"/>
          <w:color w:val="auto"/>
          <w:kern w:val="0"/>
          <w:sz w:val="24"/>
          <w:highlight w:val="none"/>
        </w:rPr>
        <w:t>传真电话：                                传真电话：</w:t>
      </w:r>
      <w:r>
        <w:rPr>
          <w:rFonts w:hint="eastAsia" w:ascii="仿宋_GB2312" w:eastAsia="仿宋_GB2312" w:cs="仿宋_GB2312" w:hAnsiTheme="minorEastAsia"/>
          <w:color w:val="auto"/>
          <w:kern w:val="0"/>
          <w:sz w:val="24"/>
          <w:highlight w:val="none"/>
          <w:lang w:val="en-US" w:eastAsia="zh-CN"/>
        </w:rPr>
        <w:t xml:space="preserve"> </w:t>
      </w:r>
    </w:p>
    <w:p>
      <w:pPr>
        <w:spacing w:line="500" w:lineRule="exact"/>
        <w:ind w:left="6480" w:hanging="6480" w:hangingChars="2700"/>
        <w:rPr>
          <w:rFonts w:hint="eastAsia" w:ascii="仿宋_GB2312" w:eastAsia="仿宋_GB2312" w:cs="Times New Roman" w:hAnsiTheme="minorEastAsia"/>
          <w:color w:val="auto"/>
          <w:kern w:val="0"/>
          <w:sz w:val="24"/>
          <w:highlight w:val="none"/>
          <w:lang w:eastAsia="zh-CN"/>
        </w:rPr>
      </w:pPr>
      <w:r>
        <w:rPr>
          <w:rFonts w:hint="eastAsia" w:ascii="仿宋_GB2312" w:eastAsia="仿宋_GB2312" w:cs="仿宋_GB2312" w:hAnsiTheme="minorEastAsia"/>
          <w:color w:val="auto"/>
          <w:kern w:val="0"/>
          <w:sz w:val="24"/>
          <w:highlight w:val="none"/>
        </w:rPr>
        <w:t xml:space="preserve">开户银行：                              </w:t>
      </w:r>
      <w:r>
        <w:rPr>
          <w:rFonts w:hint="eastAsia" w:ascii="仿宋_GB2312" w:eastAsia="仿宋_GB2312" w:cs="仿宋_GB2312" w:hAnsiTheme="minorEastAsia"/>
          <w:color w:val="auto"/>
          <w:kern w:val="0"/>
          <w:sz w:val="24"/>
          <w:highlight w:val="none"/>
          <w:lang w:val="en-US" w:eastAsia="zh-CN"/>
        </w:rPr>
        <w:t xml:space="preserve"> </w:t>
      </w:r>
      <w:r>
        <w:rPr>
          <w:rFonts w:hint="eastAsia" w:ascii="仿宋_GB2312" w:eastAsia="仿宋_GB2312" w:cs="仿宋_GB2312" w:hAnsiTheme="minorEastAsia"/>
          <w:color w:val="auto"/>
          <w:kern w:val="0"/>
          <w:sz w:val="24"/>
          <w:highlight w:val="none"/>
        </w:rPr>
        <w:t xml:space="preserve"> 开户银行：</w:t>
      </w:r>
      <w:bookmarkStart w:id="86" w:name="_Hlk52106982"/>
      <w:r>
        <w:rPr>
          <w:rFonts w:hint="eastAsia" w:ascii="仿宋_GB2312" w:eastAsia="仿宋_GB2312" w:cs="仿宋_GB2312" w:hAnsiTheme="minorEastAsia"/>
          <w:color w:val="auto"/>
          <w:kern w:val="0"/>
          <w:sz w:val="24"/>
          <w:highlight w:val="none"/>
          <w:lang w:val="en-US" w:eastAsia="zh-CN"/>
        </w:rPr>
        <w:t xml:space="preserve"> </w:t>
      </w:r>
    </w:p>
    <w:bookmarkEnd w:id="86"/>
    <w:p>
      <w:pPr>
        <w:spacing w:line="500" w:lineRule="exact"/>
        <w:rPr>
          <w:rFonts w:hint="eastAsia" w:ascii="仿宋_GB2312" w:eastAsia="仿宋_GB2312" w:cs="Times New Roman" w:hAnsiTheme="minorEastAsia"/>
          <w:color w:val="auto"/>
          <w:kern w:val="0"/>
          <w:sz w:val="24"/>
          <w:highlight w:val="none"/>
          <w:lang w:eastAsia="zh-CN"/>
        </w:rPr>
      </w:pPr>
      <w:r>
        <w:rPr>
          <w:rFonts w:hint="eastAsia" w:ascii="仿宋_GB2312" w:eastAsia="仿宋_GB2312" w:cs="仿宋_GB2312" w:hAnsiTheme="minorEastAsia"/>
          <w:color w:val="auto"/>
          <w:kern w:val="0"/>
          <w:sz w:val="24"/>
          <w:highlight w:val="none"/>
        </w:rPr>
        <w:t>帐号：                                    帐号：</w:t>
      </w:r>
      <w:r>
        <w:rPr>
          <w:rFonts w:hint="eastAsia" w:ascii="仿宋_GB2312" w:eastAsia="仿宋_GB2312" w:cs="仿宋_GB2312" w:hAnsiTheme="minorEastAsia"/>
          <w:color w:val="auto"/>
          <w:kern w:val="0"/>
          <w:sz w:val="24"/>
          <w:highlight w:val="none"/>
          <w:lang w:val="en-US" w:eastAsia="zh-CN"/>
        </w:rPr>
        <w:t xml:space="preserve"> </w:t>
      </w:r>
    </w:p>
    <w:p>
      <w:pPr>
        <w:spacing w:line="500" w:lineRule="exact"/>
        <w:rPr>
          <w:rFonts w:ascii="仿宋_GB2312" w:eastAsia="仿宋_GB2312" w:cs="宋体" w:hAnsiTheme="minorEastAsia"/>
          <w:color w:val="auto"/>
          <w:kern w:val="0"/>
          <w:sz w:val="24"/>
          <w:highlight w:val="none"/>
        </w:rPr>
        <w:sectPr>
          <w:headerReference r:id="rId5" w:type="default"/>
          <w:footerReference r:id="rId6" w:type="default"/>
          <w:footerReference r:id="rId7" w:type="even"/>
          <w:pgSz w:w="11906" w:h="16838"/>
          <w:pgMar w:top="1440" w:right="1080" w:bottom="1440" w:left="1080" w:header="851" w:footer="788" w:gutter="0"/>
          <w:cols w:space="720" w:num="1"/>
          <w:docGrid w:type="lines" w:linePitch="312" w:charSpace="0"/>
        </w:sectPr>
      </w:pPr>
      <w:r>
        <w:rPr>
          <w:rFonts w:hint="eastAsia" w:ascii="仿宋_GB2312" w:eastAsia="仿宋_GB2312" w:cs="宋体" w:hAnsiTheme="minorEastAsia"/>
          <w:color w:val="auto"/>
          <w:kern w:val="0"/>
          <w:sz w:val="24"/>
          <w:highlight w:val="none"/>
        </w:rPr>
        <w:t xml:space="preserve">         年    月    日                           年    月    日</w:t>
      </w:r>
    </w:p>
    <w:p>
      <w:pPr>
        <w:spacing w:line="500" w:lineRule="exact"/>
        <w:ind w:firstLine="482" w:firstLineChars="200"/>
        <w:rPr>
          <w:rFonts w:ascii="仿宋_GB2312" w:eastAsia="仿宋_GB2312" w:hAnsiTheme="minorEastAsia"/>
          <w:b/>
          <w:color w:val="auto"/>
          <w:sz w:val="24"/>
          <w:highlight w:val="none"/>
        </w:rPr>
      </w:pPr>
      <w:r>
        <w:rPr>
          <w:rFonts w:hint="eastAsia" w:ascii="仿宋_GB2312" w:eastAsia="仿宋_GB2312" w:hAnsiTheme="minorEastAsia"/>
          <w:b/>
          <w:color w:val="auto"/>
          <w:sz w:val="24"/>
          <w:highlight w:val="none"/>
        </w:rPr>
        <w:t xml:space="preserve">附件一： </w:t>
      </w:r>
    </w:p>
    <w:p>
      <w:pPr>
        <w:spacing w:line="500" w:lineRule="exact"/>
        <w:rPr>
          <w:rFonts w:ascii="仿宋_GB2312" w:eastAsia="仿宋_GB2312" w:hAnsiTheme="minorEastAsia"/>
          <w:b/>
          <w:color w:val="auto"/>
          <w:sz w:val="32"/>
          <w:szCs w:val="32"/>
          <w:highlight w:val="none"/>
        </w:rPr>
      </w:pPr>
      <w:r>
        <w:rPr>
          <w:rFonts w:hint="eastAsia" w:ascii="仿宋_GB2312" w:eastAsia="仿宋_GB2312" w:hAnsiTheme="minorEastAsia"/>
          <w:b/>
          <w:color w:val="auto"/>
          <w:sz w:val="32"/>
          <w:szCs w:val="32"/>
          <w:highlight w:val="none"/>
        </w:rPr>
        <w:t xml:space="preserve">                      《设备明细表》</w:t>
      </w:r>
    </w:p>
    <w:p>
      <w:pPr>
        <w:spacing w:line="500" w:lineRule="exact"/>
        <w:jc w:val="left"/>
        <w:rPr>
          <w:rFonts w:hint="eastAsia" w:ascii="仿宋_GB2312" w:hAnsi="宋体" w:eastAsia="仿宋_GB2312" w:cs="宋体"/>
          <w:b/>
          <w:color w:val="auto"/>
          <w:kern w:val="0"/>
          <w:sz w:val="24"/>
          <w:highlight w:val="none"/>
          <w:u w:val="single"/>
          <w:lang w:eastAsia="zh-CN"/>
        </w:rPr>
      </w:pPr>
      <w:r>
        <w:rPr>
          <w:rFonts w:hint="eastAsia" w:ascii="仿宋_GB2312" w:eastAsia="仿宋_GB2312" w:hAnsiTheme="minorEastAsia"/>
          <w:b/>
          <w:bCs/>
          <w:color w:val="auto"/>
          <w:sz w:val="24"/>
          <w:highlight w:val="none"/>
        </w:rPr>
        <w:t>项目名称：</w:t>
      </w:r>
      <w:r>
        <w:rPr>
          <w:rFonts w:ascii="仿宋_GB2312" w:hAnsi="宋体" w:eastAsia="仿宋_GB2312" w:cs="宋体"/>
          <w:b/>
          <w:color w:val="auto"/>
          <w:kern w:val="0"/>
          <w:sz w:val="24"/>
          <w:highlight w:val="none"/>
          <w:u w:val="single"/>
        </w:rPr>
        <w:t>安徽国际会展中心</w:t>
      </w:r>
      <w:r>
        <w:rPr>
          <w:rFonts w:hint="eastAsia" w:ascii="仿宋_GB2312" w:hAnsi="宋体" w:eastAsia="仿宋_GB2312" w:cs="宋体"/>
          <w:b/>
          <w:color w:val="auto"/>
          <w:kern w:val="0"/>
          <w:sz w:val="24"/>
          <w:highlight w:val="none"/>
          <w:u w:val="single"/>
        </w:rPr>
        <w:t>项目</w:t>
      </w:r>
      <w:r>
        <w:rPr>
          <w:rFonts w:hint="eastAsia" w:ascii="仿宋_GB2312" w:hAnsi="宋体" w:eastAsia="仿宋_GB2312" w:cs="宋体"/>
          <w:b/>
          <w:color w:val="auto"/>
          <w:kern w:val="0"/>
          <w:sz w:val="24"/>
          <w:highlight w:val="none"/>
          <w:u w:val="single"/>
          <w:lang w:eastAsia="zh-CN"/>
        </w:rPr>
        <w:t>和</w:t>
      </w:r>
      <w:r>
        <w:rPr>
          <w:rFonts w:ascii="仿宋_GB2312" w:hAnsi="宋体" w:eastAsia="仿宋_GB2312" w:cs="宋体"/>
          <w:b/>
          <w:color w:val="auto"/>
          <w:kern w:val="0"/>
          <w:sz w:val="24"/>
          <w:highlight w:val="none"/>
          <w:u w:val="single"/>
        </w:rPr>
        <w:t>合肥滨湖国际会展中心</w:t>
      </w:r>
      <w:r>
        <w:rPr>
          <w:rFonts w:hint="eastAsia" w:ascii="仿宋_GB2312" w:hAnsi="宋体" w:eastAsia="仿宋_GB2312" w:cs="宋体"/>
          <w:b/>
          <w:color w:val="auto"/>
          <w:kern w:val="0"/>
          <w:sz w:val="24"/>
          <w:highlight w:val="none"/>
          <w:u w:val="single"/>
        </w:rPr>
        <w:t>项目</w:t>
      </w:r>
      <w:r>
        <w:rPr>
          <w:rFonts w:hint="eastAsia" w:ascii="仿宋_GB2312" w:hAnsi="宋体" w:eastAsia="仿宋_GB2312" w:cs="宋体"/>
          <w:b/>
          <w:color w:val="auto"/>
          <w:kern w:val="0"/>
          <w:sz w:val="24"/>
          <w:highlight w:val="none"/>
          <w:u w:val="single"/>
          <w:lang w:eastAsia="zh-CN"/>
        </w:rPr>
        <w:t>电梯明细</w:t>
      </w:r>
    </w:p>
    <w:tbl>
      <w:tblPr>
        <w:tblStyle w:val="66"/>
        <w:tblpPr w:leftFromText="180" w:rightFromText="180" w:vertAnchor="text" w:horzAnchor="margin" w:tblpXSpec="center" w:tblpY="216"/>
        <w:tblW w:w="11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68"/>
        <w:gridCol w:w="1559"/>
        <w:gridCol w:w="1276"/>
        <w:gridCol w:w="1985"/>
        <w:gridCol w:w="12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271" w:type="dxa"/>
            <w:vAlign w:val="center"/>
          </w:tcPr>
          <w:p>
            <w:pPr>
              <w:spacing w:line="720" w:lineRule="auto"/>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序号</w:t>
            </w:r>
          </w:p>
        </w:tc>
        <w:tc>
          <w:tcPr>
            <w:tcW w:w="2268" w:type="dxa"/>
            <w:vAlign w:val="center"/>
          </w:tcPr>
          <w:p>
            <w:pPr>
              <w:spacing w:line="720" w:lineRule="auto"/>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梯号</w:t>
            </w:r>
          </w:p>
        </w:tc>
        <w:tc>
          <w:tcPr>
            <w:tcW w:w="1559" w:type="dxa"/>
            <w:vAlign w:val="center"/>
          </w:tcPr>
          <w:p>
            <w:pPr>
              <w:spacing w:line="360" w:lineRule="auto"/>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合同有效期</w:t>
            </w:r>
          </w:p>
        </w:tc>
        <w:tc>
          <w:tcPr>
            <w:tcW w:w="1276" w:type="dxa"/>
            <w:vAlign w:val="center"/>
          </w:tcPr>
          <w:p>
            <w:pPr>
              <w:spacing w:line="360" w:lineRule="auto"/>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制造商</w:t>
            </w:r>
          </w:p>
        </w:tc>
        <w:tc>
          <w:tcPr>
            <w:tcW w:w="1985" w:type="dxa"/>
            <w:vAlign w:val="center"/>
          </w:tcPr>
          <w:p>
            <w:pPr>
              <w:spacing w:line="360" w:lineRule="auto"/>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（层/站/门）</w:t>
            </w:r>
          </w:p>
          <w:p>
            <w:pPr>
              <w:spacing w:line="360" w:lineRule="auto"/>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（提升高度/角度）</w:t>
            </w:r>
          </w:p>
        </w:tc>
        <w:tc>
          <w:tcPr>
            <w:tcW w:w="1275" w:type="dxa"/>
            <w:vAlign w:val="center"/>
          </w:tcPr>
          <w:p>
            <w:pPr>
              <w:spacing w:line="720" w:lineRule="auto"/>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安装地点</w:t>
            </w:r>
          </w:p>
        </w:tc>
        <w:tc>
          <w:tcPr>
            <w:tcW w:w="1418" w:type="dxa"/>
          </w:tcPr>
          <w:p>
            <w:pPr>
              <w:spacing w:line="360" w:lineRule="auto"/>
              <w:jc w:val="center"/>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保养金额</w:t>
            </w:r>
          </w:p>
          <w:p>
            <w:pPr>
              <w:spacing w:line="360" w:lineRule="auto"/>
              <w:rPr>
                <w:rFonts w:ascii="思源黑体 Regular" w:hAnsi="思源黑体 Regular" w:eastAsia="思源黑体 Regular"/>
                <w:b/>
                <w:color w:val="auto"/>
                <w:szCs w:val="21"/>
                <w:highlight w:val="none"/>
              </w:rPr>
            </w:pPr>
            <w:r>
              <w:rPr>
                <w:rFonts w:hint="eastAsia" w:ascii="思源黑体 Regular" w:hAnsi="思源黑体 Regular" w:eastAsia="思源黑体 Regular"/>
                <w:b/>
                <w:color w:val="auto"/>
                <w:szCs w:val="21"/>
                <w:highlight w:val="none"/>
              </w:rPr>
              <w:t>（元/月/台）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1" w:type="dxa"/>
            <w:vAlign w:val="top"/>
          </w:tcPr>
          <w:p>
            <w:pPr>
              <w:spacing w:line="360" w:lineRule="auto"/>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L</w:t>
            </w:r>
            <w:r>
              <w:rPr>
                <w:rFonts w:hint="eastAsia" w:ascii="思源黑体 Regular" w:hAnsi="思源黑体 Regular" w:eastAsia="思源黑体 Regular"/>
                <w:color w:val="auto"/>
                <w:szCs w:val="21"/>
                <w:highlight w:val="none"/>
              </w:rPr>
              <w:t>1</w:t>
            </w:r>
            <w:r>
              <w:rPr>
                <w:rFonts w:ascii="思源黑体 Regular" w:hAnsi="思源黑体 Regular" w:eastAsia="思源黑体 Regular"/>
                <w:color w:val="auto"/>
                <w:szCs w:val="21"/>
                <w:highlight w:val="none"/>
              </w:rPr>
              <w:t>-L2(A)</w:t>
            </w:r>
          </w:p>
        </w:tc>
        <w:tc>
          <w:tcPr>
            <w:tcW w:w="2268"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102091001</w:t>
            </w:r>
            <w:r>
              <w:rPr>
                <w:rFonts w:ascii="思源黑体 Regular" w:hAnsi="思源黑体 Regular" w:eastAsia="思源黑体 Regular"/>
                <w:color w:val="auto"/>
                <w:szCs w:val="21"/>
                <w:highlight w:val="none"/>
              </w:rPr>
              <w:t>-002</w:t>
            </w:r>
          </w:p>
        </w:tc>
        <w:tc>
          <w:tcPr>
            <w:tcW w:w="1559" w:type="dxa"/>
            <w:vMerge w:val="restart"/>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自20</w:t>
            </w:r>
            <w:r>
              <w:rPr>
                <w:rFonts w:ascii="思源黑体 Regular" w:hAnsi="思源黑体 Regular" w:eastAsia="思源黑体 Regular"/>
                <w:color w:val="auto"/>
                <w:szCs w:val="21"/>
                <w:highlight w:val="none"/>
              </w:rPr>
              <w:t>22/</w:t>
            </w:r>
            <w:r>
              <w:rPr>
                <w:rFonts w:hint="eastAsia" w:ascii="思源黑体 Regular" w:hAnsi="思源黑体 Regular" w:eastAsia="思源黑体 Regular"/>
                <w:color w:val="auto"/>
                <w:szCs w:val="21"/>
                <w:highlight w:val="none"/>
              </w:rPr>
              <w:t>01/01</w:t>
            </w:r>
          </w:p>
          <w:p>
            <w:pPr>
              <w:spacing w:line="360" w:lineRule="auto"/>
              <w:rPr>
                <w:rFonts w:hint="eastAsia"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至20</w:t>
            </w:r>
            <w:r>
              <w:rPr>
                <w:rFonts w:ascii="思源黑体 Regular" w:hAnsi="思源黑体 Regular" w:eastAsia="思源黑体 Regular"/>
                <w:color w:val="auto"/>
                <w:szCs w:val="21"/>
                <w:highlight w:val="none"/>
              </w:rPr>
              <w:t>2</w:t>
            </w:r>
            <w:r>
              <w:rPr>
                <w:rFonts w:hint="eastAsia" w:ascii="思源黑体 Regular" w:hAnsi="思源黑体 Regular" w:eastAsia="思源黑体 Regular"/>
                <w:color w:val="auto"/>
                <w:szCs w:val="21"/>
                <w:highlight w:val="none"/>
                <w:lang w:val="en-US" w:eastAsia="zh-CN"/>
              </w:rPr>
              <w:t>2</w:t>
            </w:r>
            <w:r>
              <w:rPr>
                <w:rFonts w:ascii="思源黑体 Regular" w:hAnsi="思源黑体 Regular" w:eastAsia="思源黑体 Regular"/>
                <w:color w:val="auto"/>
                <w:szCs w:val="21"/>
                <w:highlight w:val="none"/>
              </w:rPr>
              <w:t>/12/3</w:t>
            </w:r>
            <w:r>
              <w:rPr>
                <w:rFonts w:hint="eastAsia" w:ascii="思源黑体 Regular" w:hAnsi="思源黑体 Regular" w:eastAsia="思源黑体 Regular"/>
                <w:color w:val="auto"/>
                <w:szCs w:val="21"/>
                <w:highlight w:val="none"/>
              </w:rPr>
              <w:t>1</w:t>
            </w:r>
          </w:p>
          <w:p>
            <w:pPr>
              <w:spacing w:line="360" w:lineRule="auto"/>
              <w:rPr>
                <w:rFonts w:ascii="思源黑体 Regular" w:hAnsi="思源黑体 Regular" w:eastAsia="思源黑体 Regular"/>
                <w:color w:val="auto"/>
                <w:szCs w:val="21"/>
                <w:highlight w:val="none"/>
              </w:rPr>
            </w:pPr>
          </w:p>
        </w:tc>
        <w:tc>
          <w:tcPr>
            <w:tcW w:w="1276" w:type="dxa"/>
            <w:vMerge w:val="restart"/>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T</w:t>
            </w:r>
            <w:r>
              <w:rPr>
                <w:rFonts w:ascii="思源黑体 Regular" w:hAnsi="思源黑体 Regular" w:eastAsia="思源黑体 Regular"/>
                <w:color w:val="auto"/>
                <w:szCs w:val="21"/>
                <w:highlight w:val="none"/>
              </w:rPr>
              <w:t>KE</w:t>
            </w:r>
          </w:p>
        </w:tc>
        <w:tc>
          <w:tcPr>
            <w:tcW w:w="1985" w:type="dxa"/>
            <w:vAlign w:val="top"/>
          </w:tcPr>
          <w:p>
            <w:pPr>
              <w:spacing w:line="360" w:lineRule="auto"/>
              <w:ind w:firstLine="105" w:firstLineChars="50"/>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4/4/4</w:t>
            </w:r>
          </w:p>
        </w:tc>
        <w:tc>
          <w:tcPr>
            <w:tcW w:w="1275" w:type="dxa"/>
            <w:vMerge w:val="restart"/>
          </w:tcPr>
          <w:p>
            <w:pPr>
              <w:spacing w:line="24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bCs/>
                <w:caps/>
                <w:color w:val="auto"/>
                <w:szCs w:val="21"/>
                <w:highlight w:val="none"/>
              </w:rPr>
              <w:t>合肥市经开区繁华大道和金寨路交叉口</w:t>
            </w:r>
          </w:p>
        </w:tc>
        <w:tc>
          <w:tcPr>
            <w:tcW w:w="1418" w:type="dxa"/>
          </w:tcPr>
          <w:p>
            <w:pPr>
              <w:spacing w:line="360" w:lineRule="auto"/>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71" w:type="dxa"/>
            <w:vAlign w:val="top"/>
          </w:tcPr>
          <w:p>
            <w:pPr>
              <w:spacing w:line="360" w:lineRule="auto"/>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L</w:t>
            </w:r>
            <w:r>
              <w:rPr>
                <w:rFonts w:hint="eastAsia" w:ascii="思源黑体 Regular" w:hAnsi="思源黑体 Regular" w:eastAsia="思源黑体 Regular"/>
                <w:color w:val="auto"/>
                <w:szCs w:val="21"/>
                <w:highlight w:val="none"/>
              </w:rPr>
              <w:t>3-L4</w:t>
            </w:r>
            <w:r>
              <w:rPr>
                <w:rFonts w:ascii="思源黑体 Regular" w:hAnsi="思源黑体 Regular" w:eastAsia="思源黑体 Regular"/>
                <w:color w:val="auto"/>
                <w:szCs w:val="21"/>
                <w:highlight w:val="none"/>
              </w:rPr>
              <w:t>(A)</w:t>
            </w:r>
          </w:p>
        </w:tc>
        <w:tc>
          <w:tcPr>
            <w:tcW w:w="2268"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202002001</w:t>
            </w:r>
            <w:r>
              <w:rPr>
                <w:rFonts w:ascii="思源黑体 Regular" w:hAnsi="思源黑体 Regular" w:eastAsia="思源黑体 Regular"/>
                <w:color w:val="auto"/>
                <w:szCs w:val="21"/>
                <w:highlight w:val="none"/>
              </w:rPr>
              <w:t>-002</w:t>
            </w:r>
          </w:p>
        </w:tc>
        <w:tc>
          <w:tcPr>
            <w:tcW w:w="1559" w:type="dxa"/>
            <w:vMerge w:val="continue"/>
            <w:vAlign w:val="top"/>
          </w:tcPr>
          <w:p>
            <w:pPr>
              <w:spacing w:line="360" w:lineRule="auto"/>
              <w:rPr>
                <w:rFonts w:ascii="思源黑体 Regular" w:hAnsi="思源黑体 Regular" w:eastAsia="思源黑体 Regular"/>
                <w:color w:val="auto"/>
                <w:szCs w:val="21"/>
                <w:highlight w:val="none"/>
              </w:rPr>
            </w:pPr>
          </w:p>
        </w:tc>
        <w:tc>
          <w:tcPr>
            <w:tcW w:w="1276" w:type="dxa"/>
            <w:vMerge w:val="continue"/>
            <w:vAlign w:val="top"/>
          </w:tcPr>
          <w:p>
            <w:pPr>
              <w:spacing w:line="360" w:lineRule="auto"/>
              <w:rPr>
                <w:rFonts w:ascii="思源黑体 Regular" w:hAnsi="思源黑体 Regular" w:eastAsia="思源黑体 Regular"/>
                <w:color w:val="auto"/>
                <w:szCs w:val="21"/>
                <w:highlight w:val="none"/>
              </w:rPr>
            </w:pPr>
          </w:p>
        </w:tc>
        <w:tc>
          <w:tcPr>
            <w:tcW w:w="1985" w:type="dxa"/>
            <w:vAlign w:val="top"/>
          </w:tcPr>
          <w:p>
            <w:pPr>
              <w:spacing w:line="360" w:lineRule="auto"/>
              <w:ind w:firstLine="105" w:firstLineChars="50"/>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5200mm</w:t>
            </w:r>
          </w:p>
        </w:tc>
        <w:tc>
          <w:tcPr>
            <w:tcW w:w="1275" w:type="dxa"/>
            <w:vMerge w:val="continue"/>
          </w:tcPr>
          <w:p>
            <w:pPr>
              <w:spacing w:line="360" w:lineRule="auto"/>
              <w:rPr>
                <w:rFonts w:ascii="思源黑体 Regular" w:hAnsi="思源黑体 Regular" w:eastAsia="思源黑体 Regular"/>
                <w:b/>
                <w:bCs/>
                <w:caps/>
                <w:color w:val="auto"/>
                <w:szCs w:val="21"/>
                <w:highlight w:val="none"/>
              </w:rPr>
            </w:pPr>
          </w:p>
        </w:tc>
        <w:tc>
          <w:tcPr>
            <w:tcW w:w="1418" w:type="dxa"/>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lang w:val="en-US" w:eastAsia="zh-CN"/>
              </w:rPr>
              <w:t>L5-L8（A）</w:t>
            </w:r>
          </w:p>
        </w:tc>
        <w:tc>
          <w:tcPr>
            <w:tcW w:w="2268" w:type="dxa"/>
            <w:vAlign w:val="top"/>
          </w:tcPr>
          <w:p>
            <w:pPr>
              <w:spacing w:line="360" w:lineRule="auto"/>
              <w:rPr>
                <w:rFonts w:ascii="思源黑体 Regular" w:hAnsi="思源黑体 Regular" w:eastAsia="思源黑体 Regular" w:cs="宋体"/>
                <w:color w:val="auto"/>
                <w:kern w:val="0"/>
                <w:szCs w:val="21"/>
                <w:highlight w:val="none"/>
              </w:rPr>
            </w:pPr>
          </w:p>
        </w:tc>
        <w:tc>
          <w:tcPr>
            <w:tcW w:w="1559" w:type="dxa"/>
            <w:vMerge w:val="continue"/>
            <w:vAlign w:val="top"/>
          </w:tcPr>
          <w:p>
            <w:pPr>
              <w:spacing w:line="360" w:lineRule="auto"/>
              <w:rPr>
                <w:rFonts w:ascii="思源黑体 Regular" w:hAnsi="思源黑体 Regular" w:eastAsia="思源黑体 Regular"/>
                <w:color w:val="auto"/>
                <w:szCs w:val="21"/>
                <w:highlight w:val="none"/>
              </w:rPr>
            </w:pPr>
          </w:p>
        </w:tc>
        <w:tc>
          <w:tcPr>
            <w:tcW w:w="1276"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lang w:val="en-US" w:eastAsia="zh-CN"/>
              </w:rPr>
              <w:t>TONE</w:t>
            </w:r>
          </w:p>
        </w:tc>
        <w:tc>
          <w:tcPr>
            <w:tcW w:w="1985" w:type="dxa"/>
            <w:vAlign w:val="top"/>
          </w:tcPr>
          <w:p>
            <w:pPr>
              <w:spacing w:line="360" w:lineRule="auto"/>
              <w:ind w:firstLine="105" w:firstLineChars="50"/>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lang w:val="en-US" w:eastAsia="zh-CN"/>
              </w:rPr>
              <w:t>4/4/4</w:t>
            </w:r>
          </w:p>
        </w:tc>
        <w:tc>
          <w:tcPr>
            <w:tcW w:w="1275" w:type="dxa"/>
            <w:vMerge w:val="continue"/>
          </w:tcPr>
          <w:p>
            <w:pPr>
              <w:rPr>
                <w:rFonts w:ascii="思源黑体 Regular" w:hAnsi="思源黑体 Regular" w:eastAsia="思源黑体 Regular"/>
                <w:color w:val="auto"/>
                <w:szCs w:val="21"/>
                <w:highlight w:val="none"/>
              </w:rPr>
            </w:pPr>
          </w:p>
        </w:tc>
        <w:tc>
          <w:tcPr>
            <w:tcW w:w="1418" w:type="dxa"/>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5-6(H)</w:t>
            </w:r>
          </w:p>
        </w:tc>
        <w:tc>
          <w:tcPr>
            <w:tcW w:w="2268" w:type="dxa"/>
            <w:vAlign w:val="top"/>
          </w:tcPr>
          <w:p>
            <w:pPr>
              <w:rPr>
                <w:rFonts w:ascii="思源黑体 Regular" w:hAnsi="思源黑体 Regular" w:eastAsia="思源黑体 Regular" w:cs="宋体"/>
                <w:color w:val="auto"/>
                <w:kern w:val="0"/>
                <w:szCs w:val="21"/>
                <w:highlight w:val="none"/>
              </w:rPr>
            </w:pPr>
            <w:r>
              <w:rPr>
                <w:rFonts w:ascii="思源黑体 Regular" w:hAnsi="思源黑体 Regular" w:eastAsia="思源黑体 Regular"/>
                <w:color w:val="auto"/>
                <w:szCs w:val="21"/>
                <w:highlight w:val="none"/>
              </w:rPr>
              <w:t>E/30010338.002-001</w:t>
            </w:r>
          </w:p>
        </w:tc>
        <w:tc>
          <w:tcPr>
            <w:tcW w:w="1559" w:type="dxa"/>
            <w:vMerge w:val="continue"/>
            <w:vAlign w:val="top"/>
          </w:tcPr>
          <w:p>
            <w:pPr>
              <w:spacing w:line="360" w:lineRule="auto"/>
              <w:rPr>
                <w:rFonts w:ascii="思源黑体 Regular" w:hAnsi="思源黑体 Regular" w:eastAsia="思源黑体 Regular"/>
                <w:color w:val="auto"/>
                <w:szCs w:val="21"/>
                <w:highlight w:val="none"/>
              </w:rPr>
            </w:pPr>
          </w:p>
        </w:tc>
        <w:tc>
          <w:tcPr>
            <w:tcW w:w="1276" w:type="dxa"/>
            <w:vMerge w:val="restart"/>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T</w:t>
            </w:r>
            <w:r>
              <w:rPr>
                <w:rFonts w:ascii="思源黑体 Regular" w:hAnsi="思源黑体 Regular" w:eastAsia="思源黑体 Regular"/>
                <w:color w:val="auto"/>
                <w:szCs w:val="21"/>
                <w:highlight w:val="none"/>
              </w:rPr>
              <w:t>KE</w:t>
            </w:r>
          </w:p>
        </w:tc>
        <w:tc>
          <w:tcPr>
            <w:tcW w:w="1985" w:type="dxa"/>
            <w:vAlign w:val="top"/>
          </w:tcPr>
          <w:p>
            <w:pPr>
              <w:spacing w:line="360" w:lineRule="auto"/>
              <w:ind w:firstLine="105" w:firstLineChars="50"/>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4/4/4</w:t>
            </w:r>
          </w:p>
        </w:tc>
        <w:tc>
          <w:tcPr>
            <w:tcW w:w="1275" w:type="dxa"/>
            <w:vMerge w:val="restart"/>
          </w:tcPr>
          <w:p>
            <w:pPr>
              <w:rPr>
                <w:rFonts w:ascii="思源黑体 Regular" w:hAnsi="思源黑体 Regular" w:eastAsia="思源黑体 Regular"/>
                <w:color w:val="auto"/>
                <w:szCs w:val="21"/>
                <w:highlight w:val="none"/>
              </w:rPr>
            </w:pPr>
            <w:r>
              <w:rPr>
                <w:rFonts w:hint="eastAsia" w:ascii="思源黑体 Regular" w:hAnsi="思源黑体 Regular" w:eastAsia="思源黑体 Regular"/>
                <w:bCs/>
                <w:caps/>
                <w:color w:val="auto"/>
                <w:szCs w:val="21"/>
                <w:highlight w:val="none"/>
              </w:rPr>
              <w:t>合肥市</w:t>
            </w:r>
            <w:r>
              <w:rPr>
                <w:rFonts w:ascii="思源黑体 Regular" w:hAnsi="思源黑体 Regular" w:eastAsia="思源黑体 Regular"/>
                <w:bCs/>
                <w:caps/>
                <w:color w:val="auto"/>
                <w:szCs w:val="21"/>
                <w:highlight w:val="none"/>
              </w:rPr>
              <w:t>滨湖区</w:t>
            </w:r>
            <w:r>
              <w:rPr>
                <w:rFonts w:hint="eastAsia" w:ascii="思源黑体 Regular" w:hAnsi="思源黑体 Regular" w:eastAsia="思源黑体 Regular"/>
                <w:bCs/>
                <w:caps/>
                <w:color w:val="auto"/>
                <w:szCs w:val="21"/>
                <w:highlight w:val="none"/>
              </w:rPr>
              <w:t>锦绣</w:t>
            </w:r>
            <w:r>
              <w:rPr>
                <w:rFonts w:ascii="思源黑体 Regular" w:hAnsi="思源黑体 Regular" w:eastAsia="思源黑体 Regular"/>
                <w:bCs/>
                <w:caps/>
                <w:color w:val="auto"/>
                <w:szCs w:val="21"/>
                <w:highlight w:val="none"/>
              </w:rPr>
              <w:t>大道</w:t>
            </w:r>
            <w:r>
              <w:rPr>
                <w:rFonts w:hint="eastAsia" w:ascii="思源黑体 Regular" w:hAnsi="思源黑体 Regular" w:eastAsia="思源黑体 Regular"/>
                <w:bCs/>
                <w:caps/>
                <w:color w:val="auto"/>
                <w:szCs w:val="21"/>
                <w:highlight w:val="none"/>
              </w:rPr>
              <w:t>3899号</w:t>
            </w:r>
          </w:p>
        </w:tc>
        <w:tc>
          <w:tcPr>
            <w:tcW w:w="1418" w:type="dxa"/>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L7(H)</w:t>
            </w:r>
          </w:p>
        </w:tc>
        <w:tc>
          <w:tcPr>
            <w:tcW w:w="2268" w:type="dxa"/>
            <w:vAlign w:val="top"/>
          </w:tcPr>
          <w:p>
            <w:pPr>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E/30010338.004</w:t>
            </w:r>
          </w:p>
        </w:tc>
        <w:tc>
          <w:tcPr>
            <w:tcW w:w="1559" w:type="dxa"/>
            <w:vMerge w:val="continue"/>
            <w:vAlign w:val="top"/>
          </w:tcPr>
          <w:p>
            <w:pPr>
              <w:spacing w:line="360" w:lineRule="auto"/>
              <w:rPr>
                <w:rFonts w:ascii="思源黑体 Regular" w:hAnsi="思源黑体 Regular" w:eastAsia="思源黑体 Regular"/>
                <w:color w:val="auto"/>
                <w:szCs w:val="21"/>
                <w:highlight w:val="none"/>
              </w:rPr>
            </w:pPr>
          </w:p>
        </w:tc>
        <w:tc>
          <w:tcPr>
            <w:tcW w:w="1276" w:type="dxa"/>
            <w:vMerge w:val="continue"/>
            <w:vAlign w:val="top"/>
          </w:tcPr>
          <w:p>
            <w:pPr>
              <w:spacing w:line="360" w:lineRule="auto"/>
              <w:rPr>
                <w:rFonts w:ascii="思源黑体 Regular" w:hAnsi="思源黑体 Regular" w:eastAsia="思源黑体 Regular"/>
                <w:color w:val="auto"/>
                <w:szCs w:val="21"/>
                <w:highlight w:val="none"/>
              </w:rPr>
            </w:pPr>
          </w:p>
        </w:tc>
        <w:tc>
          <w:tcPr>
            <w:tcW w:w="1985" w:type="dxa"/>
            <w:vAlign w:val="top"/>
          </w:tcPr>
          <w:p>
            <w:pPr>
              <w:spacing w:line="360" w:lineRule="auto"/>
              <w:ind w:firstLine="105" w:firstLineChars="50"/>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4/4/4</w:t>
            </w:r>
          </w:p>
        </w:tc>
        <w:tc>
          <w:tcPr>
            <w:tcW w:w="1275" w:type="dxa"/>
            <w:vMerge w:val="continue"/>
          </w:tcPr>
          <w:p>
            <w:pPr>
              <w:rPr>
                <w:rFonts w:ascii="思源黑体 Regular" w:hAnsi="思源黑体 Regular" w:eastAsia="思源黑体 Regular"/>
                <w:color w:val="auto"/>
                <w:szCs w:val="21"/>
                <w:highlight w:val="none"/>
              </w:rPr>
            </w:pPr>
          </w:p>
        </w:tc>
        <w:tc>
          <w:tcPr>
            <w:tcW w:w="1418" w:type="dxa"/>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8-11(H)</w:t>
            </w:r>
          </w:p>
        </w:tc>
        <w:tc>
          <w:tcPr>
            <w:tcW w:w="2268" w:type="dxa"/>
            <w:vAlign w:val="top"/>
          </w:tcPr>
          <w:p>
            <w:pPr>
              <w:spacing w:line="360" w:lineRule="auto"/>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31122-010-001~004</w:t>
            </w:r>
          </w:p>
        </w:tc>
        <w:tc>
          <w:tcPr>
            <w:tcW w:w="1559" w:type="dxa"/>
            <w:vMerge w:val="continue"/>
            <w:vAlign w:val="top"/>
          </w:tcPr>
          <w:p>
            <w:pPr>
              <w:spacing w:line="360" w:lineRule="auto"/>
              <w:rPr>
                <w:rFonts w:ascii="思源黑体 Regular" w:hAnsi="思源黑体 Regular" w:eastAsia="思源黑体 Regular"/>
                <w:color w:val="auto"/>
                <w:szCs w:val="21"/>
                <w:highlight w:val="none"/>
              </w:rPr>
            </w:pPr>
          </w:p>
        </w:tc>
        <w:tc>
          <w:tcPr>
            <w:tcW w:w="1276" w:type="dxa"/>
            <w:vMerge w:val="continue"/>
            <w:vAlign w:val="top"/>
          </w:tcPr>
          <w:p>
            <w:pPr>
              <w:spacing w:line="360" w:lineRule="auto"/>
              <w:rPr>
                <w:rFonts w:ascii="思源黑体 Regular" w:hAnsi="思源黑体 Regular" w:eastAsia="思源黑体 Regular"/>
                <w:color w:val="auto"/>
                <w:szCs w:val="21"/>
                <w:highlight w:val="none"/>
              </w:rPr>
            </w:pPr>
          </w:p>
        </w:tc>
        <w:tc>
          <w:tcPr>
            <w:tcW w:w="1985"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30°/7000</w:t>
            </w:r>
            <w:r>
              <w:rPr>
                <w:rFonts w:ascii="思源黑体 Regular" w:hAnsi="思源黑体 Regular" w:eastAsia="思源黑体 Regular"/>
                <w:color w:val="auto"/>
                <w:szCs w:val="21"/>
                <w:highlight w:val="none"/>
              </w:rPr>
              <w:t>mm</w:t>
            </w:r>
          </w:p>
        </w:tc>
        <w:tc>
          <w:tcPr>
            <w:tcW w:w="1275" w:type="dxa"/>
            <w:vMerge w:val="continue"/>
          </w:tcPr>
          <w:p>
            <w:pPr>
              <w:spacing w:line="360" w:lineRule="auto"/>
              <w:rPr>
                <w:rFonts w:ascii="思源黑体 Regular" w:hAnsi="思源黑体 Regular" w:eastAsia="思源黑体 Regular"/>
                <w:color w:val="auto"/>
                <w:szCs w:val="21"/>
                <w:highlight w:val="none"/>
              </w:rPr>
            </w:pPr>
          </w:p>
        </w:tc>
        <w:tc>
          <w:tcPr>
            <w:tcW w:w="1418" w:type="dxa"/>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12-15(H)</w:t>
            </w:r>
          </w:p>
        </w:tc>
        <w:tc>
          <w:tcPr>
            <w:tcW w:w="2268" w:type="dxa"/>
            <w:vAlign w:val="top"/>
          </w:tcPr>
          <w:p>
            <w:pPr>
              <w:spacing w:line="360" w:lineRule="auto"/>
              <w:rPr>
                <w:rFonts w:ascii="思源黑体 Regular" w:hAnsi="思源黑体 Regular" w:eastAsia="思源黑体 Regular"/>
                <w:color w:val="auto"/>
                <w:szCs w:val="21"/>
                <w:highlight w:val="none"/>
              </w:rPr>
            </w:pPr>
            <w:r>
              <w:rPr>
                <w:rFonts w:ascii="思源黑体 Regular" w:hAnsi="思源黑体 Regular" w:eastAsia="思源黑体 Regular"/>
                <w:color w:val="auto"/>
                <w:szCs w:val="21"/>
                <w:highlight w:val="none"/>
              </w:rPr>
              <w:t>31122-020-005~008</w:t>
            </w:r>
          </w:p>
        </w:tc>
        <w:tc>
          <w:tcPr>
            <w:tcW w:w="1559" w:type="dxa"/>
            <w:vMerge w:val="continue"/>
            <w:vAlign w:val="top"/>
          </w:tcPr>
          <w:p>
            <w:pPr>
              <w:spacing w:line="360" w:lineRule="auto"/>
              <w:rPr>
                <w:rFonts w:ascii="思源黑体 Regular" w:hAnsi="思源黑体 Regular" w:eastAsia="思源黑体 Regular"/>
                <w:color w:val="auto"/>
                <w:szCs w:val="21"/>
                <w:highlight w:val="none"/>
              </w:rPr>
            </w:pPr>
          </w:p>
        </w:tc>
        <w:tc>
          <w:tcPr>
            <w:tcW w:w="1276" w:type="dxa"/>
            <w:vMerge w:val="continue"/>
            <w:vAlign w:val="top"/>
          </w:tcPr>
          <w:p>
            <w:pPr>
              <w:spacing w:line="360" w:lineRule="auto"/>
              <w:ind w:firstLine="315" w:firstLineChars="150"/>
              <w:rPr>
                <w:rFonts w:ascii="思源黑体 Regular" w:hAnsi="思源黑体 Regular" w:eastAsia="思源黑体 Regular"/>
                <w:color w:val="auto"/>
                <w:szCs w:val="21"/>
                <w:highlight w:val="none"/>
              </w:rPr>
            </w:pPr>
          </w:p>
        </w:tc>
        <w:tc>
          <w:tcPr>
            <w:tcW w:w="1985"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30°/5000</w:t>
            </w:r>
            <w:r>
              <w:rPr>
                <w:rFonts w:ascii="思源黑体 Regular" w:hAnsi="思源黑体 Regular" w:eastAsia="思源黑体 Regular"/>
                <w:color w:val="auto"/>
                <w:szCs w:val="21"/>
                <w:highlight w:val="none"/>
              </w:rPr>
              <w:t>mm</w:t>
            </w:r>
          </w:p>
        </w:tc>
        <w:tc>
          <w:tcPr>
            <w:tcW w:w="1275" w:type="dxa"/>
            <w:vMerge w:val="continue"/>
          </w:tcPr>
          <w:p>
            <w:pPr>
              <w:spacing w:line="360" w:lineRule="auto"/>
              <w:rPr>
                <w:rFonts w:ascii="思源黑体 Regular" w:hAnsi="思源黑体 Regular" w:eastAsia="思源黑体 Regular"/>
                <w:color w:val="auto"/>
                <w:szCs w:val="21"/>
                <w:highlight w:val="none"/>
              </w:rPr>
            </w:pPr>
          </w:p>
        </w:tc>
        <w:tc>
          <w:tcPr>
            <w:tcW w:w="1418" w:type="dxa"/>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L</w:t>
            </w:r>
            <w:r>
              <w:rPr>
                <w:rFonts w:ascii="思源黑体 Regular" w:hAnsi="思源黑体 Regular" w:eastAsia="思源黑体 Regular"/>
                <w:color w:val="auto"/>
                <w:szCs w:val="21"/>
                <w:highlight w:val="none"/>
              </w:rPr>
              <w:t>16</w:t>
            </w:r>
          </w:p>
        </w:tc>
        <w:tc>
          <w:tcPr>
            <w:tcW w:w="2268"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s="Calibri"/>
                <w:bCs/>
                <w:color w:val="auto"/>
                <w:szCs w:val="21"/>
                <w:highlight w:val="none"/>
              </w:rPr>
              <w:t>E/30010338.00</w:t>
            </w:r>
            <w:r>
              <w:rPr>
                <w:rFonts w:ascii="思源黑体 Regular" w:hAnsi="思源黑体 Regular" w:eastAsia="思源黑体 Regular" w:cs="Calibri"/>
                <w:bCs/>
                <w:color w:val="auto"/>
                <w:szCs w:val="21"/>
                <w:highlight w:val="none"/>
              </w:rPr>
              <w:t>3</w:t>
            </w:r>
          </w:p>
        </w:tc>
        <w:tc>
          <w:tcPr>
            <w:tcW w:w="1559" w:type="dxa"/>
            <w:vMerge w:val="continue"/>
            <w:vAlign w:val="top"/>
          </w:tcPr>
          <w:p>
            <w:pPr>
              <w:spacing w:line="360" w:lineRule="auto"/>
              <w:rPr>
                <w:rFonts w:ascii="思源黑体 Regular" w:hAnsi="思源黑体 Regular" w:eastAsia="思源黑体 Regular"/>
                <w:color w:val="auto"/>
                <w:szCs w:val="21"/>
                <w:highlight w:val="none"/>
              </w:rPr>
            </w:pPr>
          </w:p>
        </w:tc>
        <w:tc>
          <w:tcPr>
            <w:tcW w:w="1276" w:type="dxa"/>
            <w:vMerge w:val="continue"/>
            <w:vAlign w:val="top"/>
          </w:tcPr>
          <w:p>
            <w:pPr>
              <w:spacing w:line="360" w:lineRule="auto"/>
              <w:ind w:firstLine="315" w:firstLineChars="150"/>
              <w:rPr>
                <w:rFonts w:ascii="思源黑体 Regular" w:hAnsi="思源黑体 Regular" w:eastAsia="思源黑体 Regular"/>
                <w:color w:val="auto"/>
                <w:szCs w:val="21"/>
                <w:highlight w:val="none"/>
              </w:rPr>
            </w:pPr>
          </w:p>
        </w:tc>
        <w:tc>
          <w:tcPr>
            <w:tcW w:w="1985" w:type="dxa"/>
            <w:vAlign w:val="top"/>
          </w:tcPr>
          <w:p>
            <w:pPr>
              <w:spacing w:line="360" w:lineRule="auto"/>
              <w:rPr>
                <w:rFonts w:ascii="思源黑体 Regular" w:hAnsi="思源黑体 Regular" w:eastAsia="思源黑体 Regular"/>
                <w:color w:val="auto"/>
                <w:szCs w:val="21"/>
                <w:highlight w:val="none"/>
              </w:rPr>
            </w:pPr>
            <w:r>
              <w:rPr>
                <w:rFonts w:hint="eastAsia" w:ascii="思源黑体 Regular" w:hAnsi="思源黑体 Regular" w:eastAsia="思源黑体 Regular"/>
                <w:color w:val="auto"/>
                <w:szCs w:val="21"/>
                <w:highlight w:val="none"/>
              </w:rPr>
              <w:t>4</w:t>
            </w:r>
            <w:r>
              <w:rPr>
                <w:rFonts w:ascii="思源黑体 Regular" w:hAnsi="思源黑体 Regular" w:eastAsia="思源黑体 Regular"/>
                <w:color w:val="auto"/>
                <w:szCs w:val="21"/>
                <w:highlight w:val="none"/>
              </w:rPr>
              <w:t>/4//4</w:t>
            </w:r>
          </w:p>
        </w:tc>
        <w:tc>
          <w:tcPr>
            <w:tcW w:w="1275" w:type="dxa"/>
            <w:vMerge w:val="continue"/>
          </w:tcPr>
          <w:p>
            <w:pPr>
              <w:spacing w:line="360" w:lineRule="auto"/>
              <w:rPr>
                <w:rFonts w:ascii="思源黑体 Regular" w:hAnsi="思源黑体 Regular" w:eastAsia="思源黑体 Regular"/>
                <w:color w:val="auto"/>
                <w:szCs w:val="21"/>
                <w:highlight w:val="none"/>
              </w:rPr>
            </w:pPr>
          </w:p>
        </w:tc>
        <w:tc>
          <w:tcPr>
            <w:tcW w:w="1418" w:type="dxa"/>
          </w:tcPr>
          <w:p>
            <w:pPr>
              <w:jc w:val="center"/>
              <w:rPr>
                <w:rFonts w:ascii="思源黑体 Regular" w:hAnsi="思源黑体 Regular" w:eastAsia="思源黑体 Regula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2" w:type="dxa"/>
            <w:gridSpan w:val="7"/>
          </w:tcPr>
          <w:p>
            <w:pPr>
              <w:pStyle w:val="120"/>
              <w:numPr>
                <w:ilvl w:val="0"/>
                <w:numId w:val="7"/>
              </w:numPr>
              <w:spacing w:line="520" w:lineRule="exact"/>
              <w:ind w:firstLineChars="0"/>
              <w:rPr>
                <w:rFonts w:ascii="思源黑体 Regular" w:hAnsi="思源黑体 Regular" w:eastAsia="思源黑体 Regular"/>
                <w:color w:val="auto"/>
                <w:szCs w:val="21"/>
                <w:highlight w:val="none"/>
                <w:u w:val="single"/>
              </w:rPr>
            </w:pPr>
            <w:r>
              <w:rPr>
                <w:rFonts w:hint="eastAsia" w:ascii="思源黑体 Regular" w:hAnsi="思源黑体 Regular" w:eastAsia="思源黑体 Regular"/>
                <w:color w:val="auto"/>
                <w:szCs w:val="21"/>
                <w:highlight w:val="none"/>
              </w:rPr>
              <w:t>项目共</w:t>
            </w:r>
            <w:r>
              <w:rPr>
                <w:rFonts w:hint="eastAsia" w:ascii="思源黑体 Regular" w:hAnsi="思源黑体 Regular" w:eastAsia="思源黑体 Regular"/>
                <w:color w:val="auto"/>
                <w:szCs w:val="21"/>
                <w:highlight w:val="none"/>
                <w:u w:val="single"/>
                <w:lang w:val="en-US" w:eastAsia="zh-CN"/>
              </w:rPr>
              <w:t>22</w:t>
            </w:r>
            <w:r>
              <w:rPr>
                <w:rFonts w:hint="eastAsia" w:ascii="思源黑体 Regular" w:hAnsi="思源黑体 Regular" w:eastAsia="思源黑体 Regular"/>
                <w:color w:val="auto"/>
                <w:szCs w:val="21"/>
                <w:highlight w:val="none"/>
              </w:rPr>
              <w:t>梯</w:t>
            </w:r>
            <w:r>
              <w:rPr>
                <w:rFonts w:ascii="思源黑体 Regular" w:hAnsi="思源黑体 Regular" w:eastAsia="思源黑体 Regular"/>
                <w:color w:val="auto"/>
                <w:szCs w:val="21"/>
                <w:highlight w:val="none"/>
              </w:rPr>
              <w:t>，</w:t>
            </w:r>
            <w:r>
              <w:rPr>
                <w:rFonts w:hint="eastAsia" w:ascii="思源黑体 Regular" w:hAnsi="思源黑体 Regular" w:eastAsia="思源黑体 Regular"/>
                <w:color w:val="auto"/>
                <w:szCs w:val="21"/>
                <w:highlight w:val="none"/>
              </w:rPr>
              <w:t>合同期内总费用为</w:t>
            </w:r>
            <w:r>
              <w:rPr>
                <w:rFonts w:hint="eastAsia" w:ascii="思源黑体 Regular" w:hAnsi="思源黑体 Regular" w:eastAsia="思源黑体 Regular"/>
                <w:color w:val="auto"/>
                <w:szCs w:val="21"/>
                <w:highlight w:val="none"/>
                <w:u w:val="single"/>
                <w:lang w:val="en-US" w:eastAsia="zh-CN"/>
              </w:rPr>
              <w:t xml:space="preserve">         </w:t>
            </w:r>
            <w:r>
              <w:rPr>
                <w:rFonts w:hint="eastAsia" w:ascii="思源黑体 Regular" w:hAnsi="思源黑体 Regular" w:eastAsia="思源黑体 Regular"/>
                <w:color w:val="auto"/>
                <w:szCs w:val="21"/>
                <w:highlight w:val="none"/>
              </w:rPr>
              <w:t>元。</w:t>
            </w:r>
          </w:p>
        </w:tc>
      </w:tr>
    </w:tbl>
    <w:p>
      <w:pPr>
        <w:spacing w:line="500" w:lineRule="exact"/>
        <w:rPr>
          <w:rFonts w:ascii="仿宋_GB2312" w:eastAsia="仿宋_GB2312" w:cs="宋体" w:hAnsiTheme="minorEastAsia"/>
          <w:color w:val="auto"/>
          <w:kern w:val="0"/>
          <w:sz w:val="24"/>
          <w:highlight w:val="none"/>
        </w:rPr>
      </w:pPr>
    </w:p>
    <w:bookmarkEnd w:id="85"/>
    <w:p>
      <w:pPr>
        <w:pStyle w:val="83"/>
        <w:rPr>
          <w:rFonts w:ascii="仿宋_GB2312" w:hAnsi="宋体" w:eastAsia="仿宋_GB2312" w:cs="宋体"/>
          <w:color w:val="auto"/>
          <w:sz w:val="24"/>
          <w:highlight w:val="none"/>
        </w:rPr>
      </w:pPr>
    </w:p>
    <w:p>
      <w:pPr>
        <w:spacing w:line="490" w:lineRule="exact"/>
        <w:ind w:firstLine="482" w:firstLineChars="200"/>
        <w:rPr>
          <w:rFonts w:ascii="宋体" w:hAnsi="宋体"/>
          <w:b/>
          <w:color w:val="auto"/>
          <w:sz w:val="24"/>
          <w:szCs w:val="24"/>
          <w:highlight w:val="none"/>
          <w:shd w:val="clear" w:color="FFFFFF" w:fill="D9D9D9"/>
        </w:rPr>
      </w:pPr>
      <w:r>
        <w:rPr>
          <w:rFonts w:hint="eastAsia" w:ascii="宋体" w:hAnsi="宋体"/>
          <w:b/>
          <w:color w:val="auto"/>
          <w:sz w:val="24"/>
          <w:szCs w:val="27"/>
          <w:highlight w:val="none"/>
          <w:shd w:val="clear" w:color="FFFFFF" w:fill="D9D9D9"/>
        </w:rPr>
        <w:t>备注：本合同仅供参考，如本合同的约定如与本项目</w:t>
      </w:r>
      <w:r>
        <w:rPr>
          <w:rFonts w:hint="eastAsia" w:ascii="宋体" w:hAnsi="宋体"/>
          <w:b/>
          <w:color w:val="auto"/>
          <w:sz w:val="24"/>
          <w:highlight w:val="none"/>
          <w:shd w:val="clear" w:color="FFFFFF" w:fill="D9D9D9"/>
        </w:rPr>
        <w:t>招标</w:t>
      </w:r>
      <w:r>
        <w:rPr>
          <w:rFonts w:hint="eastAsia" w:ascii="宋体" w:hAnsi="宋体"/>
          <w:b/>
          <w:color w:val="auto"/>
          <w:sz w:val="24"/>
          <w:szCs w:val="27"/>
          <w:highlight w:val="none"/>
          <w:shd w:val="clear" w:color="FFFFFF" w:fill="D9D9D9"/>
        </w:rPr>
        <w:t>文件的投标人须知前附表、</w:t>
      </w:r>
      <w:r>
        <w:rPr>
          <w:rFonts w:hint="eastAsia" w:ascii="宋体" w:hAnsi="宋体"/>
          <w:b/>
          <w:bCs/>
          <w:color w:val="auto"/>
          <w:sz w:val="24"/>
          <w:highlight w:val="none"/>
          <w:shd w:val="clear" w:color="FFFFFF" w:fill="D9D9D9"/>
        </w:rPr>
        <w:t>招标需求</w:t>
      </w:r>
      <w:r>
        <w:rPr>
          <w:rFonts w:hint="eastAsia" w:ascii="宋体" w:hAnsi="宋体"/>
          <w:b/>
          <w:color w:val="auto"/>
          <w:sz w:val="24"/>
          <w:szCs w:val="27"/>
          <w:highlight w:val="none"/>
          <w:shd w:val="clear" w:color="FFFFFF" w:fill="D9D9D9"/>
        </w:rPr>
        <w:t>的约定不一致的地方，以投标人须知前附表、</w:t>
      </w:r>
      <w:r>
        <w:rPr>
          <w:rFonts w:hint="eastAsia" w:ascii="宋体" w:hAnsi="宋体"/>
          <w:b/>
          <w:bCs/>
          <w:color w:val="auto"/>
          <w:sz w:val="24"/>
          <w:highlight w:val="none"/>
          <w:shd w:val="clear" w:color="FFFFFF" w:fill="D9D9D9"/>
        </w:rPr>
        <w:t>招标需求</w:t>
      </w:r>
      <w:r>
        <w:rPr>
          <w:rFonts w:hint="eastAsia" w:ascii="宋体" w:hAnsi="宋体"/>
          <w:b/>
          <w:color w:val="auto"/>
          <w:sz w:val="24"/>
          <w:szCs w:val="27"/>
          <w:highlight w:val="none"/>
          <w:shd w:val="clear" w:color="FFFFFF" w:fill="D9D9D9"/>
        </w:rPr>
        <w:t>的约定为准。</w:t>
      </w:r>
    </w:p>
    <w:p>
      <w:pPr>
        <w:rPr>
          <w:color w:val="auto"/>
          <w:highlight w:val="none"/>
        </w:rPr>
      </w:pPr>
      <w:r>
        <w:rPr>
          <w:color w:val="auto"/>
          <w:highlight w:val="none"/>
        </w:rPr>
        <w:br w:type="page"/>
      </w:r>
    </w:p>
    <w:p>
      <w:pPr>
        <w:pStyle w:val="2"/>
        <w:rPr>
          <w:color w:val="auto"/>
          <w:highlight w:val="none"/>
        </w:rPr>
      </w:pPr>
    </w:p>
    <w:p>
      <w:pPr>
        <w:pStyle w:val="4"/>
        <w:spacing w:line="500" w:lineRule="exact"/>
        <w:rPr>
          <w:rFonts w:ascii="宋体" w:hAnsi="宋体" w:eastAsia="宋体"/>
          <w:color w:val="auto"/>
          <w:highlight w:val="none"/>
        </w:rPr>
      </w:pPr>
      <w:bookmarkStart w:id="87" w:name="_Toc12335"/>
      <w:r>
        <w:rPr>
          <w:rFonts w:hint="eastAsia" w:ascii="宋体" w:hAnsi="宋体" w:eastAsia="宋体"/>
          <w:color w:val="auto"/>
          <w:highlight w:val="none"/>
        </w:rPr>
        <w:t>第七章 投标文件格式</w:t>
      </w:r>
      <w:bookmarkEnd w:id="87"/>
    </w:p>
    <w:p>
      <w:pPr>
        <w:keepNext/>
        <w:keepLines/>
        <w:spacing w:before="120" w:after="120" w:line="400" w:lineRule="exact"/>
        <w:jc w:val="center"/>
        <w:outlineLvl w:val="1"/>
        <w:rPr>
          <w:rFonts w:ascii="Arial" w:hAnsi="Arial" w:cs="Calibri"/>
          <w:b/>
          <w:bCs/>
          <w:color w:val="auto"/>
          <w:sz w:val="32"/>
          <w:szCs w:val="32"/>
          <w:highlight w:val="none"/>
        </w:rPr>
      </w:pPr>
      <w:bookmarkStart w:id="88" w:name="_Toc530142180"/>
      <w:bookmarkStart w:id="89" w:name="_Toc69194593"/>
      <w:bookmarkStart w:id="90" w:name="_Toc524462521"/>
      <w:bookmarkStart w:id="91" w:name="_Toc479262713"/>
      <w:bookmarkStart w:id="92" w:name="_Toc78448694"/>
      <w:bookmarkStart w:id="93" w:name="_Toc26711494"/>
      <w:bookmarkStart w:id="94" w:name="_Toc28799390"/>
      <w:r>
        <w:rPr>
          <w:rFonts w:hint="eastAsia" w:ascii="Arial" w:hAnsi="Arial" w:cs="Calibri"/>
          <w:b/>
          <w:bCs/>
          <w:color w:val="auto"/>
          <w:sz w:val="32"/>
          <w:szCs w:val="32"/>
          <w:highlight w:val="none"/>
        </w:rPr>
        <w:t>评审因素索引表</w:t>
      </w:r>
      <w:bookmarkEnd w:id="88"/>
      <w:bookmarkEnd w:id="89"/>
      <w:bookmarkEnd w:id="90"/>
      <w:bookmarkEnd w:id="91"/>
      <w:bookmarkEnd w:id="92"/>
      <w:bookmarkEnd w:id="93"/>
      <w:bookmarkEnd w:id="94"/>
    </w:p>
    <w:p>
      <w:pPr>
        <w:jc w:val="center"/>
        <w:rPr>
          <w:rFonts w:ascii="Calibri" w:hAnsi="Calibri"/>
          <w:color w:val="auto"/>
          <w:sz w:val="24"/>
          <w:highlight w:val="none"/>
        </w:rPr>
      </w:pPr>
    </w:p>
    <w:tbl>
      <w:tblPr>
        <w:tblStyle w:val="66"/>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auto"/>
                <w:sz w:val="24"/>
                <w:highlight w:val="none"/>
              </w:rPr>
            </w:pPr>
            <w:bookmarkStart w:id="95" w:name="_Toc256691567"/>
            <w:bookmarkStart w:id="96" w:name="_Toc256695443"/>
            <w:r>
              <w:rPr>
                <w:rFonts w:hint="eastAsia" w:ascii="Calibri" w:hAnsi="Calibri"/>
                <w:b/>
                <w:color w:val="auto"/>
                <w:sz w:val="24"/>
                <w:highlight w:val="none"/>
              </w:rPr>
              <w:t>序号</w:t>
            </w:r>
            <w:bookmarkEnd w:id="95"/>
            <w:bookmarkEnd w:id="96"/>
          </w:p>
        </w:tc>
        <w:tc>
          <w:tcPr>
            <w:tcW w:w="4820" w:type="dxa"/>
            <w:vAlign w:val="center"/>
          </w:tcPr>
          <w:p>
            <w:pPr>
              <w:jc w:val="center"/>
              <w:rPr>
                <w:rFonts w:ascii="Calibri" w:hAnsi="Calibri"/>
                <w:b/>
                <w:color w:val="auto"/>
                <w:sz w:val="24"/>
                <w:highlight w:val="none"/>
              </w:rPr>
            </w:pPr>
            <w:bookmarkStart w:id="97" w:name="_Toc256695444"/>
            <w:bookmarkStart w:id="98" w:name="_Toc256691568"/>
            <w:r>
              <w:rPr>
                <w:rFonts w:hint="eastAsia" w:ascii="Calibri" w:hAnsi="Calibri"/>
                <w:b/>
                <w:color w:val="auto"/>
                <w:sz w:val="24"/>
                <w:highlight w:val="none"/>
              </w:rPr>
              <w:t>评审因素</w:t>
            </w:r>
            <w:bookmarkEnd w:id="97"/>
            <w:bookmarkEnd w:id="98"/>
          </w:p>
        </w:tc>
        <w:tc>
          <w:tcPr>
            <w:tcW w:w="3649" w:type="dxa"/>
            <w:vAlign w:val="center"/>
          </w:tcPr>
          <w:p>
            <w:pPr>
              <w:jc w:val="center"/>
              <w:rPr>
                <w:rFonts w:ascii="Calibri" w:hAnsi="Calibri"/>
                <w:b/>
                <w:color w:val="auto"/>
                <w:sz w:val="24"/>
                <w:highlight w:val="none"/>
              </w:rPr>
            </w:pPr>
            <w:bookmarkStart w:id="99" w:name="_Toc256691569"/>
            <w:bookmarkStart w:id="100" w:name="_Toc256695445"/>
            <w:r>
              <w:rPr>
                <w:rFonts w:hint="eastAsia" w:ascii="Calibri" w:hAnsi="Calibri"/>
                <w:b/>
                <w:color w:val="auto"/>
                <w:sz w:val="24"/>
                <w:highlight w:val="none"/>
              </w:rPr>
              <w:t>投标文件页码范围</w:t>
            </w:r>
            <w:bookmarkEnd w:id="99"/>
            <w:bookmarkEnd w:id="10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4"/>
                <w:highlight w:val="none"/>
              </w:rPr>
            </w:pPr>
          </w:p>
        </w:tc>
        <w:tc>
          <w:tcPr>
            <w:tcW w:w="4820" w:type="dxa"/>
            <w:vAlign w:val="center"/>
          </w:tcPr>
          <w:p>
            <w:pPr>
              <w:jc w:val="center"/>
              <w:rPr>
                <w:rFonts w:ascii="Calibri" w:hAnsi="Calibri"/>
                <w:color w:val="auto"/>
                <w:sz w:val="24"/>
                <w:highlight w:val="none"/>
              </w:rPr>
            </w:pPr>
          </w:p>
        </w:tc>
        <w:tc>
          <w:tcPr>
            <w:tcW w:w="3649" w:type="dxa"/>
            <w:vAlign w:val="center"/>
          </w:tcPr>
          <w:p>
            <w:pPr>
              <w:jc w:val="center"/>
              <w:rPr>
                <w:rFonts w:ascii="Calibri" w:hAnsi="Calibri"/>
                <w:color w:val="auto"/>
                <w:sz w:val="24"/>
                <w:highlight w:val="none"/>
              </w:rPr>
            </w:pPr>
            <w:bookmarkStart w:id="101" w:name="_Toc256695446"/>
            <w:bookmarkStart w:id="102" w:name="_Toc256691570"/>
            <w:r>
              <w:rPr>
                <w:rFonts w:hint="eastAsia" w:ascii="Calibri" w:hAnsi="Calibri"/>
                <w:color w:val="auto"/>
                <w:sz w:val="24"/>
                <w:highlight w:val="none"/>
              </w:rPr>
              <w:t>P---  P</w:t>
            </w:r>
            <w:bookmarkEnd w:id="101"/>
            <w:bookmarkEnd w:id="1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03" w:name="_Toc256695447"/>
            <w:bookmarkStart w:id="104" w:name="_Toc256691571"/>
            <w:r>
              <w:rPr>
                <w:rFonts w:hint="eastAsia" w:ascii="Calibri" w:hAnsi="Calibri"/>
                <w:color w:val="auto"/>
                <w:sz w:val="24"/>
                <w:highlight w:val="none"/>
              </w:rPr>
              <w:t>P---  P</w:t>
            </w:r>
            <w:bookmarkEnd w:id="103"/>
            <w:bookmarkEnd w:id="10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05" w:name="_Toc256695448"/>
            <w:bookmarkStart w:id="106" w:name="_Toc256691572"/>
            <w:r>
              <w:rPr>
                <w:rFonts w:hint="eastAsia" w:ascii="Calibri" w:hAnsi="Calibri"/>
                <w:color w:val="auto"/>
                <w:sz w:val="24"/>
                <w:highlight w:val="none"/>
              </w:rPr>
              <w:t>P---  P</w:t>
            </w:r>
            <w:bookmarkEnd w:id="105"/>
            <w:bookmarkEnd w:id="10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07" w:name="_Toc256691573"/>
            <w:bookmarkStart w:id="108" w:name="_Toc256695449"/>
            <w:r>
              <w:rPr>
                <w:rFonts w:hint="eastAsia" w:ascii="Calibri" w:hAnsi="Calibri"/>
                <w:color w:val="auto"/>
                <w:sz w:val="24"/>
                <w:highlight w:val="none"/>
              </w:rPr>
              <w:t>P---  P</w:t>
            </w:r>
            <w:bookmarkEnd w:id="107"/>
            <w:bookmarkEnd w:id="10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09" w:name="_Toc256691574"/>
            <w:bookmarkStart w:id="110" w:name="_Toc256695450"/>
            <w:r>
              <w:rPr>
                <w:rFonts w:hint="eastAsia" w:ascii="Calibri" w:hAnsi="Calibri"/>
                <w:color w:val="auto"/>
                <w:sz w:val="24"/>
                <w:highlight w:val="none"/>
              </w:rPr>
              <w:t>P---  P</w:t>
            </w:r>
            <w:bookmarkEnd w:id="109"/>
            <w:bookmarkEnd w:id="1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11" w:name="_Toc256691575"/>
            <w:bookmarkStart w:id="112" w:name="_Toc256695451"/>
            <w:r>
              <w:rPr>
                <w:rFonts w:hint="eastAsia" w:ascii="Calibri" w:hAnsi="Calibri"/>
                <w:color w:val="auto"/>
                <w:sz w:val="24"/>
                <w:highlight w:val="none"/>
              </w:rPr>
              <w:t>P---  P</w:t>
            </w:r>
            <w:bookmarkEnd w:id="111"/>
            <w:bookmarkEnd w:id="1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13" w:name="_Toc256691576"/>
            <w:bookmarkStart w:id="114" w:name="_Toc256695452"/>
            <w:r>
              <w:rPr>
                <w:rFonts w:hint="eastAsia" w:ascii="Calibri" w:hAnsi="Calibri"/>
                <w:color w:val="auto"/>
                <w:sz w:val="24"/>
                <w:highlight w:val="none"/>
              </w:rPr>
              <w:t>P---  P</w:t>
            </w:r>
            <w:bookmarkEnd w:id="113"/>
            <w:bookmarkEnd w:id="11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15" w:name="_Toc256695453"/>
            <w:bookmarkStart w:id="116" w:name="_Toc256691577"/>
            <w:r>
              <w:rPr>
                <w:rFonts w:hint="eastAsia" w:ascii="Calibri" w:hAnsi="Calibri"/>
                <w:color w:val="auto"/>
                <w:sz w:val="24"/>
                <w:highlight w:val="none"/>
              </w:rPr>
              <w:t>P---  P</w:t>
            </w:r>
            <w:bookmarkEnd w:id="115"/>
            <w:bookmarkEnd w:id="11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17" w:name="_Toc256691578"/>
            <w:bookmarkStart w:id="118" w:name="_Toc256695454"/>
            <w:r>
              <w:rPr>
                <w:rFonts w:hint="eastAsia" w:ascii="Calibri" w:hAnsi="Calibri"/>
                <w:color w:val="auto"/>
                <w:sz w:val="24"/>
                <w:highlight w:val="none"/>
              </w:rPr>
              <w:t>P---  P</w:t>
            </w:r>
            <w:bookmarkEnd w:id="117"/>
            <w:bookmarkEnd w:id="11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19" w:name="_Toc256695455"/>
            <w:bookmarkStart w:id="120" w:name="_Toc256691579"/>
            <w:r>
              <w:rPr>
                <w:rFonts w:hint="eastAsia" w:ascii="Calibri" w:hAnsi="Calibri"/>
                <w:color w:val="auto"/>
                <w:sz w:val="24"/>
                <w:highlight w:val="none"/>
              </w:rPr>
              <w:t>P---  P</w:t>
            </w:r>
            <w:bookmarkEnd w:id="119"/>
            <w:bookmarkEnd w:id="1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121" w:name="_Toc256695456"/>
            <w:bookmarkStart w:id="122" w:name="_Toc256691580"/>
            <w:r>
              <w:rPr>
                <w:rFonts w:hint="eastAsia" w:ascii="Calibri" w:hAnsi="Calibri"/>
                <w:color w:val="auto"/>
                <w:sz w:val="24"/>
                <w:highlight w:val="none"/>
              </w:rPr>
              <w:t>P---  P</w:t>
            </w:r>
            <w:bookmarkEnd w:id="121"/>
            <w:bookmarkEnd w:id="1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123" w:name="_Toc256691581"/>
            <w:bookmarkStart w:id="124" w:name="_Toc256695457"/>
            <w:r>
              <w:rPr>
                <w:rFonts w:hint="eastAsia" w:ascii="Calibri" w:hAnsi="Calibri"/>
                <w:color w:val="auto"/>
                <w:sz w:val="24"/>
                <w:highlight w:val="none"/>
              </w:rPr>
              <w:t>P---  P</w:t>
            </w:r>
            <w:bookmarkEnd w:id="123"/>
            <w:bookmarkEnd w:id="1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125" w:name="_Toc256695458"/>
            <w:bookmarkStart w:id="126" w:name="_Toc256691582"/>
            <w:r>
              <w:rPr>
                <w:rFonts w:hint="eastAsia" w:ascii="Calibri" w:hAnsi="Calibri"/>
                <w:color w:val="auto"/>
                <w:sz w:val="24"/>
                <w:highlight w:val="none"/>
              </w:rPr>
              <w:t>P---  P</w:t>
            </w:r>
            <w:bookmarkEnd w:id="125"/>
            <w:bookmarkEnd w:id="1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bookmarkStart w:id="127" w:name="_Toc256695459"/>
            <w:bookmarkStart w:id="128" w:name="_Toc256691583"/>
            <w:r>
              <w:rPr>
                <w:rFonts w:hint="eastAsia" w:ascii="Calibri" w:hAnsi="Calibri"/>
                <w:color w:val="auto"/>
                <w:sz w:val="28"/>
                <w:szCs w:val="28"/>
                <w:highlight w:val="none"/>
              </w:rPr>
              <w:t>……</w:t>
            </w:r>
            <w:bookmarkEnd w:id="127"/>
            <w:bookmarkEnd w:id="128"/>
          </w:p>
        </w:tc>
        <w:tc>
          <w:tcPr>
            <w:tcW w:w="3649" w:type="dxa"/>
            <w:vAlign w:val="center"/>
          </w:tcPr>
          <w:p>
            <w:pPr>
              <w:jc w:val="center"/>
              <w:rPr>
                <w:rFonts w:ascii="Calibri" w:hAnsi="Calibri"/>
                <w:color w:val="auto"/>
                <w:sz w:val="24"/>
                <w:highlight w:val="none"/>
              </w:rPr>
            </w:pPr>
            <w:bookmarkStart w:id="129" w:name="_Toc256691584"/>
            <w:bookmarkStart w:id="130" w:name="_Toc256695460"/>
            <w:r>
              <w:rPr>
                <w:rFonts w:hint="eastAsia" w:ascii="Calibri" w:hAnsi="Calibri"/>
                <w:color w:val="auto"/>
                <w:sz w:val="28"/>
                <w:szCs w:val="28"/>
                <w:highlight w:val="none"/>
              </w:rPr>
              <w:t>……</w:t>
            </w:r>
            <w:bookmarkEnd w:id="129"/>
            <w:bookmarkEnd w:id="13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bl>
    <w:p>
      <w:pPr>
        <w:spacing w:line="500" w:lineRule="exact"/>
        <w:jc w:val="center"/>
        <w:rPr>
          <w:rFonts w:ascii="宋体" w:hAnsi="宋体"/>
          <w:b/>
          <w:color w:val="auto"/>
          <w:sz w:val="24"/>
          <w:szCs w:val="24"/>
          <w:highlight w:val="none"/>
        </w:rPr>
      </w:pPr>
      <w:r>
        <w:rPr>
          <w:rFonts w:ascii="黑体" w:eastAsia="黑体"/>
          <w:color w:val="auto"/>
          <w:sz w:val="28"/>
          <w:szCs w:val="28"/>
          <w:highlight w:val="none"/>
        </w:rPr>
        <w:br w:type="page"/>
      </w:r>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6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37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625"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376"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5376"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分项报价一览表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六</w:t>
            </w:r>
          </w:p>
        </w:tc>
        <w:tc>
          <w:tcPr>
            <w:tcW w:w="5376" w:type="dxa"/>
            <w:vAlign w:val="center"/>
          </w:tcPr>
          <w:p>
            <w:pPr>
              <w:pStyle w:val="124"/>
              <w:rPr>
                <w:rFonts w:ascii="宋体" w:hAnsi="宋体" w:cs="宋体"/>
                <w:bCs/>
                <w:color w:val="auto"/>
                <w:szCs w:val="24"/>
                <w:highlight w:val="none"/>
              </w:rPr>
            </w:pPr>
            <w:r>
              <w:rPr>
                <w:rFonts w:hint="eastAsia" w:ascii="宋体" w:hAnsi="宋体" w:cs="宋体"/>
                <w:bCs/>
                <w:color w:val="auto"/>
                <w:szCs w:val="24"/>
                <w:highlight w:val="none"/>
              </w:rPr>
              <w:t>常用配件价格报价表</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八</w:t>
            </w:r>
          </w:p>
        </w:tc>
        <w:tc>
          <w:tcPr>
            <w:tcW w:w="5376" w:type="dxa"/>
            <w:vAlign w:val="center"/>
          </w:tcPr>
          <w:p>
            <w:pPr>
              <w:pStyle w:val="124"/>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投标业绩</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十一</w:t>
            </w:r>
          </w:p>
        </w:tc>
        <w:tc>
          <w:tcPr>
            <w:tcW w:w="5376" w:type="dxa"/>
            <w:vAlign w:val="center"/>
          </w:tcPr>
          <w:p>
            <w:pPr>
              <w:rPr>
                <w:color w:val="auto"/>
                <w:sz w:val="24"/>
                <w:highlight w:val="none"/>
              </w:rPr>
            </w:pPr>
            <w:r>
              <w:rPr>
                <w:rFonts w:hint="eastAsia"/>
                <w:color w:val="auto"/>
                <w:sz w:val="24"/>
                <w:highlight w:val="none"/>
              </w:rPr>
              <w:t>生产厂商授权书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十二</w:t>
            </w:r>
          </w:p>
        </w:tc>
        <w:tc>
          <w:tcPr>
            <w:tcW w:w="5376" w:type="dxa"/>
            <w:vAlign w:val="center"/>
          </w:tcPr>
          <w:p>
            <w:pPr>
              <w:rPr>
                <w:color w:val="auto"/>
                <w:sz w:val="24"/>
                <w:highlight w:val="none"/>
              </w:rPr>
            </w:pPr>
            <w:r>
              <w:rPr>
                <w:rFonts w:hint="eastAsia"/>
                <w:color w:val="auto"/>
                <w:sz w:val="24"/>
                <w:highlight w:val="none"/>
              </w:rPr>
              <w:t>相关授权或承诺书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十三</w:t>
            </w:r>
          </w:p>
        </w:tc>
        <w:tc>
          <w:tcPr>
            <w:tcW w:w="5376" w:type="dxa"/>
            <w:vAlign w:val="center"/>
          </w:tcPr>
          <w:p>
            <w:pPr>
              <w:rPr>
                <w:color w:val="auto"/>
                <w:sz w:val="24"/>
                <w:highlight w:val="none"/>
              </w:rPr>
            </w:pPr>
            <w:r>
              <w:rPr>
                <w:rFonts w:hint="eastAsia"/>
                <w:color w:val="auto"/>
                <w:sz w:val="24"/>
                <w:highlight w:val="none"/>
              </w:rPr>
              <w:t>项目人员配备</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十四</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服务体系与维保方案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十五</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投标人认为需要提供的其他资料</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十六</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投标保证金退还声明</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b/>
                <w:color w:val="auto"/>
                <w:sz w:val="24"/>
                <w:szCs w:val="24"/>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pStyle w:val="5"/>
        <w:rPr>
          <w:rFonts w:hAnsi="宋体"/>
          <w:color w:val="auto"/>
          <w:sz w:val="28"/>
          <w:highlight w:val="none"/>
        </w:rPr>
      </w:pPr>
      <w:bookmarkStart w:id="131" w:name="_Toc536542354"/>
      <w:bookmarkStart w:id="132" w:name="_Toc26960"/>
      <w:r>
        <w:rPr>
          <w:rFonts w:hint="eastAsia" w:hAnsi="宋体"/>
          <w:color w:val="auto"/>
          <w:sz w:val="28"/>
          <w:highlight w:val="none"/>
        </w:rPr>
        <w:t>一．投标函</w:t>
      </w:r>
      <w:bookmarkEnd w:id="131"/>
      <w:bookmarkEnd w:id="132"/>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”的第号招标邀请书，正式授权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（姓名、身份证号）代表投标人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（投标人全称），提交规定形式的投标文件。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据此函，我方兹宣布同意如下：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并保证于买方要求的日期内完成供货、安装及服务，并通过买方验收。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同类货物和服务的市场平均价格。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7.我方承诺若中标，按招标文件要求提供本地化服务。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8.我方完全理解贵方不一定接受最低报价的投标。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10.与本投标有关的通讯地址：</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    话：传    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投标人基本账户开户名： 账号： 开户行：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投标人公章：日    期：</w:t>
      </w:r>
    </w:p>
    <w:p>
      <w:pPr>
        <w:widowControl/>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widowControl/>
        <w:spacing w:line="360" w:lineRule="exact"/>
        <w:ind w:left="840" w:leftChars="400"/>
        <w:jc w:val="left"/>
        <w:rPr>
          <w:rFonts w:ascii="宋体" w:hAnsi="宋体" w:cs="宋体"/>
          <w:color w:val="auto"/>
          <w:kern w:val="0"/>
          <w:sz w:val="24"/>
          <w:szCs w:val="24"/>
          <w:highlight w:val="none"/>
        </w:rPr>
      </w:pP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投标人（公章）：</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企业法人（签字）：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授权代表（签字）：</w:t>
      </w:r>
    </w:p>
    <w:p>
      <w:pPr>
        <w:widowControl/>
        <w:spacing w:line="520" w:lineRule="exact"/>
        <w:ind w:left="481" w:leftChars="229" w:firstLine="5280" w:firstLineChars="2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p>
      <w:pPr>
        <w:rPr>
          <w:rFonts w:ascii="宋体" w:hAnsi="宋体" w:cs="宋体"/>
          <w:color w:val="auto"/>
          <w:sz w:val="24"/>
          <w:szCs w:val="24"/>
          <w:highlight w:val="none"/>
        </w:rPr>
      </w:pPr>
    </w:p>
    <w:p>
      <w:pPr>
        <w:pStyle w:val="5"/>
        <w:rPr>
          <w:rFonts w:hAnsi="宋体"/>
          <w:color w:val="auto"/>
          <w:sz w:val="28"/>
          <w:highlight w:val="none"/>
        </w:rPr>
      </w:pPr>
      <w:bookmarkStart w:id="133" w:name="_Toc516969097"/>
      <w:bookmarkStart w:id="134" w:name="_Toc536542355"/>
      <w:bookmarkStart w:id="135" w:name="_Toc471736409"/>
    </w:p>
    <w:p>
      <w:pPr>
        <w:pStyle w:val="5"/>
        <w:rPr>
          <w:rFonts w:hAnsi="宋体"/>
          <w:color w:val="auto"/>
          <w:sz w:val="28"/>
          <w:highlight w:val="none"/>
        </w:rPr>
      </w:pPr>
    </w:p>
    <w:p>
      <w:pPr>
        <w:pStyle w:val="5"/>
        <w:rPr>
          <w:rFonts w:hAnsi="宋体"/>
          <w:color w:val="auto"/>
          <w:sz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rPr>
          <w:rFonts w:hAnsi="宋体"/>
          <w:color w:val="auto"/>
          <w:sz w:val="28"/>
          <w:highlight w:val="none"/>
        </w:rPr>
      </w:pPr>
      <w:bookmarkStart w:id="136" w:name="_Toc11199"/>
      <w:r>
        <w:rPr>
          <w:rFonts w:hint="eastAsia" w:hAnsi="宋体"/>
          <w:color w:val="auto"/>
          <w:sz w:val="28"/>
          <w:highlight w:val="none"/>
        </w:rPr>
        <w:t>二．投标人情况综合简介</w:t>
      </w:r>
      <w:bookmarkEnd w:id="133"/>
      <w:bookmarkEnd w:id="134"/>
      <w:bookmarkEnd w:id="135"/>
      <w:bookmarkEnd w:id="13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bookmarkStart w:id="137" w:name="_Toc536542356"/>
      <w:r>
        <w:rPr>
          <w:rFonts w:hint="eastAsia" w:ascii="宋体" w:hAnsi="宋体" w:cs="宋体"/>
          <w:color w:val="auto"/>
          <w:sz w:val="24"/>
          <w:szCs w:val="24"/>
          <w:highlight w:val="none"/>
        </w:rPr>
        <w:t>)</w:t>
      </w:r>
    </w:p>
    <w:p>
      <w:pPr>
        <w:pStyle w:val="5"/>
        <w:rPr>
          <w:rFonts w:hAnsi="宋体"/>
          <w:color w:val="auto"/>
          <w:sz w:val="28"/>
          <w:highlight w:val="none"/>
        </w:rPr>
      </w:pPr>
      <w:bookmarkStart w:id="138" w:name="_Toc11308"/>
      <w:r>
        <w:rPr>
          <w:rFonts w:hint="eastAsia" w:hAnsi="宋体"/>
          <w:color w:val="auto"/>
          <w:sz w:val="28"/>
          <w:highlight w:val="none"/>
        </w:rPr>
        <w:t>三．开标一览表</w:t>
      </w:r>
      <w:bookmarkEnd w:id="137"/>
      <w:bookmarkEnd w:id="138"/>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6667"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auto"/>
                <w:sz w:val="24"/>
                <w:szCs w:val="24"/>
                <w:highlight w:val="none"/>
              </w:rPr>
            </w:pPr>
          </w:p>
          <w:p>
            <w:pPr>
              <w:spacing w:line="360" w:lineRule="auto"/>
              <w:ind w:right="-670"/>
              <w:rPr>
                <w:rFonts w:ascii="宋体" w:hAnsi="宋体" w:cs="宋体"/>
                <w:color w:val="auto"/>
                <w:sz w:val="24"/>
                <w:szCs w:val="24"/>
                <w:highlight w:val="none"/>
              </w:rPr>
            </w:pPr>
            <w:r>
              <w:rPr>
                <w:rFonts w:hint="eastAsia" w:ascii="宋体" w:hAnsi="宋体" w:cs="宋体"/>
                <w:color w:val="auto"/>
                <w:sz w:val="24"/>
                <w:szCs w:val="24"/>
                <w:highlight w:val="none"/>
              </w:rPr>
              <w:t>合计：</w:t>
            </w:r>
            <w:r>
              <w:rPr>
                <w:rFonts w:hint="eastAsia" w:ascii="宋体" w:hAnsi="宋体" w:cs="宋体"/>
                <w:color w:val="auto"/>
                <w:sz w:val="24"/>
                <w:szCs w:val="24"/>
                <w:highlight w:val="none"/>
                <w:u w:val="single"/>
              </w:rPr>
              <w:t xml:space="preserve">人民币大写：                  （       ） </w:t>
            </w: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6667"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pStyle w:val="5"/>
        <w:rPr>
          <w:rFonts w:hAnsi="宋体"/>
          <w:color w:val="auto"/>
          <w:sz w:val="28"/>
          <w:highlight w:val="none"/>
        </w:rPr>
      </w:pPr>
      <w:bookmarkStart w:id="139" w:name="_Toc24620"/>
      <w:r>
        <w:rPr>
          <w:rFonts w:hint="eastAsia" w:hAnsi="宋体"/>
          <w:color w:val="auto"/>
          <w:sz w:val="28"/>
          <w:highlight w:val="none"/>
        </w:rPr>
        <w:t>四、分项报价一览表</w:t>
      </w:r>
      <w:bookmarkEnd w:id="139"/>
    </w:p>
    <w:tbl>
      <w:tblPr>
        <w:tblStyle w:val="66"/>
        <w:tblpPr w:leftFromText="180" w:rightFromText="180" w:vertAnchor="text" w:horzAnchor="margin" w:tblpY="158"/>
        <w:tblOverlap w:val="never"/>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896"/>
        <w:gridCol w:w="1517"/>
        <w:gridCol w:w="1241"/>
        <w:gridCol w:w="1417"/>
        <w:gridCol w:w="2717"/>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737" w:type="dxa"/>
            <w:gridSpan w:val="2"/>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6900" w:type="dxa"/>
            <w:gridSpan w:val="5"/>
            <w:shd w:val="clear" w:color="auto" w:fill="auto"/>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737" w:type="dxa"/>
            <w:gridSpan w:val="2"/>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6900" w:type="dxa"/>
            <w:gridSpan w:val="5"/>
            <w:shd w:val="clear" w:color="auto" w:fill="auto"/>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737" w:type="dxa"/>
            <w:gridSpan w:val="2"/>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6900" w:type="dxa"/>
            <w:gridSpan w:val="5"/>
            <w:shd w:val="clear" w:color="auto" w:fill="auto"/>
          </w:tcPr>
          <w:p>
            <w:pPr>
              <w:widowControl/>
              <w:jc w:val="left"/>
              <w:rPr>
                <w:color w:val="auto"/>
                <w:highlight w:val="none"/>
              </w:rPr>
            </w:pPr>
          </w:p>
          <w:p>
            <w:pPr>
              <w:widowControl/>
              <w:jc w:val="left"/>
              <w:rPr>
                <w:color w:val="auto"/>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98"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设备名称</w:t>
            </w: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w:t>
            </w:r>
          </w:p>
        </w:tc>
        <w:tc>
          <w:tcPr>
            <w:tcW w:w="14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金额</w:t>
            </w:r>
          </w:p>
        </w:tc>
        <w:tc>
          <w:tcPr>
            <w:tcW w:w="27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9"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30"/>
                <w:szCs w:val="30"/>
                <w:highlight w:val="none"/>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30"/>
                <w:szCs w:val="30"/>
                <w:highlight w:val="none"/>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30"/>
                <w:szCs w:val="30"/>
                <w:highlight w:val="none"/>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30"/>
                <w:szCs w:val="30"/>
                <w:highlight w:val="none"/>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30"/>
                <w:szCs w:val="30"/>
                <w:highlight w:val="none"/>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30"/>
                <w:szCs w:val="30"/>
                <w:highlight w:val="none"/>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2717"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30"/>
                <w:szCs w:val="30"/>
                <w:highlight w:val="none"/>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27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24" w:hRule="atLeast"/>
        </w:trPr>
        <w:tc>
          <w:tcPr>
            <w:tcW w:w="84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30"/>
                <w:szCs w:val="30"/>
                <w:highlight w:val="none"/>
              </w:rPr>
            </w:pPr>
          </w:p>
        </w:tc>
        <w:tc>
          <w:tcPr>
            <w:tcW w:w="18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 w:val="24"/>
                <w:szCs w:val="24"/>
                <w:highlight w:val="none"/>
              </w:rPr>
            </w:pPr>
          </w:p>
        </w:tc>
        <w:tc>
          <w:tcPr>
            <w:tcW w:w="27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000" w:hRule="atLeast"/>
        </w:trPr>
        <w:tc>
          <w:tcPr>
            <w:tcW w:w="9629"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exact"/>
              <w:ind w:firstLine="2520" w:firstLineChars="1050"/>
              <w:rPr>
                <w:rFonts w:ascii="宋体" w:hAnsi="宋体" w:cs="宋体"/>
                <w:color w:val="auto"/>
                <w:sz w:val="24"/>
                <w:szCs w:val="24"/>
                <w:highlight w:val="none"/>
              </w:rPr>
            </w:pPr>
          </w:p>
          <w:p>
            <w:pPr>
              <w:spacing w:line="360" w:lineRule="exact"/>
              <w:ind w:firstLine="2530" w:firstLineChars="1050"/>
              <w:rPr>
                <w:rFonts w:ascii="宋体" w:hAnsi="宋体" w:cs="宋体"/>
                <w:b/>
                <w:color w:val="auto"/>
                <w:sz w:val="24"/>
                <w:szCs w:val="24"/>
                <w:highlight w:val="none"/>
              </w:rPr>
            </w:pPr>
            <w:r>
              <w:rPr>
                <w:rFonts w:hint="eastAsia" w:ascii="宋体" w:hAnsi="宋体" w:cs="宋体"/>
                <w:b/>
                <w:color w:val="auto"/>
                <w:sz w:val="24"/>
                <w:szCs w:val="24"/>
                <w:highlight w:val="none"/>
              </w:rPr>
              <w:t>最终投标报价合计（人民币）：</w:t>
            </w:r>
          </w:p>
          <w:p>
            <w:pPr>
              <w:spacing w:line="360" w:lineRule="exact"/>
              <w:jc w:val="center"/>
              <w:rPr>
                <w:rFonts w:ascii="宋体" w:hAnsi="宋体" w:cs="宋体"/>
                <w:b/>
                <w:color w:val="auto"/>
                <w:sz w:val="24"/>
                <w:szCs w:val="24"/>
                <w:highlight w:val="none"/>
              </w:rPr>
            </w:pPr>
          </w:p>
        </w:tc>
      </w:tr>
    </w:tbl>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备注：以上报价包含人工费用、社保费、车旅费用、管理费、税金、应急维修费用等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其他材料费用另行支付。</w:t>
      </w:r>
    </w:p>
    <w:p>
      <w:pPr>
        <w:spacing w:line="500" w:lineRule="exact"/>
        <w:rPr>
          <w:rFonts w:ascii="宋体" w:hAnsi="宋体"/>
          <w:b/>
          <w:bCs/>
          <w:color w:val="auto"/>
          <w:sz w:val="24"/>
          <w:szCs w:val="24"/>
          <w:highlight w:val="none"/>
        </w:rPr>
      </w:pPr>
    </w:p>
    <w:p>
      <w:pPr>
        <w:spacing w:line="360" w:lineRule="auto"/>
        <w:rPr>
          <w:rFonts w:ascii="宋体" w:hAnsi="宋体" w:cs="宋体"/>
          <w:b/>
          <w:color w:val="auto"/>
          <w:sz w:val="24"/>
          <w:szCs w:val="24"/>
          <w:highlight w:val="none"/>
        </w:rPr>
      </w:pPr>
    </w:p>
    <w:p>
      <w:pPr>
        <w:rPr>
          <w:b/>
          <w:color w:val="auto"/>
          <w:sz w:val="24"/>
          <w:szCs w:val="24"/>
          <w:highlight w:val="none"/>
        </w:rPr>
      </w:pPr>
    </w:p>
    <w:p>
      <w:pPr>
        <w:spacing w:line="360" w:lineRule="auto"/>
        <w:rPr>
          <w:rFonts w:ascii="宋体" w:hAnsi="宋体" w:cs="宋体"/>
          <w:b/>
          <w:color w:val="auto"/>
          <w:sz w:val="24"/>
          <w:szCs w:val="24"/>
          <w:highlight w:val="none"/>
        </w:rPr>
      </w:pPr>
    </w:p>
    <w:p>
      <w:pPr>
        <w:rPr>
          <w:color w:val="auto"/>
          <w:highlight w:val="none"/>
        </w:rPr>
      </w:pPr>
      <w:bookmarkStart w:id="140" w:name="_Hlt509739007"/>
      <w:bookmarkEnd w:id="140"/>
      <w:bookmarkStart w:id="141" w:name="_Toc536542357"/>
    </w:p>
    <w:p>
      <w:pPr>
        <w:pStyle w:val="5"/>
        <w:rPr>
          <w:rFonts w:hAnsi="宋体"/>
          <w:color w:val="auto"/>
          <w:sz w:val="28"/>
          <w:highlight w:val="none"/>
        </w:rPr>
      </w:pPr>
      <w:bookmarkStart w:id="142" w:name="_Toc16135"/>
      <w:r>
        <w:rPr>
          <w:rFonts w:hint="eastAsia" w:hAnsi="宋体"/>
          <w:color w:val="auto"/>
          <w:sz w:val="28"/>
          <w:highlight w:val="none"/>
        </w:rPr>
        <w:t>五．投标响应表</w:t>
      </w:r>
      <w:bookmarkEnd w:id="141"/>
      <w:bookmarkEnd w:id="142"/>
    </w:p>
    <w:tbl>
      <w:tblPr>
        <w:tblStyle w:val="6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按招标文件规定填写</w:t>
            </w:r>
          </w:p>
        </w:tc>
        <w:tc>
          <w:tcPr>
            <w:tcW w:w="4200" w:type="dxa"/>
            <w:gridSpan w:val="2"/>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序号</w:t>
            </w:r>
          </w:p>
        </w:tc>
        <w:tc>
          <w:tcPr>
            <w:tcW w:w="147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名称/内容</w:t>
            </w:r>
          </w:p>
        </w:tc>
        <w:tc>
          <w:tcPr>
            <w:tcW w:w="252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招标要求</w:t>
            </w:r>
          </w:p>
        </w:tc>
        <w:tc>
          <w:tcPr>
            <w:tcW w:w="2310" w:type="dxa"/>
            <w:vAlign w:val="center"/>
          </w:tcPr>
          <w:p>
            <w:pPr>
              <w:pStyle w:val="33"/>
              <w:rPr>
                <w:rFonts w:hAnsi="宋体" w:cs="宋体"/>
                <w:b/>
                <w:color w:val="auto"/>
                <w:sz w:val="24"/>
                <w:szCs w:val="24"/>
                <w:highlight w:val="none"/>
              </w:rPr>
            </w:pPr>
            <w:r>
              <w:rPr>
                <w:rFonts w:hint="eastAsia" w:hAnsi="宋体" w:cs="宋体"/>
                <w:b/>
                <w:color w:val="auto"/>
                <w:sz w:val="24"/>
                <w:szCs w:val="24"/>
                <w:highlight w:val="none"/>
              </w:rPr>
              <w:t>投标具体内容/承诺</w:t>
            </w:r>
          </w:p>
          <w:p>
            <w:pPr>
              <w:pStyle w:val="33"/>
              <w:rPr>
                <w:rFonts w:hAnsi="宋体" w:cs="宋体"/>
                <w:b/>
                <w:color w:val="auto"/>
                <w:sz w:val="24"/>
                <w:szCs w:val="24"/>
                <w:highlight w:val="none"/>
              </w:rPr>
            </w:pPr>
            <w:r>
              <w:rPr>
                <w:rFonts w:hint="eastAsia" w:hAnsi="宋体" w:cs="宋体"/>
                <w:b/>
                <w:color w:val="auto"/>
                <w:sz w:val="24"/>
                <w:szCs w:val="24"/>
                <w:highlight w:val="none"/>
              </w:rPr>
              <w:t>（如所投产品品牌、型号、技术规格及配置、材质等）</w:t>
            </w:r>
          </w:p>
        </w:tc>
        <w:tc>
          <w:tcPr>
            <w:tcW w:w="189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pStyle w:val="124"/>
              <w:rPr>
                <w:rFonts w:ascii="宋体" w:hAnsi="宋体" w:cs="宋体"/>
                <w:color w:val="auto"/>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33"/>
              <w:jc w:val="center"/>
              <w:rPr>
                <w:rFonts w:hAnsi="宋体" w:cs="宋体"/>
                <w:color w:val="auto"/>
                <w:sz w:val="24"/>
                <w:szCs w:val="24"/>
                <w:highlight w:val="none"/>
              </w:rPr>
            </w:pPr>
            <w:r>
              <w:rPr>
                <w:rFonts w:hint="eastAsia" w:hAnsi="宋体" w:cs="宋体"/>
                <w:b/>
                <w:color w:val="auto"/>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序号</w:t>
            </w:r>
          </w:p>
        </w:tc>
        <w:tc>
          <w:tcPr>
            <w:tcW w:w="147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名称/内容</w:t>
            </w:r>
          </w:p>
        </w:tc>
        <w:tc>
          <w:tcPr>
            <w:tcW w:w="252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招标要求</w:t>
            </w:r>
          </w:p>
        </w:tc>
        <w:tc>
          <w:tcPr>
            <w:tcW w:w="231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投标承诺</w:t>
            </w:r>
          </w:p>
        </w:tc>
        <w:tc>
          <w:tcPr>
            <w:tcW w:w="1890" w:type="dxa"/>
            <w:vAlign w:val="center"/>
          </w:tcPr>
          <w:p>
            <w:pPr>
              <w:pStyle w:val="33"/>
              <w:jc w:val="center"/>
              <w:rPr>
                <w:rFonts w:hAnsi="宋体" w:cs="宋体"/>
                <w:b/>
                <w:color w:val="auto"/>
                <w:sz w:val="24"/>
                <w:szCs w:val="24"/>
                <w:highlight w:val="none"/>
              </w:rPr>
            </w:pPr>
            <w:r>
              <w:rPr>
                <w:rFonts w:hint="eastAsia" w:hAnsi="宋体" w:cs="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vAlign w:val="center"/>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bl>
    <w:p>
      <w:pPr>
        <w:pStyle w:val="3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33"/>
        <w:spacing w:line="360" w:lineRule="auto"/>
        <w:rPr>
          <w:rFonts w:hAnsi="宋体" w:cs="宋体"/>
          <w:b/>
          <w:bCs/>
          <w:color w:val="auto"/>
          <w:sz w:val="24"/>
          <w:szCs w:val="24"/>
          <w:highlight w:val="none"/>
        </w:rPr>
      </w:pPr>
      <w:r>
        <w:rPr>
          <w:rFonts w:hint="eastAsia" w:hAnsi="宋体" w:cs="宋体"/>
          <w:b/>
          <w:bCs/>
          <w:color w:val="auto"/>
          <w:sz w:val="24"/>
          <w:szCs w:val="24"/>
          <w:highlight w:val="none"/>
        </w:rPr>
        <w:t>1.投标人必须根据招标需求逐项对应描述</w:t>
      </w:r>
      <w:r>
        <w:rPr>
          <w:rFonts w:hint="eastAsia" w:hAnsi="宋体" w:cs="宋体"/>
          <w:b/>
          <w:color w:val="auto"/>
          <w:sz w:val="24"/>
          <w:szCs w:val="24"/>
          <w:highlight w:val="none"/>
        </w:rPr>
        <w:t>投标的具体内容，如</w:t>
      </w:r>
      <w:r>
        <w:rPr>
          <w:rFonts w:hint="eastAsia" w:hAnsi="宋体" w:cs="宋体"/>
          <w:b/>
          <w:bCs/>
          <w:color w:val="auto"/>
          <w:sz w:val="24"/>
          <w:szCs w:val="24"/>
          <w:highlight w:val="none"/>
        </w:rPr>
        <w:t>投标货物主要参数、材质、配置及服务要求等，如不进行描述，仅在“</w:t>
      </w:r>
      <w:r>
        <w:rPr>
          <w:rFonts w:hint="eastAsia" w:hAnsi="宋体" w:cs="宋体"/>
          <w:b/>
          <w:color w:val="auto"/>
          <w:sz w:val="24"/>
          <w:szCs w:val="24"/>
          <w:highlight w:val="none"/>
        </w:rPr>
        <w:t>按投标人所投内容填写</w:t>
      </w:r>
      <w:r>
        <w:rPr>
          <w:rFonts w:hint="eastAsia" w:hAnsi="宋体" w:cs="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143" w:name="_Toc461103234"/>
      <w:bookmarkStart w:id="144" w:name="_Toc471736411"/>
      <w:bookmarkStart w:id="145" w:name="_Toc197934563"/>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highlight w:val="none"/>
        </w:rPr>
      </w:pPr>
      <w:bookmarkStart w:id="146" w:name="_Toc8661"/>
      <w:bookmarkStart w:id="147" w:name="_Toc536542359"/>
      <w:bookmarkStart w:id="148" w:name="_Toc508363611"/>
      <w:r>
        <w:rPr>
          <w:rFonts w:hint="eastAsia" w:hAnsi="宋体"/>
          <w:color w:val="auto"/>
          <w:sz w:val="28"/>
          <w:highlight w:val="none"/>
          <w:lang w:val="en-US" w:eastAsia="zh-CN"/>
        </w:rPr>
        <w:t>六</w:t>
      </w:r>
      <w:r>
        <w:rPr>
          <w:rFonts w:hint="eastAsia" w:hAnsi="宋体"/>
          <w:color w:val="auto"/>
          <w:sz w:val="28"/>
          <w:highlight w:val="none"/>
        </w:rPr>
        <w:t>．投标授权书</w:t>
      </w:r>
      <w:bookmarkEnd w:id="146"/>
      <w:bookmarkEnd w:id="147"/>
      <w:bookmarkEnd w:id="148"/>
    </w:p>
    <w:p>
      <w:pPr>
        <w:pStyle w:val="33"/>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本授权书声明：公司授权（投标人授权代表姓名、职务，手机号码）代表本公司参加合肥文旅博览集团有限公司</w:t>
      </w:r>
      <w:r>
        <w:rPr>
          <w:rFonts w:hint="eastAsia" w:hAnsi="宋体"/>
          <w:bCs/>
          <w:color w:val="auto"/>
          <w:sz w:val="24"/>
          <w:szCs w:val="28"/>
          <w:highlight w:val="none"/>
        </w:rPr>
        <w:t>招标活动（项目编号：）</w:t>
      </w:r>
      <w:r>
        <w:rPr>
          <w:rFonts w:hint="eastAsia"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3"/>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p>
    <w:p>
      <w:pPr>
        <w:rPr>
          <w:rFonts w:ascii="宋体" w:hAnsi="宋体"/>
          <w:color w:val="auto"/>
          <w:sz w:val="28"/>
          <w:szCs w:val="28"/>
          <w:highlight w:val="none"/>
        </w:rPr>
      </w:pPr>
    </w:p>
    <w:p>
      <w:pPr>
        <w:pStyle w:val="33"/>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33"/>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1.本项目只允许有唯一的投标人授权代表（须与投标函中授权代表为同一人，否则投标无效），投标文件中提供授权代表身份证</w:t>
      </w:r>
      <w:r>
        <w:rPr>
          <w:rFonts w:hint="eastAsia" w:hAnsi="宋体"/>
          <w:color w:val="auto"/>
          <w:sz w:val="24"/>
          <w:highlight w:val="none"/>
        </w:rPr>
        <w:t>扫描件</w:t>
      </w:r>
      <w:r>
        <w:rPr>
          <w:rFonts w:hint="eastAsia" w:hAnsi="宋体"/>
          <w:color w:val="auto"/>
          <w:sz w:val="24"/>
          <w:szCs w:val="28"/>
          <w:highlight w:val="none"/>
        </w:rPr>
        <w:t>。</w:t>
      </w:r>
    </w:p>
    <w:p>
      <w:pPr>
        <w:pStyle w:val="33"/>
        <w:snapToGrid w:val="0"/>
        <w:spacing w:line="360" w:lineRule="auto"/>
        <w:jc w:val="left"/>
        <w:rPr>
          <w:rFonts w:hAnsi="宋体"/>
          <w:color w:val="auto"/>
          <w:sz w:val="24"/>
          <w:szCs w:val="24"/>
          <w:highlight w:val="none"/>
        </w:rPr>
      </w:pPr>
      <w:r>
        <w:rPr>
          <w:rFonts w:hint="eastAsia" w:hAnsi="宋体"/>
          <w:color w:val="auto"/>
          <w:sz w:val="24"/>
          <w:szCs w:val="28"/>
          <w:highlight w:val="none"/>
        </w:rPr>
        <w:t>2.法定代表人参加投标的无需此件，</w:t>
      </w:r>
      <w:r>
        <w:rPr>
          <w:rFonts w:hint="eastAsia" w:hAnsi="宋体"/>
          <w:color w:val="auto"/>
          <w:sz w:val="24"/>
          <w:highlight w:val="none"/>
        </w:rPr>
        <w:t>但投标文件中须提供身份证扫描件。</w:t>
      </w:r>
    </w:p>
    <w:p>
      <w:pPr>
        <w:pStyle w:val="5"/>
        <w:rPr>
          <w:rFonts w:hAnsi="宋体" w:cs="宋体"/>
          <w:color w:val="auto"/>
          <w:sz w:val="28"/>
          <w:szCs w:val="28"/>
          <w:highlight w:val="none"/>
        </w:rPr>
      </w:pPr>
      <w:bookmarkStart w:id="149" w:name="_Toc536542360"/>
      <w:bookmarkStart w:id="150" w:name="_Toc27520"/>
      <w:r>
        <w:rPr>
          <w:rFonts w:hint="eastAsia" w:hAnsi="宋体" w:cs="宋体"/>
          <w:color w:val="auto"/>
          <w:sz w:val="28"/>
          <w:szCs w:val="28"/>
          <w:highlight w:val="none"/>
          <w:lang w:val="en-US" w:eastAsia="zh-CN"/>
        </w:rPr>
        <w:t>七</w:t>
      </w:r>
      <w:r>
        <w:rPr>
          <w:rFonts w:hint="eastAsia" w:hAnsi="宋体" w:cs="宋体"/>
          <w:color w:val="auto"/>
          <w:sz w:val="28"/>
          <w:szCs w:val="28"/>
          <w:highlight w:val="none"/>
        </w:rPr>
        <w:t>．投标人信用承诺</w:t>
      </w:r>
      <w:bookmarkEnd w:id="143"/>
      <w:bookmarkEnd w:id="144"/>
      <w:bookmarkEnd w:id="149"/>
      <w:bookmarkEnd w:id="150"/>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我公司申明，我公司无以下不良信用记录情形：</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1.公司被人民法院列入失信被执行人；</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2.公司、公司法定代表人被人民检察院列入行贿犯罪档案；</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3.公司被工商行政管理部门列入企业经营异常名录；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4.公司被税务部门列入重大税收违法案件当事人名单的；</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5. 参加本次投标活动前三年内，在服务活动中没有重大违法及安全事故记录。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r>
        <w:rPr>
          <w:rFonts w:hint="eastAsia" w:ascii="宋体" w:hAnsi="宋体" w:cs="宋体"/>
          <w:b/>
          <w:color w:val="auto"/>
          <w:sz w:val="24"/>
          <w:szCs w:val="24"/>
          <w:highlight w:val="none"/>
        </w:rPr>
        <w:t>投标人（公章）：</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bookmarkEnd w:id="145"/>
    <w:p>
      <w:pPr>
        <w:pStyle w:val="5"/>
        <w:rPr>
          <w:rFonts w:hAnsi="宋体" w:cs="宋体"/>
          <w:color w:val="auto"/>
          <w:sz w:val="28"/>
          <w:szCs w:val="28"/>
          <w:highlight w:val="none"/>
        </w:rPr>
      </w:pPr>
      <w:bookmarkStart w:id="151" w:name="_Hlt509738950"/>
      <w:bookmarkEnd w:id="151"/>
      <w:bookmarkStart w:id="152" w:name="_Toc496587831"/>
      <w:bookmarkStart w:id="153" w:name="_Toc536542361"/>
      <w:bookmarkStart w:id="154" w:name="_Toc10159"/>
      <w:r>
        <w:rPr>
          <w:rFonts w:hint="eastAsia" w:hAnsi="宋体" w:cs="宋体"/>
          <w:color w:val="auto"/>
          <w:sz w:val="28"/>
          <w:szCs w:val="28"/>
          <w:highlight w:val="none"/>
          <w:lang w:val="en-US" w:eastAsia="zh-CN"/>
        </w:rPr>
        <w:t>八</w:t>
      </w:r>
      <w:r>
        <w:rPr>
          <w:rFonts w:hint="eastAsia" w:hAnsi="宋体" w:cs="宋体"/>
          <w:color w:val="auto"/>
          <w:sz w:val="28"/>
          <w:szCs w:val="28"/>
          <w:highlight w:val="none"/>
        </w:rPr>
        <w:t>.</w:t>
      </w:r>
      <w:bookmarkEnd w:id="152"/>
      <w:r>
        <w:rPr>
          <w:rFonts w:hint="eastAsia" w:hAnsi="宋体" w:cs="宋体"/>
          <w:color w:val="auto"/>
          <w:sz w:val="28"/>
          <w:szCs w:val="28"/>
          <w:highlight w:val="none"/>
        </w:rPr>
        <w:t xml:space="preserve"> 投标业绩</w:t>
      </w:r>
      <w:bookmarkEnd w:id="153"/>
      <w:bookmarkEnd w:id="154"/>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（一）业绩表</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（格式仅供参考）</w:t>
      </w:r>
    </w:p>
    <w:tbl>
      <w:tblPr>
        <w:tblStyle w:val="66"/>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10"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合同总金额</w:t>
            </w:r>
          </w:p>
        </w:tc>
        <w:tc>
          <w:tcPr>
            <w:tcW w:w="2551"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业主单位及联系电话</w:t>
            </w:r>
          </w:p>
        </w:tc>
        <w:tc>
          <w:tcPr>
            <w:tcW w:w="113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bl>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（二）业绩证明材料</w:t>
      </w:r>
    </w:p>
    <w:p>
      <w:pPr>
        <w:spacing w:before="48" w:beforeLines="20" w:after="48" w:afterLines="2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pStyle w:val="5"/>
        <w:rPr>
          <w:rFonts w:hAnsi="宋体"/>
          <w:color w:val="auto"/>
          <w:sz w:val="28"/>
          <w:szCs w:val="36"/>
          <w:highlight w:val="none"/>
        </w:rPr>
      </w:pPr>
      <w:bookmarkStart w:id="155" w:name="_Toc536542362"/>
      <w:bookmarkStart w:id="156" w:name="_Toc471736419"/>
      <w:bookmarkStart w:id="157" w:name="_Toc220232402"/>
      <w:bookmarkStart w:id="158" w:name="_Toc6465"/>
      <w:bookmarkStart w:id="159" w:name="_Toc508363610"/>
      <w:bookmarkStart w:id="160" w:name="_Toc516969105"/>
      <w:r>
        <w:rPr>
          <w:rFonts w:hint="eastAsia" w:hAnsi="宋体"/>
          <w:color w:val="auto"/>
          <w:sz w:val="28"/>
          <w:highlight w:val="none"/>
          <w:lang w:val="en-US" w:eastAsia="zh-CN"/>
        </w:rPr>
        <w:t>九</w:t>
      </w:r>
      <w:r>
        <w:rPr>
          <w:rFonts w:hint="eastAsia" w:hAnsi="宋体"/>
          <w:color w:val="auto"/>
          <w:sz w:val="28"/>
          <w:highlight w:val="none"/>
        </w:rPr>
        <w:t>．有关证明文件</w:t>
      </w:r>
      <w:bookmarkEnd w:id="155"/>
      <w:bookmarkEnd w:id="156"/>
      <w:bookmarkEnd w:id="157"/>
      <w:bookmarkEnd w:id="158"/>
      <w:bookmarkEnd w:id="159"/>
      <w:bookmarkEnd w:id="160"/>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33"/>
        <w:snapToGrid w:val="0"/>
        <w:spacing w:before="120" w:after="120" w:line="360" w:lineRule="auto"/>
        <w:ind w:firstLine="480"/>
        <w:jc w:val="left"/>
        <w:rPr>
          <w:rFonts w:hAnsi="宋体"/>
          <w:color w:val="auto"/>
          <w:sz w:val="24"/>
          <w:highlight w:val="none"/>
        </w:rPr>
      </w:pPr>
      <w:r>
        <w:rPr>
          <w:rFonts w:hint="eastAsia" w:hAnsi="宋体"/>
          <w:color w:val="auto"/>
          <w:sz w:val="24"/>
          <w:highlight w:val="none"/>
        </w:rPr>
        <w:t>特别提示：</w:t>
      </w:r>
    </w:p>
    <w:p>
      <w:pPr>
        <w:pStyle w:val="33"/>
        <w:snapToGrid w:val="0"/>
        <w:spacing w:line="360" w:lineRule="auto"/>
        <w:ind w:firstLine="482"/>
        <w:jc w:val="left"/>
        <w:rPr>
          <w:rFonts w:hAnsi="宋体"/>
          <w:color w:val="auto"/>
          <w:sz w:val="24"/>
          <w:highlight w:val="none"/>
        </w:rPr>
      </w:pPr>
      <w:r>
        <w:rPr>
          <w:rFonts w:hint="eastAsia" w:hAnsi="宋体"/>
          <w:color w:val="auto"/>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tabs>
          <w:tab w:val="left" w:pos="4620"/>
        </w:tabs>
        <w:spacing w:line="360" w:lineRule="auto"/>
        <w:ind w:firstLine="480" w:firstLineChars="200"/>
        <w:rPr>
          <w:rFonts w:ascii="宋体" w:hAnsi="宋体"/>
          <w:color w:val="auto"/>
          <w:sz w:val="24"/>
          <w:highlight w:val="none"/>
        </w:rPr>
      </w:pPr>
    </w:p>
    <w:p>
      <w:pPr>
        <w:pStyle w:val="5"/>
        <w:rPr>
          <w:rFonts w:hAnsi="宋体"/>
          <w:color w:val="auto"/>
          <w:sz w:val="28"/>
          <w:highlight w:val="none"/>
        </w:rPr>
      </w:pPr>
      <w:bookmarkStart w:id="161" w:name="_Toc15648"/>
      <w:bookmarkStart w:id="162" w:name="_Toc515390551"/>
      <w:r>
        <w:rPr>
          <w:rFonts w:hint="eastAsia" w:hAnsi="宋体"/>
          <w:color w:val="auto"/>
          <w:sz w:val="28"/>
          <w:highlight w:val="none"/>
        </w:rPr>
        <w:t>十．</w:t>
      </w:r>
      <w:bookmarkStart w:id="163" w:name="_Toc420342105"/>
      <w:r>
        <w:rPr>
          <w:rFonts w:hint="eastAsia" w:hAnsi="宋体"/>
          <w:color w:val="auto"/>
          <w:sz w:val="28"/>
          <w:highlight w:val="none"/>
        </w:rPr>
        <w:t>生产厂商授权书</w:t>
      </w:r>
      <w:bookmarkEnd w:id="161"/>
      <w:bookmarkEnd w:id="162"/>
      <w:bookmarkEnd w:id="163"/>
    </w:p>
    <w:p>
      <w:pPr>
        <w:spacing w:line="360" w:lineRule="auto"/>
        <w:jc w:val="center"/>
        <w:rPr>
          <w:rFonts w:ascii="宋体" w:hAnsi="宋体"/>
          <w:color w:val="auto"/>
          <w:sz w:val="24"/>
          <w:highlight w:val="none"/>
        </w:rPr>
      </w:pPr>
      <w:r>
        <w:rPr>
          <w:rFonts w:ascii="宋体" w:hAnsi="宋体"/>
          <w:b/>
          <w:color w:val="auto"/>
          <w:sz w:val="24"/>
          <w:highlight w:val="none"/>
        </w:rPr>
        <w:t>（</w:t>
      </w:r>
      <w:r>
        <w:rPr>
          <w:rFonts w:hint="eastAsia" w:ascii="宋体" w:hAnsi="宋体"/>
          <w:b/>
          <w:color w:val="auto"/>
          <w:sz w:val="24"/>
          <w:highlight w:val="none"/>
        </w:rPr>
        <w:t>如允许标后提供授权，或为自制产品，或不允许代理商/销售商投标，不需此件）</w:t>
      </w:r>
    </w:p>
    <w:p>
      <w:pPr>
        <w:spacing w:line="360" w:lineRule="auto"/>
        <w:rPr>
          <w:rFonts w:ascii="宋体" w:hAnsi="宋体"/>
          <w:b/>
          <w:color w:val="auto"/>
          <w:sz w:val="24"/>
          <w:szCs w:val="20"/>
          <w:highlight w:val="none"/>
        </w:rPr>
      </w:pPr>
      <w:r>
        <w:rPr>
          <w:rFonts w:hint="eastAsia" w:ascii="宋体" w:hAnsi="宋体"/>
          <w:b/>
          <w:color w:val="auto"/>
          <w:sz w:val="24"/>
          <w:szCs w:val="20"/>
          <w:highlight w:val="none"/>
        </w:rPr>
        <w:t>致：合肥文旅博览集团有限公司</w:t>
      </w:r>
    </w:p>
    <w:p>
      <w:pPr>
        <w:spacing w:line="360" w:lineRule="auto"/>
        <w:rPr>
          <w:rFonts w:ascii="宋体" w:hAnsi="宋体"/>
          <w:b/>
          <w:color w:val="auto"/>
          <w:sz w:val="24"/>
          <w:szCs w:val="20"/>
          <w:highlight w:val="none"/>
        </w:rPr>
      </w:pPr>
      <w:r>
        <w:rPr>
          <w:rFonts w:hint="eastAsia"/>
          <w:b/>
          <w:color w:val="auto"/>
          <w:sz w:val="28"/>
          <w:szCs w:val="20"/>
          <w:highlight w:val="none"/>
        </w:rPr>
        <w:t xml:space="preserve">     </w:t>
      </w:r>
      <w:r>
        <w:rPr>
          <w:rFonts w:hint="eastAsia" w:ascii="宋体" w:hAnsi="宋体"/>
          <w:b/>
          <w:color w:val="auto"/>
          <w:sz w:val="24"/>
          <w:szCs w:val="20"/>
          <w:highlight w:val="none"/>
        </w:rPr>
        <w:t>某业主单位</w:t>
      </w:r>
    </w:p>
    <w:p>
      <w:pPr>
        <w:spacing w:line="360" w:lineRule="auto"/>
        <w:rPr>
          <w:rFonts w:ascii="宋体" w:hAnsi="宋体"/>
          <w:b/>
          <w:color w:val="auto"/>
          <w:sz w:val="24"/>
          <w:szCs w:val="20"/>
          <w:highlight w:val="none"/>
        </w:rPr>
      </w:pPr>
      <w:r>
        <w:rPr>
          <w:rFonts w:hint="eastAsia" w:ascii="宋体" w:hAnsi="宋体"/>
          <w:b/>
          <w:color w:val="auto"/>
          <w:sz w:val="24"/>
          <w:szCs w:val="20"/>
          <w:highlight w:val="none"/>
          <w:u w:val="single"/>
        </w:rPr>
        <w:t xml:space="preserve">               </w:t>
      </w:r>
      <w:r>
        <w:rPr>
          <w:rFonts w:hint="eastAsia" w:ascii="宋体" w:hAnsi="宋体"/>
          <w:b/>
          <w:color w:val="auto"/>
          <w:sz w:val="24"/>
          <w:szCs w:val="20"/>
          <w:highlight w:val="none"/>
        </w:rPr>
        <w:t>（生产厂商名称）是根据</w:t>
      </w:r>
      <w:r>
        <w:rPr>
          <w:rFonts w:hint="eastAsia" w:ascii="宋体" w:hAnsi="宋体"/>
          <w:b/>
          <w:color w:val="auto"/>
          <w:sz w:val="24"/>
          <w:szCs w:val="20"/>
          <w:highlight w:val="none"/>
          <w:u w:val="single"/>
        </w:rPr>
        <w:t xml:space="preserve">            </w:t>
      </w:r>
      <w:r>
        <w:rPr>
          <w:rFonts w:hint="eastAsia" w:ascii="宋体" w:hAnsi="宋体"/>
          <w:b/>
          <w:color w:val="auto"/>
          <w:sz w:val="24"/>
          <w:szCs w:val="20"/>
          <w:highlight w:val="none"/>
        </w:rPr>
        <w:t>依法正式成立的，主营业地点在</w:t>
      </w:r>
      <w:r>
        <w:rPr>
          <w:rFonts w:hint="eastAsia" w:ascii="宋体" w:hAnsi="宋体"/>
          <w:b/>
          <w:color w:val="auto"/>
          <w:sz w:val="24"/>
          <w:szCs w:val="20"/>
          <w:highlight w:val="none"/>
          <w:u w:val="single"/>
        </w:rPr>
        <w:t xml:space="preserve">              </w:t>
      </w:r>
      <w:r>
        <w:rPr>
          <w:rFonts w:hint="eastAsia" w:ascii="宋体" w:hAnsi="宋体"/>
          <w:b/>
          <w:color w:val="auto"/>
          <w:sz w:val="24"/>
          <w:szCs w:val="20"/>
          <w:highlight w:val="none"/>
        </w:rPr>
        <w:t xml:space="preserve"> （生产厂商地址）。</w:t>
      </w:r>
      <w:r>
        <w:rPr>
          <w:rFonts w:hint="eastAsia" w:ascii="宋体" w:hAnsi="宋体"/>
          <w:b/>
          <w:color w:val="auto"/>
          <w:sz w:val="24"/>
          <w:szCs w:val="20"/>
          <w:highlight w:val="none"/>
          <w:u w:val="single"/>
        </w:rPr>
        <w:t xml:space="preserve">             </w:t>
      </w:r>
      <w:r>
        <w:rPr>
          <w:rFonts w:hint="eastAsia" w:ascii="宋体" w:hAnsi="宋体"/>
          <w:b/>
          <w:color w:val="auto"/>
          <w:sz w:val="24"/>
          <w:szCs w:val="20"/>
          <w:highlight w:val="none"/>
        </w:rPr>
        <w:t>公司是我公司正式授权经营我公司</w:t>
      </w:r>
      <w:r>
        <w:rPr>
          <w:rFonts w:hint="eastAsia" w:ascii="宋体" w:hAnsi="宋体"/>
          <w:b/>
          <w:color w:val="auto"/>
          <w:sz w:val="24"/>
          <w:szCs w:val="20"/>
          <w:highlight w:val="none"/>
          <w:u w:val="single"/>
        </w:rPr>
        <w:t xml:space="preserve">            </w:t>
      </w:r>
      <w:r>
        <w:rPr>
          <w:rFonts w:hint="eastAsia" w:ascii="宋体" w:hAnsi="宋体"/>
          <w:b/>
          <w:color w:val="auto"/>
          <w:sz w:val="24"/>
          <w:szCs w:val="20"/>
          <w:highlight w:val="none"/>
        </w:rPr>
        <w:t>（产品名称）的商家，它有权提供合肥文旅博览集团有限公司</w:t>
      </w:r>
      <w:r>
        <w:rPr>
          <w:rFonts w:hint="eastAsia" w:ascii="宋体" w:hAnsi="宋体"/>
          <w:color w:val="auto"/>
          <w:sz w:val="24"/>
          <w:szCs w:val="20"/>
          <w:highlight w:val="none"/>
        </w:rPr>
        <w:t>司</w:t>
      </w:r>
      <w:r>
        <w:rPr>
          <w:rFonts w:hint="eastAsia" w:ascii="宋体" w:hAnsi="宋体"/>
          <w:b/>
          <w:color w:val="auto"/>
          <w:sz w:val="24"/>
          <w:szCs w:val="20"/>
          <w:highlight w:val="none"/>
        </w:rPr>
        <w:t>第</w:t>
      </w:r>
      <w:r>
        <w:rPr>
          <w:rFonts w:hint="eastAsia" w:ascii="宋体" w:hAnsi="宋体"/>
          <w:color w:val="auto"/>
          <w:sz w:val="24"/>
          <w:szCs w:val="20"/>
          <w:highlight w:val="none"/>
          <w:u w:val="single"/>
        </w:rPr>
        <w:t>某编号</w:t>
      </w:r>
      <w:r>
        <w:rPr>
          <w:rFonts w:hint="eastAsia" w:ascii="宋体" w:hAnsi="宋体"/>
          <w:b/>
          <w:color w:val="auto"/>
          <w:sz w:val="24"/>
          <w:szCs w:val="20"/>
          <w:highlight w:val="none"/>
        </w:rPr>
        <w:t>号</w:t>
      </w:r>
      <w:r>
        <w:rPr>
          <w:rFonts w:hint="eastAsia" w:ascii="宋体" w:hAnsi="宋体"/>
          <w:bCs/>
          <w:color w:val="auto"/>
          <w:sz w:val="24"/>
          <w:szCs w:val="20"/>
          <w:highlight w:val="none"/>
          <w:u w:val="single"/>
        </w:rPr>
        <w:t>某项目</w:t>
      </w:r>
      <w:r>
        <w:rPr>
          <w:rFonts w:hint="eastAsia" w:ascii="宋体" w:hAnsi="宋体"/>
          <w:b/>
          <w:color w:val="auto"/>
          <w:sz w:val="24"/>
          <w:szCs w:val="20"/>
          <w:highlight w:val="none"/>
        </w:rPr>
        <w:t>所需的由我公司生产或制造的货物。</w:t>
      </w:r>
    </w:p>
    <w:p>
      <w:pPr>
        <w:spacing w:line="360" w:lineRule="auto"/>
        <w:ind w:firstLine="630"/>
        <w:rPr>
          <w:rFonts w:ascii="宋体" w:hAnsi="宋体"/>
          <w:color w:val="auto"/>
          <w:sz w:val="24"/>
          <w:highlight w:val="none"/>
        </w:rPr>
      </w:pPr>
      <w:r>
        <w:rPr>
          <w:rFonts w:hint="eastAsia" w:ascii="宋体" w:hAnsi="宋体"/>
          <w:color w:val="auto"/>
          <w:sz w:val="24"/>
          <w:highlight w:val="none"/>
        </w:rPr>
        <w:t>我公司保证与投标人共同承担该项目的相关法律责任及义务。</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贸易公司名称(</w:t>
      </w:r>
      <w:r>
        <w:rPr>
          <w:rFonts w:hint="eastAsia" w:ascii="宋体" w:hAnsi="宋体"/>
          <w:b/>
          <w:bCs/>
          <w:color w:val="auto"/>
          <w:sz w:val="24"/>
          <w:highlight w:val="none"/>
        </w:rPr>
        <w:t>如涉及进口产品</w:t>
      </w:r>
      <w:r>
        <w:rPr>
          <w:rFonts w:hint="eastAsia" w:ascii="宋体" w:hAnsi="宋体"/>
          <w:color w:val="auto"/>
          <w:sz w:val="24"/>
          <w:highlight w:val="none"/>
        </w:rPr>
        <w:t>)：</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出具授权书的生产厂商名称：</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rPr>
      </w:pPr>
      <w:r>
        <w:rPr>
          <w:rFonts w:hint="eastAsia" w:ascii="宋体" w:hAnsi="宋体"/>
          <w:color w:val="auto"/>
          <w:sz w:val="24"/>
          <w:highlight w:val="none"/>
        </w:rPr>
        <w:t>授权人公章：</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pPr>
        <w:ind w:firstLine="630"/>
        <w:rPr>
          <w:rFonts w:ascii="宋体" w:hAnsi="宋体"/>
          <w:color w:val="auto"/>
          <w:sz w:val="24"/>
          <w:highlight w:val="none"/>
          <w:u w:val="single"/>
        </w:rPr>
      </w:pPr>
    </w:p>
    <w:p>
      <w:pPr>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5"/>
        <w:rPr>
          <w:rFonts w:hAnsi="宋体"/>
          <w:color w:val="auto"/>
          <w:sz w:val="24"/>
          <w:szCs w:val="24"/>
          <w:highlight w:val="none"/>
        </w:rPr>
      </w:pPr>
      <w:bookmarkStart w:id="164" w:name="_Toc26352"/>
      <w:bookmarkStart w:id="165" w:name="_Toc515390552"/>
      <w:r>
        <w:rPr>
          <w:rFonts w:hint="eastAsia" w:hAnsi="宋体"/>
          <w:color w:val="auto"/>
          <w:sz w:val="28"/>
          <w:highlight w:val="none"/>
        </w:rPr>
        <w:t>十</w:t>
      </w:r>
      <w:r>
        <w:rPr>
          <w:rFonts w:hint="eastAsia" w:hAnsi="宋体"/>
          <w:color w:val="auto"/>
          <w:sz w:val="28"/>
          <w:highlight w:val="none"/>
          <w:lang w:val="en-US" w:eastAsia="zh-CN"/>
        </w:rPr>
        <w:t>一</w:t>
      </w:r>
      <w:r>
        <w:rPr>
          <w:rFonts w:hint="eastAsia" w:hAnsi="宋体"/>
          <w:color w:val="auto"/>
          <w:sz w:val="28"/>
          <w:highlight w:val="none"/>
        </w:rPr>
        <w:t>．相关授权或承诺书</w:t>
      </w:r>
      <w:bookmarkEnd w:id="164"/>
      <w:bookmarkEnd w:id="165"/>
    </w:p>
    <w:p>
      <w:pPr>
        <w:spacing w:before="48" w:beforeLines="20" w:after="48" w:afterLines="20" w:line="360" w:lineRule="auto"/>
        <w:ind w:firstLine="482" w:firstLineChars="200"/>
        <w:jc w:val="center"/>
        <w:rPr>
          <w:rFonts w:ascii="宋体" w:hAnsi="宋体"/>
          <w:color w:val="auto"/>
          <w:sz w:val="24"/>
          <w:highlight w:val="none"/>
        </w:rPr>
      </w:pPr>
      <w:r>
        <w:rPr>
          <w:rFonts w:hint="eastAsia"/>
          <w:b/>
          <w:color w:val="auto"/>
          <w:sz w:val="24"/>
          <w:szCs w:val="24"/>
          <w:highlight w:val="none"/>
          <w:shd w:val="pct10" w:color="auto" w:fill="FFFFFF"/>
        </w:rPr>
        <w:t>（如招标文件无相关产品厂家授权或承诺书要求，不需此件）</w:t>
      </w:r>
    </w:p>
    <w:p>
      <w:pPr>
        <w:pStyle w:val="36"/>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36"/>
        <w:spacing w:line="360" w:lineRule="auto"/>
        <w:rPr>
          <w:color w:val="auto"/>
          <w:highlight w:val="none"/>
        </w:rPr>
      </w:pPr>
      <w:r>
        <w:rPr>
          <w:rFonts w:hint="eastAsia" w:ascii="宋体" w:hAnsi="宋体"/>
          <w:b w:val="0"/>
          <w:color w:val="auto"/>
          <w:sz w:val="24"/>
          <w:highlight w:val="none"/>
        </w:rPr>
        <w:t>某业主单位</w:t>
      </w:r>
    </w:p>
    <w:p>
      <w:pPr>
        <w:spacing w:line="480" w:lineRule="auto"/>
        <w:ind w:firstLine="482" w:firstLineChars="200"/>
        <w:rPr>
          <w:rFonts w:ascii="宋体" w:hAnsi="宋体"/>
          <w:color w:val="auto"/>
          <w:sz w:val="24"/>
          <w:highlight w:val="none"/>
        </w:rPr>
      </w:pPr>
      <w:r>
        <w:rPr>
          <w:rFonts w:hint="eastAsia" w:ascii="宋体" w:hAnsi="宋体"/>
          <w:b/>
          <w:color w:val="auto"/>
          <w:sz w:val="24"/>
          <w:szCs w:val="24"/>
          <w:highlight w:val="none"/>
        </w:rPr>
        <w:t>若</w:t>
      </w:r>
      <w:r>
        <w:rPr>
          <w:rFonts w:ascii="宋体" w:hAnsi="宋体"/>
          <w:b/>
          <w:color w:val="auto"/>
          <w:sz w:val="24"/>
          <w:szCs w:val="24"/>
          <w:highlight w:val="none"/>
        </w:rPr>
        <w:t>我公司中标，我公司将在</w:t>
      </w:r>
      <w:r>
        <w:rPr>
          <w:rFonts w:hint="eastAsia" w:ascii="宋体" w:hAnsi="宋体"/>
          <w:b/>
          <w:color w:val="auto"/>
          <w:sz w:val="24"/>
          <w:szCs w:val="24"/>
          <w:highlight w:val="none"/>
        </w:rPr>
        <w:t>供货前</w:t>
      </w:r>
      <w:r>
        <w:rPr>
          <w:rFonts w:ascii="宋体" w:hAnsi="宋体"/>
          <w:b/>
          <w:color w:val="auto"/>
          <w:sz w:val="24"/>
          <w:szCs w:val="24"/>
          <w:highlight w:val="none"/>
        </w:rPr>
        <w:t>向</w:t>
      </w:r>
      <w:r>
        <w:rPr>
          <w:rFonts w:hint="eastAsia" w:ascii="宋体" w:hAnsi="宋体"/>
          <w:b/>
          <w:color w:val="auto"/>
          <w:sz w:val="24"/>
          <w:szCs w:val="24"/>
          <w:highlight w:val="none"/>
        </w:rPr>
        <w:t>委托</w:t>
      </w:r>
      <w:r>
        <w:rPr>
          <w:rFonts w:ascii="宋体" w:hAnsi="宋体"/>
          <w:b/>
          <w:color w:val="auto"/>
          <w:sz w:val="24"/>
          <w:szCs w:val="24"/>
          <w:highlight w:val="none"/>
        </w:rPr>
        <w:t>人提供</w:t>
      </w:r>
      <w:r>
        <w:rPr>
          <w:rFonts w:hint="eastAsia" w:ascii="宋体" w:hAnsi="宋体"/>
          <w:b/>
          <w:color w:val="auto"/>
          <w:sz w:val="24"/>
          <w:szCs w:val="24"/>
          <w:highlight w:val="none"/>
        </w:rPr>
        <w:t>招标文件要求的产品原厂授权、原厂售后服务承诺函、原厂</w:t>
      </w:r>
      <w:r>
        <w:rPr>
          <w:rFonts w:ascii="宋体" w:hAnsi="宋体"/>
          <w:b/>
          <w:color w:val="auto"/>
          <w:sz w:val="24"/>
          <w:szCs w:val="24"/>
          <w:highlight w:val="none"/>
        </w:rPr>
        <w:t>技术服务承诺书</w:t>
      </w:r>
      <w:r>
        <w:rPr>
          <w:rFonts w:hint="eastAsia" w:ascii="宋体" w:hAnsi="宋体"/>
          <w:b/>
          <w:color w:val="auto"/>
          <w:sz w:val="24"/>
          <w:szCs w:val="24"/>
          <w:highlight w:val="none"/>
        </w:rPr>
        <w:t>（项目负责人可根据项目编制）</w:t>
      </w:r>
      <w:r>
        <w:rPr>
          <w:rFonts w:ascii="宋体" w:hAnsi="宋体"/>
          <w:b/>
          <w:color w:val="auto"/>
          <w:sz w:val="24"/>
          <w:szCs w:val="24"/>
          <w:highlight w:val="none"/>
        </w:rPr>
        <w:t>，逾期未提供</w:t>
      </w:r>
      <w:r>
        <w:rPr>
          <w:rFonts w:hint="eastAsia" w:ascii="宋体" w:hAnsi="宋体"/>
          <w:b/>
          <w:color w:val="auto"/>
          <w:sz w:val="24"/>
          <w:szCs w:val="24"/>
          <w:highlight w:val="none"/>
        </w:rPr>
        <w:t>或提供不符合要求</w:t>
      </w:r>
      <w:r>
        <w:rPr>
          <w:rFonts w:ascii="宋体" w:hAnsi="宋体"/>
          <w:b/>
          <w:color w:val="auto"/>
          <w:sz w:val="24"/>
          <w:szCs w:val="24"/>
          <w:highlight w:val="none"/>
        </w:rPr>
        <w:t>的，</w:t>
      </w:r>
      <w:r>
        <w:rPr>
          <w:rFonts w:hint="eastAsia" w:ascii="宋体" w:hAnsi="宋体"/>
          <w:b/>
          <w:color w:val="auto"/>
          <w:sz w:val="24"/>
          <w:szCs w:val="24"/>
          <w:highlight w:val="none"/>
        </w:rPr>
        <w:t>均按我公司</w:t>
      </w:r>
      <w:r>
        <w:rPr>
          <w:rFonts w:ascii="宋体" w:hAnsi="宋体"/>
          <w:b/>
          <w:color w:val="auto"/>
          <w:sz w:val="24"/>
          <w:szCs w:val="24"/>
          <w:highlight w:val="none"/>
        </w:rPr>
        <w:t>自</w:t>
      </w:r>
      <w:r>
        <w:rPr>
          <w:rFonts w:hint="eastAsia" w:ascii="宋体" w:hAnsi="宋体"/>
          <w:b/>
          <w:color w:val="auto"/>
          <w:sz w:val="24"/>
          <w:szCs w:val="24"/>
          <w:highlight w:val="none"/>
        </w:rPr>
        <w:t>愿</w:t>
      </w:r>
      <w:r>
        <w:rPr>
          <w:rFonts w:ascii="宋体" w:hAnsi="宋体"/>
          <w:b/>
          <w:color w:val="auto"/>
          <w:sz w:val="24"/>
          <w:szCs w:val="24"/>
          <w:highlight w:val="none"/>
        </w:rPr>
        <w:t>放弃中标资格处理，由此产生的一切相关责任</w:t>
      </w:r>
      <w:r>
        <w:rPr>
          <w:rFonts w:hint="eastAsia" w:ascii="宋体" w:hAnsi="宋体"/>
          <w:b/>
          <w:color w:val="auto"/>
          <w:sz w:val="24"/>
          <w:szCs w:val="24"/>
          <w:highlight w:val="none"/>
        </w:rPr>
        <w:t>和后果</w:t>
      </w:r>
      <w:r>
        <w:rPr>
          <w:rFonts w:ascii="宋体" w:hAnsi="宋体"/>
          <w:b/>
          <w:color w:val="auto"/>
          <w:sz w:val="24"/>
          <w:szCs w:val="24"/>
          <w:highlight w:val="none"/>
        </w:rPr>
        <w:t>由</w:t>
      </w:r>
      <w:r>
        <w:rPr>
          <w:rFonts w:hint="eastAsia" w:ascii="宋体" w:hAnsi="宋体"/>
          <w:b/>
          <w:color w:val="auto"/>
          <w:sz w:val="24"/>
          <w:szCs w:val="24"/>
          <w:highlight w:val="none"/>
        </w:rPr>
        <w:t>我</w:t>
      </w:r>
      <w:r>
        <w:rPr>
          <w:rFonts w:ascii="宋体" w:hAnsi="宋体"/>
          <w:b/>
          <w:color w:val="auto"/>
          <w:sz w:val="24"/>
          <w:szCs w:val="24"/>
          <w:highlight w:val="none"/>
        </w:rPr>
        <w:t>公司</w:t>
      </w:r>
      <w:r>
        <w:rPr>
          <w:rFonts w:hint="eastAsia" w:ascii="宋体" w:hAnsi="宋体"/>
          <w:b/>
          <w:color w:val="auto"/>
          <w:sz w:val="24"/>
          <w:szCs w:val="24"/>
          <w:highlight w:val="none"/>
        </w:rPr>
        <w:t>自行</w:t>
      </w:r>
      <w:r>
        <w:rPr>
          <w:rFonts w:ascii="宋体" w:hAnsi="宋体"/>
          <w:b/>
          <w:color w:val="auto"/>
          <w:sz w:val="24"/>
          <w:szCs w:val="24"/>
          <w:highlight w:val="none"/>
        </w:rPr>
        <w:t>承担</w:t>
      </w:r>
      <w:r>
        <w:rPr>
          <w:rFonts w:hint="eastAsia" w:ascii="宋体" w:hAnsi="宋体"/>
          <w:color w:val="auto"/>
          <w:sz w:val="24"/>
          <w:szCs w:val="24"/>
          <w:highlight w:val="none"/>
        </w:rPr>
        <w:t>。</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ind w:firstLine="4245" w:firstLineChars="1762"/>
        <w:rPr>
          <w:rFonts w:ascii="宋体"/>
          <w:b/>
          <w:color w:val="auto"/>
          <w:sz w:val="24"/>
          <w:highlight w:val="none"/>
          <w:u w:val="single"/>
        </w:rPr>
      </w:pPr>
      <w:r>
        <w:rPr>
          <w:rFonts w:hint="eastAsia" w:ascii="宋体" w:hAnsi="宋体"/>
          <w:b/>
          <w:color w:val="auto"/>
          <w:sz w:val="24"/>
          <w:highlight w:val="none"/>
        </w:rPr>
        <w:t>投标人公章：</w:t>
      </w:r>
    </w:p>
    <w:p>
      <w:pPr>
        <w:tabs>
          <w:tab w:val="left" w:pos="4620"/>
        </w:tabs>
        <w:spacing w:line="360" w:lineRule="auto"/>
        <w:ind w:firstLine="4252" w:firstLineChars="1772"/>
        <w:rPr>
          <w:rFonts w:ascii="宋体"/>
          <w:color w:val="auto"/>
          <w:sz w:val="24"/>
          <w:highlight w:val="none"/>
          <w:u w:val="single"/>
        </w:rPr>
      </w:pPr>
      <w:r>
        <w:rPr>
          <w:rFonts w:hint="eastAsia" w:ascii="宋体" w:hAnsi="宋体"/>
          <w:color w:val="auto"/>
          <w:sz w:val="24"/>
          <w:highlight w:val="none"/>
        </w:rPr>
        <w:t>日期：</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ind w:firstLine="630"/>
        <w:rPr>
          <w:rFonts w:ascii="宋体" w:hAnsi="宋体"/>
          <w:color w:val="auto"/>
          <w:sz w:val="28"/>
          <w:highlight w:val="none"/>
        </w:rPr>
      </w:pPr>
    </w:p>
    <w:p>
      <w:pPr>
        <w:pStyle w:val="5"/>
        <w:rPr>
          <w:rFonts w:hAnsi="宋体"/>
          <w:color w:val="auto"/>
          <w:sz w:val="28"/>
          <w:highlight w:val="none"/>
        </w:rPr>
      </w:pPr>
      <w:bookmarkStart w:id="166" w:name="_Toc27559"/>
      <w:bookmarkStart w:id="167" w:name="_Toc515390553"/>
      <w:r>
        <w:rPr>
          <w:rFonts w:hint="eastAsia" w:hAnsi="宋体"/>
          <w:color w:val="auto"/>
          <w:sz w:val="28"/>
          <w:highlight w:val="none"/>
        </w:rPr>
        <w:t>十三．</w:t>
      </w:r>
      <w:bookmarkStart w:id="168" w:name="_Toc459990161"/>
      <w:bookmarkStart w:id="169" w:name="_Toc420342112"/>
      <w:r>
        <w:rPr>
          <w:rFonts w:hint="eastAsia" w:hAnsi="宋体"/>
          <w:color w:val="auto"/>
          <w:sz w:val="28"/>
          <w:highlight w:val="none"/>
        </w:rPr>
        <w:t>项目人员配备</w:t>
      </w:r>
      <w:bookmarkEnd w:id="166"/>
      <w:bookmarkEnd w:id="167"/>
      <w:bookmarkEnd w:id="168"/>
      <w:bookmarkEnd w:id="169"/>
    </w:p>
    <w:p>
      <w:pPr>
        <w:jc w:val="center"/>
        <w:rPr>
          <w:b/>
          <w:color w:val="auto"/>
          <w:sz w:val="24"/>
          <w:szCs w:val="24"/>
          <w:highlight w:val="none"/>
          <w:shd w:val="pct10" w:color="auto" w:fill="FFFFFF"/>
        </w:rPr>
      </w:pPr>
      <w:r>
        <w:rPr>
          <w:rFonts w:hint="eastAsia"/>
          <w:b/>
          <w:color w:val="auto"/>
          <w:sz w:val="24"/>
          <w:szCs w:val="24"/>
          <w:highlight w:val="none"/>
          <w:shd w:val="pct10" w:color="auto" w:fill="FFFFFF"/>
        </w:rPr>
        <w:t>如招标文件无人员配备要求，不需此件）</w:t>
      </w:r>
    </w:p>
    <w:p>
      <w:pPr>
        <w:rPr>
          <w:color w:val="auto"/>
          <w:highlight w:val="none"/>
        </w:rPr>
      </w:pPr>
    </w:p>
    <w:p>
      <w:pPr>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（一）项目组人员配备情况表</w:t>
      </w:r>
    </w:p>
    <w:p>
      <w:pPr>
        <w:spacing w:line="340" w:lineRule="exact"/>
        <w:rPr>
          <w:rFonts w:ascii="宋体" w:hAnsi="宋体"/>
          <w:color w:val="auto"/>
          <w:sz w:val="32"/>
          <w:szCs w:val="32"/>
          <w:highlight w:val="none"/>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178"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516"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学历</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项目负责人</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其它人员</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投标人公章：</w:t>
      </w:r>
    </w:p>
    <w:p>
      <w:pPr>
        <w:spacing w:line="360" w:lineRule="auto"/>
        <w:ind w:firstLine="420" w:firstLineChars="200"/>
        <w:rPr>
          <w:rFonts w:ascii="宋体" w:hAnsi="宋体"/>
          <w:color w:val="auto"/>
          <w:highlight w:val="none"/>
        </w:rPr>
      </w:pPr>
      <w:r>
        <w:rPr>
          <w:rFonts w:hint="eastAsia" w:ascii="宋体" w:hAnsi="宋体"/>
          <w:color w:val="auto"/>
          <w:highlight w:val="none"/>
        </w:rPr>
        <w:t>备注：</w:t>
      </w:r>
    </w:p>
    <w:p>
      <w:pPr>
        <w:pStyle w:val="29"/>
        <w:adjustRightInd w:val="0"/>
        <w:spacing w:after="0" w:line="360" w:lineRule="auto"/>
        <w:ind w:firstLine="480" w:firstLineChars="200"/>
        <w:textAlignment w:val="baseline"/>
        <w:rPr>
          <w:rFonts w:hAnsi="宋体"/>
          <w:bCs/>
          <w:color w:val="auto"/>
          <w:sz w:val="24"/>
          <w:szCs w:val="24"/>
          <w:highlight w:val="none"/>
        </w:rPr>
      </w:pPr>
      <w:r>
        <w:rPr>
          <w:rFonts w:hint="eastAsia" w:hAnsi="宋体"/>
          <w:bCs/>
          <w:color w:val="auto"/>
          <w:sz w:val="24"/>
          <w:szCs w:val="24"/>
          <w:highlight w:val="none"/>
        </w:rPr>
        <w:t>1. 管理机构的主要人员（项目</w:t>
      </w:r>
      <w:r>
        <w:rPr>
          <w:rFonts w:hint="eastAsia" w:hAnsi="宋体"/>
          <w:color w:val="auto"/>
          <w:sz w:val="24"/>
          <w:highlight w:val="none"/>
          <w:lang w:eastAsia="zh-CN"/>
        </w:rPr>
        <w:t>负责人</w:t>
      </w:r>
      <w:r>
        <w:rPr>
          <w:rFonts w:hint="eastAsia" w:hAnsi="宋体"/>
          <w:bCs/>
          <w:color w:val="auto"/>
          <w:sz w:val="24"/>
          <w:szCs w:val="24"/>
          <w:highlight w:val="none"/>
        </w:rPr>
        <w:t>）按招标文件要求附资质证书等证明资料扫描件；</w:t>
      </w:r>
    </w:p>
    <w:p>
      <w:pPr>
        <w:pStyle w:val="29"/>
        <w:adjustRightInd w:val="0"/>
        <w:spacing w:after="0" w:line="360" w:lineRule="auto"/>
        <w:ind w:firstLine="480" w:firstLineChars="200"/>
        <w:textAlignment w:val="baseline"/>
        <w:rPr>
          <w:rFonts w:hAnsi="宋体"/>
          <w:bCs/>
          <w:color w:val="auto"/>
          <w:sz w:val="24"/>
          <w:szCs w:val="24"/>
          <w:highlight w:val="none"/>
        </w:rPr>
      </w:pPr>
      <w:r>
        <w:rPr>
          <w:rFonts w:hint="eastAsia" w:hAnsi="宋体"/>
          <w:bCs/>
          <w:color w:val="auto"/>
          <w:sz w:val="24"/>
          <w:szCs w:val="24"/>
          <w:highlight w:val="none"/>
        </w:rPr>
        <w:t>2.中标后如需更换管理机构主要人员，需书面向招标人提出，并获得书面同意后方可更换；</w:t>
      </w:r>
    </w:p>
    <w:p>
      <w:pPr>
        <w:pStyle w:val="29"/>
        <w:adjustRightInd w:val="0"/>
        <w:spacing w:after="0" w:line="360" w:lineRule="auto"/>
        <w:ind w:firstLine="480" w:firstLineChars="200"/>
        <w:textAlignment w:val="baseline"/>
        <w:rPr>
          <w:rFonts w:hAnsi="宋体"/>
          <w:bCs/>
          <w:color w:val="auto"/>
          <w:sz w:val="24"/>
          <w:szCs w:val="24"/>
          <w:highlight w:val="none"/>
        </w:rPr>
      </w:pPr>
    </w:p>
    <w:p>
      <w:pPr>
        <w:spacing w:line="360" w:lineRule="auto"/>
        <w:jc w:val="both"/>
        <w:rPr>
          <w:rFonts w:ascii="宋体" w:hAnsi="宋体"/>
          <w:b/>
          <w:bCs/>
          <w:color w:val="auto"/>
          <w:sz w:val="24"/>
          <w:highlight w:val="none"/>
        </w:rPr>
      </w:pPr>
      <w:r>
        <w:rPr>
          <w:rFonts w:hint="eastAsia" w:ascii="宋体" w:hAnsi="宋体"/>
          <w:b/>
          <w:color w:val="auto"/>
          <w:sz w:val="28"/>
          <w:szCs w:val="28"/>
          <w:highlight w:val="none"/>
        </w:rPr>
        <w:t>（</w:t>
      </w:r>
      <w:r>
        <w:rPr>
          <w:rFonts w:hint="eastAsia" w:ascii="宋体" w:hAnsi="宋体"/>
          <w:b/>
          <w:bCs/>
          <w:color w:val="auto"/>
          <w:sz w:val="24"/>
          <w:highlight w:val="none"/>
        </w:rPr>
        <w:t>本页后附项目</w:t>
      </w:r>
      <w:r>
        <w:rPr>
          <w:rFonts w:hint="eastAsia" w:ascii="宋体" w:hAnsi="宋体"/>
          <w:b/>
          <w:bCs/>
          <w:color w:val="auto"/>
          <w:sz w:val="24"/>
          <w:highlight w:val="none"/>
          <w:lang w:eastAsia="zh-CN"/>
        </w:rPr>
        <w:t>负责人</w:t>
      </w:r>
      <w:r>
        <w:rPr>
          <w:rFonts w:hint="eastAsia" w:ascii="宋体" w:hAnsi="宋体"/>
          <w:b/>
          <w:bCs/>
          <w:color w:val="auto"/>
          <w:sz w:val="24"/>
          <w:highlight w:val="none"/>
        </w:rPr>
        <w:t>身份证扫描件</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eastAsia="zh-CN"/>
        </w:rPr>
        <w:t>二</w:t>
      </w:r>
      <w:r>
        <w:rPr>
          <w:rFonts w:hint="eastAsia" w:ascii="宋体" w:hAnsi="宋体"/>
          <w:b/>
          <w:color w:val="auto"/>
          <w:sz w:val="28"/>
          <w:szCs w:val="28"/>
          <w:highlight w:val="none"/>
        </w:rPr>
        <w:t>）项目负责人简历表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投标人公章：</w:t>
      </w: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jc w:val="center"/>
        <w:rPr>
          <w:rFonts w:ascii="宋体" w:hAnsi="宋体"/>
          <w:color w:val="auto"/>
          <w:highlight w:val="none"/>
        </w:rPr>
      </w:pPr>
      <w:r>
        <w:rPr>
          <w:rFonts w:hint="eastAsia" w:ascii="宋体" w:hAnsi="宋体"/>
          <w:b/>
          <w:color w:val="auto"/>
          <w:sz w:val="28"/>
          <w:highlight w:val="none"/>
        </w:rPr>
        <w:t>（四）其他人员简历表</w:t>
      </w:r>
    </w:p>
    <w:tbl>
      <w:tblPr>
        <w:tblStyle w:val="66"/>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703" w:type="dxa"/>
            <w:vAlign w:val="center"/>
          </w:tcPr>
          <w:p>
            <w:pPr>
              <w:jc w:val="center"/>
              <w:rPr>
                <w:rFonts w:ascii="宋体" w:hAnsi="宋体"/>
                <w:color w:val="auto"/>
                <w:sz w:val="24"/>
                <w:highlight w:val="none"/>
              </w:rPr>
            </w:pPr>
            <w:r>
              <w:rPr>
                <w:rFonts w:hint="eastAsia" w:ascii="宋体" w:hAnsi="宋体"/>
                <w:color w:val="auto"/>
                <w:sz w:val="24"/>
                <w:highlight w:val="none"/>
              </w:rPr>
              <w:t>工种（或</w:t>
            </w:r>
            <w:r>
              <w:rPr>
                <w:rFonts w:hint="eastAsia" w:ascii="宋体" w:hAnsi="宋体" w:cs="宋体"/>
                <w:color w:val="auto"/>
                <w:szCs w:val="21"/>
                <w:highlight w:val="none"/>
                <w:lang w:val="zh-CN"/>
              </w:rPr>
              <w:t>在本项目中拟任职位</w:t>
            </w:r>
            <w:r>
              <w:rPr>
                <w:rFonts w:hint="eastAsia" w:ascii="宋体" w:hAnsi="宋体"/>
                <w:color w:val="auto"/>
                <w:sz w:val="24"/>
                <w:highlight w:val="none"/>
              </w:rPr>
              <w:t>）</w:t>
            </w:r>
          </w:p>
        </w:tc>
        <w:tc>
          <w:tcPr>
            <w:tcW w:w="2294"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675"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投标人公章：</w:t>
      </w:r>
    </w:p>
    <w:p>
      <w:pPr>
        <w:ind w:firstLine="630"/>
        <w:rPr>
          <w:color w:val="auto"/>
          <w:highlight w:val="none"/>
        </w:rPr>
      </w:pPr>
    </w:p>
    <w:p>
      <w:pPr>
        <w:ind w:firstLine="630"/>
        <w:rPr>
          <w:rFonts w:ascii="宋体" w:hAnsi="宋体"/>
          <w:color w:val="auto"/>
          <w:sz w:val="28"/>
          <w:highlight w:val="none"/>
        </w:rPr>
      </w:pPr>
    </w:p>
    <w:p>
      <w:pPr>
        <w:ind w:firstLine="630"/>
        <w:rPr>
          <w:rFonts w:ascii="宋体" w:hAnsi="宋体"/>
          <w:color w:val="auto"/>
          <w:sz w:val="28"/>
          <w:highlight w:val="none"/>
        </w:rPr>
      </w:pPr>
    </w:p>
    <w:p>
      <w:pPr>
        <w:ind w:firstLine="630"/>
        <w:rPr>
          <w:color w:val="auto"/>
          <w:highlight w:val="none"/>
        </w:rPr>
      </w:pPr>
    </w:p>
    <w:p>
      <w:pPr>
        <w:ind w:firstLine="630"/>
        <w:rPr>
          <w:color w:val="auto"/>
          <w:highlight w:val="none"/>
        </w:rPr>
      </w:pPr>
    </w:p>
    <w:p>
      <w:pPr>
        <w:spacing w:line="360" w:lineRule="auto"/>
        <w:rPr>
          <w:rFonts w:ascii="宋体" w:hAnsi="宋体"/>
          <w:b/>
          <w:color w:val="auto"/>
          <w:sz w:val="24"/>
          <w:highlight w:val="none"/>
        </w:rPr>
      </w:pPr>
    </w:p>
    <w:p>
      <w:pPr>
        <w:pStyle w:val="5"/>
        <w:rPr>
          <w:rFonts w:hAnsi="宋体"/>
          <w:color w:val="auto"/>
          <w:sz w:val="36"/>
          <w:szCs w:val="36"/>
          <w:highlight w:val="none"/>
        </w:rPr>
      </w:pPr>
      <w:bookmarkStart w:id="170" w:name="_Toc508363614"/>
      <w:bookmarkStart w:id="171" w:name="_Toc536542365"/>
      <w:bookmarkStart w:id="172" w:name="_Toc20413"/>
      <w:r>
        <w:rPr>
          <w:rFonts w:hint="eastAsia" w:hAnsi="宋体"/>
          <w:color w:val="auto"/>
          <w:sz w:val="28"/>
          <w:highlight w:val="none"/>
        </w:rPr>
        <w:t>十四．服务体系与维保方案</w:t>
      </w:r>
      <w:bookmarkEnd w:id="170"/>
      <w:bookmarkEnd w:id="171"/>
      <w:bookmarkEnd w:id="172"/>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8"/>
          <w:highlight w:val="none"/>
        </w:rPr>
      </w:pPr>
    </w:p>
    <w:p>
      <w:pPr>
        <w:pStyle w:val="5"/>
        <w:spacing w:line="360" w:lineRule="auto"/>
        <w:rPr>
          <w:rFonts w:hAnsi="宋体"/>
          <w:color w:val="auto"/>
          <w:sz w:val="28"/>
          <w:highlight w:val="none"/>
        </w:rPr>
      </w:pPr>
      <w:bookmarkStart w:id="173" w:name="_Toc508363616"/>
      <w:bookmarkStart w:id="174" w:name="_Toc8885"/>
      <w:bookmarkStart w:id="175" w:name="_Toc536542367"/>
      <w:r>
        <w:rPr>
          <w:rFonts w:hint="eastAsia" w:hAnsi="宋体"/>
          <w:color w:val="auto"/>
          <w:sz w:val="28"/>
          <w:highlight w:val="none"/>
        </w:rPr>
        <w:t>十五</w:t>
      </w:r>
      <w:r>
        <w:rPr>
          <w:rFonts w:hAnsi="宋体"/>
          <w:color w:val="auto"/>
          <w:sz w:val="28"/>
          <w:highlight w:val="none"/>
        </w:rPr>
        <w:t xml:space="preserve">. </w:t>
      </w:r>
      <w:r>
        <w:rPr>
          <w:rFonts w:hint="eastAsia" w:hAnsi="宋体"/>
          <w:color w:val="auto"/>
          <w:sz w:val="28"/>
          <w:highlight w:val="none"/>
        </w:rPr>
        <w:t>投标人认为需提供的其他资料</w:t>
      </w:r>
      <w:bookmarkEnd w:id="173"/>
      <w:bookmarkEnd w:id="174"/>
      <w:bookmarkEnd w:id="175"/>
    </w:p>
    <w:p>
      <w:pPr>
        <w:spacing w:line="500" w:lineRule="exact"/>
        <w:rPr>
          <w:rFonts w:ascii="宋体" w:hAnsi="宋体"/>
          <w:b/>
          <w:bCs/>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p>
      <w:pPr>
        <w:spacing w:line="500" w:lineRule="exact"/>
        <w:rPr>
          <w:rFonts w:ascii="宋体" w:hAnsi="宋体"/>
          <w:b/>
          <w:bCs/>
          <w:color w:val="auto"/>
          <w:sz w:val="24"/>
          <w:szCs w:val="24"/>
          <w:highlight w:val="none"/>
        </w:rPr>
      </w:pPr>
    </w:p>
    <w:p>
      <w:pPr>
        <w:keepNext/>
        <w:keepLines/>
        <w:spacing w:before="260" w:after="260" w:line="416" w:lineRule="auto"/>
        <w:jc w:val="center"/>
        <w:outlineLvl w:val="2"/>
        <w:rPr>
          <w:rFonts w:ascii="宋体" w:hAnsi="宋体"/>
          <w:b/>
          <w:bCs/>
          <w:color w:val="auto"/>
          <w:sz w:val="28"/>
          <w:szCs w:val="32"/>
          <w:highlight w:val="none"/>
        </w:rPr>
      </w:pPr>
      <w:bookmarkStart w:id="176" w:name="_Toc22888343"/>
      <w:bookmarkStart w:id="177" w:name="_Toc300210382"/>
      <w:bookmarkStart w:id="178" w:name="_Toc18658870"/>
      <w:bookmarkStart w:id="179" w:name="_Toc17307116"/>
      <w:bookmarkStart w:id="180" w:name="_Toc19773347"/>
      <w:r>
        <w:rPr>
          <w:rFonts w:hint="eastAsia" w:ascii="宋体" w:hAnsi="宋体"/>
          <w:b/>
          <w:bCs/>
          <w:color w:val="auto"/>
          <w:sz w:val="28"/>
          <w:szCs w:val="32"/>
          <w:highlight w:val="none"/>
        </w:rPr>
        <w:t>十六．投标保证金退还声明</w:t>
      </w:r>
      <w:bookmarkEnd w:id="176"/>
      <w:bookmarkEnd w:id="177"/>
      <w:bookmarkEnd w:id="178"/>
      <w:bookmarkEnd w:id="179"/>
      <w:bookmarkEnd w:id="180"/>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项目名称：</w:t>
      </w:r>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项目编号：</w:t>
      </w:r>
    </w:p>
    <w:p>
      <w:pPr>
        <w:spacing w:line="480" w:lineRule="auto"/>
        <w:ind w:firstLine="628" w:firstLineChars="262"/>
        <w:rPr>
          <w:rFonts w:ascii="宋体" w:hAnsi="宋体"/>
          <w:color w:val="auto"/>
          <w:sz w:val="24"/>
          <w:highlight w:val="none"/>
        </w:rPr>
      </w:pPr>
      <w:r>
        <w:rPr>
          <w:rFonts w:hint="eastAsia" w:hAnsi="Arial"/>
          <w:color w:val="auto"/>
          <w:sz w:val="24"/>
          <w:highlight w:val="none"/>
        </w:rPr>
        <w:t>投标保证金金额：</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我单位投标保证金到期后请汇至如下账号：</w:t>
      </w:r>
    </w:p>
    <w:p>
      <w:pPr>
        <w:spacing w:line="360" w:lineRule="auto"/>
        <w:ind w:firstLine="629"/>
        <w:rPr>
          <w:rFonts w:hAnsi="Arial"/>
          <w:color w:val="auto"/>
          <w:sz w:val="24"/>
          <w:highlight w:val="none"/>
          <w:u w:val="single"/>
        </w:rPr>
      </w:pPr>
      <w:r>
        <w:rPr>
          <w:rFonts w:hint="eastAsia" w:hAnsi="Arial"/>
          <w:color w:val="auto"/>
          <w:sz w:val="24"/>
          <w:highlight w:val="none"/>
        </w:rPr>
        <w:t>收款单位：</w:t>
      </w:r>
    </w:p>
    <w:p>
      <w:pPr>
        <w:spacing w:line="360" w:lineRule="auto"/>
        <w:ind w:firstLine="629"/>
        <w:rPr>
          <w:rFonts w:hAnsi="Arial"/>
          <w:color w:val="auto"/>
          <w:sz w:val="24"/>
          <w:highlight w:val="none"/>
          <w:u w:val="single"/>
        </w:rPr>
      </w:pPr>
      <w:r>
        <w:rPr>
          <w:rFonts w:hint="eastAsia" w:hAnsi="Arial"/>
          <w:color w:val="auto"/>
          <w:sz w:val="24"/>
          <w:highlight w:val="none"/>
        </w:rPr>
        <w:t>开户行：</w:t>
      </w:r>
    </w:p>
    <w:p>
      <w:pPr>
        <w:spacing w:line="360" w:lineRule="auto"/>
        <w:ind w:firstLine="629"/>
        <w:rPr>
          <w:rFonts w:hAnsi="Arial"/>
          <w:color w:val="auto"/>
          <w:sz w:val="24"/>
          <w:highlight w:val="none"/>
          <w:u w:val="single"/>
        </w:rPr>
      </w:pPr>
      <w:r>
        <w:rPr>
          <w:rFonts w:hint="eastAsia" w:hAnsi="Arial"/>
          <w:color w:val="auto"/>
          <w:sz w:val="24"/>
          <w:highlight w:val="none"/>
        </w:rPr>
        <w:t>银行账号：</w:t>
      </w:r>
    </w:p>
    <w:p>
      <w:pPr>
        <w:spacing w:line="360" w:lineRule="auto"/>
        <w:ind w:firstLine="629"/>
        <w:rPr>
          <w:rFonts w:hAnsi="Arial"/>
          <w:color w:val="auto"/>
          <w:sz w:val="24"/>
          <w:highlight w:val="none"/>
          <w:u w:val="single"/>
        </w:rPr>
      </w:pPr>
      <w:r>
        <w:rPr>
          <w:rFonts w:hint="eastAsia" w:hAnsi="Arial"/>
          <w:color w:val="auto"/>
          <w:sz w:val="24"/>
          <w:highlight w:val="none"/>
        </w:rPr>
        <w:t>电话：</w:t>
      </w:r>
    </w:p>
    <w:p>
      <w:pPr>
        <w:spacing w:line="360" w:lineRule="auto"/>
        <w:ind w:firstLine="629"/>
        <w:rPr>
          <w:rFonts w:ascii="宋体" w:hAnsi="宋体"/>
          <w:color w:val="auto"/>
          <w:sz w:val="24"/>
          <w:highlight w:val="none"/>
          <w:u w:val="single"/>
        </w:rPr>
      </w:pPr>
      <w:r>
        <w:rPr>
          <w:rFonts w:hint="eastAsia" w:hAnsi="Arial"/>
          <w:color w:val="auto"/>
          <w:sz w:val="24"/>
          <w:highlight w:val="none"/>
        </w:rPr>
        <w:t>地址：</w:t>
      </w:r>
    </w:p>
    <w:p>
      <w:pPr>
        <w:spacing w:line="360" w:lineRule="auto"/>
        <w:ind w:firstLine="629"/>
        <w:rPr>
          <w:rFonts w:hAnsi="Arial"/>
          <w:color w:val="auto"/>
          <w:sz w:val="24"/>
          <w:highlight w:val="none"/>
        </w:rPr>
      </w:pPr>
    </w:p>
    <w:p>
      <w:pPr>
        <w:spacing w:line="360" w:lineRule="auto"/>
        <w:rPr>
          <w:rFonts w:ascii="宋体" w:hAnsi="宋体"/>
          <w:color w:val="auto"/>
          <w:sz w:val="24"/>
          <w:highlight w:val="none"/>
          <w:u w:val="single"/>
        </w:rPr>
      </w:pPr>
    </w:p>
    <w:p>
      <w:pPr>
        <w:rPr>
          <w:color w:val="auto"/>
          <w:highlight w:val="none"/>
        </w:rPr>
      </w:pPr>
      <w:r>
        <w:rPr>
          <w:rFonts w:hint="eastAsia"/>
          <w:color w:val="auto"/>
          <w:highlight w:val="none"/>
        </w:rPr>
        <w:t>附：投标保证金转账凭证扫描件</w:t>
      </w:r>
    </w:p>
    <w:p>
      <w:pPr>
        <w:rPr>
          <w:color w:val="auto"/>
          <w:highlight w:val="none"/>
        </w:rPr>
      </w:pPr>
    </w:p>
    <w:p>
      <w:pPr>
        <w:rPr>
          <w:color w:val="auto"/>
          <w:highlight w:val="none"/>
        </w:rPr>
      </w:pPr>
    </w:p>
    <w:p>
      <w:pPr>
        <w:spacing w:line="360" w:lineRule="auto"/>
        <w:ind w:firstLine="4200" w:firstLineChars="2000"/>
        <w:rPr>
          <w:color w:val="auto"/>
          <w:highlight w:val="none"/>
        </w:rPr>
      </w:pPr>
      <w:r>
        <w:rPr>
          <w:rFonts w:hint="eastAsia"/>
          <w:color w:val="auto"/>
          <w:highlight w:val="none"/>
        </w:rPr>
        <w:t>投标人（公章）：</w:t>
      </w:r>
    </w:p>
    <w:p>
      <w:pPr>
        <w:spacing w:line="360" w:lineRule="auto"/>
        <w:rPr>
          <w:color w:val="auto"/>
          <w:highlight w:val="none"/>
        </w:rPr>
      </w:pPr>
      <w:r>
        <w:rPr>
          <w:rFonts w:hint="eastAsia"/>
          <w:color w:val="auto"/>
          <w:highlight w:val="none"/>
        </w:rPr>
        <w:t>企业法人（签字）：</w:t>
      </w:r>
    </w:p>
    <w:p>
      <w:pPr>
        <w:spacing w:line="360" w:lineRule="auto"/>
        <w:rPr>
          <w:color w:val="auto"/>
          <w:highlight w:val="none"/>
        </w:rPr>
      </w:pPr>
      <w:r>
        <w:rPr>
          <w:rFonts w:hint="eastAsia"/>
          <w:color w:val="auto"/>
          <w:highlight w:val="none"/>
        </w:rPr>
        <w:t>授权代表（签字）：</w:t>
      </w:r>
    </w:p>
    <w:p>
      <w:pPr>
        <w:spacing w:line="360" w:lineRule="auto"/>
        <w:rPr>
          <w:color w:val="auto"/>
          <w:highlight w:val="none"/>
        </w:rPr>
      </w:pPr>
      <w:r>
        <w:rPr>
          <w:rFonts w:hint="eastAsia"/>
          <w:color w:val="auto"/>
          <w:highlight w:val="none"/>
        </w:rPr>
        <w:t>年月日</w:t>
      </w:r>
      <w:bookmarkEnd w:id="50"/>
      <w:bookmarkStart w:id="181" w:name="_Toc471736407"/>
      <w:bookmarkEnd w:id="181"/>
      <w:bookmarkStart w:id="182" w:name="_Toc516969098"/>
      <w:bookmarkEnd w:id="182"/>
      <w:bookmarkStart w:id="183" w:name="_Toc197934561"/>
      <w:bookmarkEnd w:id="183"/>
      <w:bookmarkStart w:id="184" w:name="_Toc471736410"/>
      <w:bookmarkEnd w:id="184"/>
    </w:p>
    <w:sectPr>
      <w:headerReference r:id="rId8" w:type="default"/>
      <w:footerReference r:id="rId9" w:type="default"/>
      <w:footerReference r:id="rId10" w:type="even"/>
      <w:pgSz w:w="11907" w:h="16840"/>
      <w:pgMar w:top="1474" w:right="1474" w:bottom="1474" w:left="1474" w:header="799" w:footer="907" w:gutter="0"/>
      <w:pgBorders>
        <w:top w:val="none" w:sz="0" w:space="0"/>
        <w:left w:val="none" w:sz="0" w:space="0"/>
        <w:bottom w:val="none" w:sz="0" w:space="0"/>
        <w:right w:val="none" w:sz="0" w:space="0"/>
      </w:pgBorders>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Harlow Solid Italic">
    <w:panose1 w:val="04030604020F02020D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DejaVu Math TeX Gyre"/>
    <w:panose1 w:val="02040503050203030202"/>
    <w:charset w:val="01"/>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思源黑体 Regular">
    <w:altName w:val="黑体"/>
    <w:panose1 w:val="020B0500000000000000"/>
    <w:charset w:val="86"/>
    <w:family w:val="swiss"/>
    <w:pitch w:val="default"/>
    <w:sig w:usb0="00000000" w:usb1="00000000" w:usb2="00000016" w:usb3="00000000" w:csb0="002E0107"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859318"/>
    </w:sdtPr>
    <w:sdtContent>
      <w:sdt>
        <w:sdtPr>
          <w:id w:val="-231848758"/>
        </w:sdtPr>
        <w:sdtContent>
          <w:p>
            <w:pPr>
              <w:pStyle w:val="39"/>
              <w:jc w:val="center"/>
            </w:pP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52</w:t>
            </w:r>
            <w:r>
              <w:rPr>
                <w:b/>
                <w:bCs/>
                <w:sz w:val="24"/>
                <w:szCs w:val="24"/>
              </w:rPr>
              <w:fldChar w:fldCharType="end"/>
            </w:r>
          </w:p>
        </w:sdtContent>
      </w:sdt>
    </w:sdtContent>
  </w:sdt>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right="360" w:firstLine="360"/>
    </w:pPr>
  </w:p>
  <w:p>
    <w:pPr>
      <w:rPr>
        <w:sz w:val="20"/>
        <w:lang w:val="zh-CN"/>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outside" w:y="1"/>
      <w:rPr>
        <w:rStyle w:val="70"/>
      </w:rPr>
    </w:pPr>
    <w:r>
      <w:rPr>
        <w:rStyle w:val="70"/>
      </w:rPr>
      <w:fldChar w:fldCharType="begin"/>
    </w:r>
    <w:r>
      <w:rPr>
        <w:rStyle w:val="70"/>
      </w:rPr>
      <w:instrText xml:space="preserve">PAGE  </w:instrText>
    </w:r>
    <w:r>
      <w:rPr>
        <w:rStyle w:val="70"/>
      </w:rPr>
      <w:fldChar w:fldCharType="end"/>
    </w:r>
  </w:p>
  <w:p>
    <w:pPr>
      <w:pStyle w:val="3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b/>
        <w:bCs/>
        <w:sz w:val="24"/>
        <w:szCs w:val="24"/>
      </w:rPr>
      <w:fldChar w:fldCharType="begin"/>
    </w:r>
    <w:r>
      <w:rPr>
        <w:b/>
        <w:bCs/>
      </w:rPr>
      <w:instrText xml:space="preserve">PAGE</w:instrText>
    </w:r>
    <w:r>
      <w:rPr>
        <w:b/>
        <w:bCs/>
        <w:sz w:val="24"/>
        <w:szCs w:val="24"/>
      </w:rPr>
      <w:fldChar w:fldCharType="separate"/>
    </w:r>
    <w:r>
      <w:rPr>
        <w:b/>
        <w:bCs/>
      </w:rPr>
      <w:t>52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52</w:t>
    </w:r>
    <w:r>
      <w:rPr>
        <w:b/>
        <w:bCs/>
        <w:sz w:val="24"/>
        <w:szCs w:val="24"/>
      </w:rPr>
      <w:fldChar w:fldCharType="end"/>
    </w:r>
  </w:p>
  <w:p>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70"/>
      </w:rPr>
    </w:pPr>
    <w:r>
      <w:fldChar w:fldCharType="begin"/>
    </w:r>
    <w:r>
      <w:rPr>
        <w:rStyle w:val="70"/>
      </w:rPr>
      <w:instrText xml:space="preserve">PAGE  </w:instrText>
    </w:r>
    <w:r>
      <w:fldChar w:fldCharType="end"/>
    </w:r>
  </w:p>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rFonts w:ascii="宋体" w:hAnsi="宋体"/>
        <w:b/>
        <w:i/>
        <w:sz w:val="24"/>
      </w:rPr>
    </w:pPr>
    <w:r>
      <w:rPr>
        <w:rFonts w:hint="eastAsia"/>
      </w:rPr>
      <w:t>合肥文旅博览集团有限公司招标文件                                                    2021版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tabs>
        <w:tab w:val="left" w:pos="2670"/>
        <w:tab w:val="clear" w:pos="4153"/>
        <w:tab w:val="clear" w:pos="8306"/>
      </w:tabs>
      <w:jc w:val="both"/>
    </w:pPr>
  </w:p>
  <w:p>
    <w:pPr>
      <w:pStyle w:val="40"/>
      <w:pBdr>
        <w:bottom w:val="none" w:color="auto" w:sz="0" w:space="0"/>
      </w:pBdr>
      <w:tabs>
        <w:tab w:val="left" w:pos="2670"/>
        <w:tab w:val="clear" w:pos="4153"/>
        <w:tab w:val="clear" w:pos="8306"/>
      </w:tabs>
      <w:jc w:val="both"/>
    </w:pPr>
  </w:p>
  <w:p>
    <w:pPr>
      <w:pStyle w:val="40"/>
      <w:pBdr>
        <w:bottom w:val="none" w:color="auto" w:sz="0" w:space="0"/>
      </w:pBdr>
      <w:tabs>
        <w:tab w:val="left" w:pos="2670"/>
        <w:tab w:val="clear" w:pos="4153"/>
        <w:tab w:val="clear" w:pos="8306"/>
      </w:tabs>
      <w:jc w:val="both"/>
    </w:pPr>
  </w:p>
  <w:p>
    <w:pPr>
      <w:pStyle w:val="40"/>
      <w:pBdr>
        <w:bottom w:val="none" w:color="auto" w:sz="0" w:space="0"/>
      </w:pBdr>
      <w:tabs>
        <w:tab w:val="left" w:pos="2670"/>
        <w:tab w:val="clear" w:pos="4153"/>
        <w:tab w:val="clear" w:pos="8306"/>
      </w:tabs>
      <w:jc w:val="both"/>
    </w:pPr>
    <w:r>
      <w:tab/>
    </w:r>
  </w:p>
  <w:p>
    <w:pPr>
      <w:pStyle w:val="4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rPr>
        <w:rFonts w:ascii="宋体" w:hAnsi="宋体"/>
        <w:spacing w:val="20"/>
        <w:kern w:val="0"/>
      </w:rPr>
    </w:pPr>
    <w:r>
      <w:rPr>
        <w:rFonts w:hint="eastAsia" w:ascii="宋体" w:hAnsi="宋体"/>
        <w:spacing w:val="20"/>
        <w:kern w:val="0"/>
      </w:rPr>
      <w:t>合肥市文旅博览集团有限公司招标文件</w:t>
    </w:r>
    <w:r>
      <w:rPr>
        <w:rFonts w:hint="eastAsia"/>
      </w:rPr>
      <w:t xml:space="preserve">                                 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A3BC"/>
    <w:multiLevelType w:val="singleLevel"/>
    <w:tmpl w:val="814CA3BC"/>
    <w:lvl w:ilvl="0" w:tentative="0">
      <w:start w:val="3"/>
      <w:numFmt w:val="chineseCounting"/>
      <w:suff w:val="nothing"/>
      <w:lvlText w:val="%1、"/>
      <w:lvlJc w:val="left"/>
      <w:rPr>
        <w:rFonts w:hint="eastAsia"/>
      </w:rPr>
    </w:lvl>
  </w:abstractNum>
  <w:abstractNum w:abstractNumId="1">
    <w:nsid w:val="27BF71EF"/>
    <w:multiLevelType w:val="multilevel"/>
    <w:tmpl w:val="27BF71E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744170"/>
    <w:multiLevelType w:val="multilevel"/>
    <w:tmpl w:val="2B74417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30B018D2"/>
    <w:multiLevelType w:val="multilevel"/>
    <w:tmpl w:val="30B018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E6C7A75"/>
    <w:multiLevelType w:val="multilevel"/>
    <w:tmpl w:val="3E6C7A7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6"/>
  </w:num>
  <w:num w:numId="2">
    <w:abstractNumId w:val="4"/>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472769F"/>
    <w:rsid w:val="04D505F3"/>
    <w:rsid w:val="04EE57D5"/>
    <w:rsid w:val="0B6E73CC"/>
    <w:rsid w:val="0B814EB9"/>
    <w:rsid w:val="0F9337BC"/>
    <w:rsid w:val="0FAB1868"/>
    <w:rsid w:val="0FEE6269"/>
    <w:rsid w:val="1391354B"/>
    <w:rsid w:val="13E51B36"/>
    <w:rsid w:val="141605EF"/>
    <w:rsid w:val="14692CF0"/>
    <w:rsid w:val="15002A68"/>
    <w:rsid w:val="1A8F654B"/>
    <w:rsid w:val="1A9F6DA8"/>
    <w:rsid w:val="1BE96E7C"/>
    <w:rsid w:val="1CE01DDC"/>
    <w:rsid w:val="1D507CF7"/>
    <w:rsid w:val="253363F3"/>
    <w:rsid w:val="270C6CB7"/>
    <w:rsid w:val="27831FCF"/>
    <w:rsid w:val="2A9A6145"/>
    <w:rsid w:val="2C251A2E"/>
    <w:rsid w:val="2CC55886"/>
    <w:rsid w:val="2ED11927"/>
    <w:rsid w:val="2FDB28EE"/>
    <w:rsid w:val="34DA02B9"/>
    <w:rsid w:val="365B464D"/>
    <w:rsid w:val="3A144D86"/>
    <w:rsid w:val="3CD84FC0"/>
    <w:rsid w:val="41FE5CE3"/>
    <w:rsid w:val="45ED0784"/>
    <w:rsid w:val="47330269"/>
    <w:rsid w:val="493B457E"/>
    <w:rsid w:val="49915973"/>
    <w:rsid w:val="49E62D13"/>
    <w:rsid w:val="4A2273DA"/>
    <w:rsid w:val="4A6A73B9"/>
    <w:rsid w:val="4C455D3C"/>
    <w:rsid w:val="4DEE04B5"/>
    <w:rsid w:val="58995530"/>
    <w:rsid w:val="59A81331"/>
    <w:rsid w:val="5F687E46"/>
    <w:rsid w:val="5F816997"/>
    <w:rsid w:val="615416F1"/>
    <w:rsid w:val="615C160D"/>
    <w:rsid w:val="61DD76FB"/>
    <w:rsid w:val="641C7295"/>
    <w:rsid w:val="64F35C2B"/>
    <w:rsid w:val="6593558B"/>
    <w:rsid w:val="661E1BCF"/>
    <w:rsid w:val="6A142F04"/>
    <w:rsid w:val="6B1659FA"/>
    <w:rsid w:val="6B3741A9"/>
    <w:rsid w:val="6E78720F"/>
    <w:rsid w:val="6FDE61AD"/>
    <w:rsid w:val="70C40E98"/>
    <w:rsid w:val="72AE1FB2"/>
    <w:rsid w:val="72F60CDC"/>
    <w:rsid w:val="74FD1DB5"/>
    <w:rsid w:val="76515BE5"/>
    <w:rsid w:val="77674A82"/>
    <w:rsid w:val="77B363D9"/>
    <w:rsid w:val="79572C00"/>
    <w:rsid w:val="7DE05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6"/>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100"/>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5"/>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3"/>
    <w:qFormat/>
    <w:uiPriority w:val="0"/>
    <w:pPr>
      <w:keepNext/>
      <w:outlineLvl w:val="4"/>
    </w:pPr>
    <w:rPr>
      <w:rFonts w:ascii="宋体" w:hAnsi="Arial"/>
      <w:bCs/>
      <w:sz w:val="28"/>
      <w:szCs w:val="20"/>
    </w:rPr>
  </w:style>
  <w:style w:type="paragraph" w:styleId="8">
    <w:name w:val="heading 6"/>
    <w:basedOn w:val="1"/>
    <w:next w:val="1"/>
    <w:link w:val="10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3"/>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4"/>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38"/>
    <w:unhideWhenUsed/>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index 5"/>
    <w:basedOn w:val="1"/>
    <w:next w:val="1"/>
    <w:qFormat/>
    <w:uiPriority w:val="0"/>
    <w:pPr>
      <w:ind w:left="800" w:leftChars="800"/>
    </w:pPr>
    <w:rPr>
      <w:szCs w:val="20"/>
    </w:rPr>
  </w:style>
  <w:style w:type="paragraph" w:styleId="18">
    <w:name w:val="Document Map"/>
    <w:basedOn w:val="1"/>
    <w:link w:val="109"/>
    <w:qFormat/>
    <w:uiPriority w:val="0"/>
    <w:pPr>
      <w:shd w:val="clear" w:color="auto" w:fill="000080"/>
    </w:pPr>
    <w:rPr>
      <w:szCs w:val="20"/>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97"/>
    <w:qFormat/>
    <w:uiPriority w:val="0"/>
    <w:pPr>
      <w:jc w:val="left"/>
    </w:pPr>
    <w:rPr>
      <w:szCs w:val="20"/>
    </w:rPr>
  </w:style>
  <w:style w:type="paragraph" w:styleId="21">
    <w:name w:val="index 6"/>
    <w:basedOn w:val="1"/>
    <w:next w:val="1"/>
    <w:qFormat/>
    <w:uiPriority w:val="0"/>
    <w:pPr>
      <w:ind w:left="1000" w:leftChars="1000"/>
    </w:pPr>
    <w:rPr>
      <w:szCs w:val="20"/>
    </w:rPr>
  </w:style>
  <w:style w:type="paragraph" w:styleId="22">
    <w:name w:val="Salutation"/>
    <w:basedOn w:val="1"/>
    <w:next w:val="1"/>
    <w:link w:val="139"/>
    <w:qFormat/>
    <w:uiPriority w:val="0"/>
    <w:rPr>
      <w:rFonts w:ascii="仿宋_GB2312" w:hAnsi="Calibri" w:eastAsia="仿宋_GB2312"/>
      <w:bCs/>
      <w:sz w:val="28"/>
      <w:szCs w:val="20"/>
    </w:rPr>
  </w:style>
  <w:style w:type="paragraph" w:styleId="23">
    <w:name w:val="Body Text 3"/>
    <w:basedOn w:val="1"/>
    <w:link w:val="87"/>
    <w:qFormat/>
    <w:uiPriority w:val="0"/>
    <w:rPr>
      <w:rFonts w:ascii="黑体" w:hAnsi="Arial" w:eastAsia="黑体"/>
      <w:b/>
      <w:sz w:val="28"/>
      <w:szCs w:val="20"/>
    </w:rPr>
  </w:style>
  <w:style w:type="paragraph" w:styleId="24">
    <w:name w:val="Body Text"/>
    <w:basedOn w:val="1"/>
    <w:next w:val="1"/>
    <w:link w:val="93"/>
    <w:qFormat/>
    <w:uiPriority w:val="0"/>
    <w:rPr>
      <w:rFonts w:ascii="宋体" w:hAnsi="Arial"/>
      <w:sz w:val="28"/>
      <w:szCs w:val="20"/>
    </w:rPr>
  </w:style>
  <w:style w:type="paragraph" w:styleId="25">
    <w:name w:val="Body Text Indent"/>
    <w:basedOn w:val="1"/>
    <w:next w:val="26"/>
    <w:link w:val="107"/>
    <w:qFormat/>
    <w:uiPriority w:val="99"/>
    <w:pPr>
      <w:ind w:firstLine="645"/>
    </w:pPr>
    <w:rPr>
      <w:rFonts w:ascii="楷体_GB2312" w:eastAsia="楷体_GB2312"/>
      <w:sz w:val="32"/>
      <w:szCs w:val="20"/>
    </w:rPr>
  </w:style>
  <w:style w:type="paragraph" w:styleId="26">
    <w:name w:val="envelope return"/>
    <w:basedOn w:val="1"/>
    <w:unhideWhenUsed/>
    <w:qFormat/>
    <w:uiPriority w:val="99"/>
    <w:pPr>
      <w:snapToGrid w:val="0"/>
    </w:pPr>
    <w:rPr>
      <w:rFonts w:ascii="Arial" w:hAnsi="Arial"/>
    </w:rPr>
  </w:style>
  <w:style w:type="paragraph" w:styleId="27">
    <w:name w:val="List 2"/>
    <w:basedOn w:val="1"/>
    <w:qFormat/>
    <w:uiPriority w:val="0"/>
    <w:pPr>
      <w:ind w:left="100" w:leftChars="200" w:hanging="200" w:hangingChars="200"/>
    </w:pPr>
    <w:rPr>
      <w:rFonts w:ascii="Calibri" w:hAnsi="Calibri"/>
    </w:rPr>
  </w:style>
  <w:style w:type="paragraph" w:styleId="28">
    <w:name w:val="List Continue"/>
    <w:basedOn w:val="1"/>
    <w:qFormat/>
    <w:uiPriority w:val="0"/>
    <w:pPr>
      <w:spacing w:after="120"/>
      <w:ind w:left="420" w:leftChars="200"/>
    </w:pPr>
    <w:rPr>
      <w:rFonts w:ascii="Calibri" w:hAnsi="Calibri"/>
    </w:rPr>
  </w:style>
  <w:style w:type="paragraph" w:styleId="29">
    <w:name w:val="Block Text"/>
    <w:basedOn w:val="1"/>
    <w:qFormat/>
    <w:uiPriority w:val="0"/>
    <w:pPr>
      <w:spacing w:after="156"/>
    </w:pPr>
    <w:rPr>
      <w:rFonts w:ascii="宋体"/>
    </w:rPr>
  </w:style>
  <w:style w:type="paragraph" w:styleId="30">
    <w:name w:val="index 4"/>
    <w:basedOn w:val="1"/>
    <w:next w:val="1"/>
    <w:qFormat/>
    <w:uiPriority w:val="0"/>
    <w:pPr>
      <w:ind w:left="600" w:leftChars="600"/>
    </w:pPr>
    <w:rPr>
      <w:szCs w:val="20"/>
    </w:r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tabs>
        <w:tab w:val="right" w:leader="dot" w:pos="9403"/>
      </w:tabs>
      <w:spacing w:line="380" w:lineRule="exact"/>
      <w:ind w:left="420"/>
      <w:jc w:val="left"/>
    </w:pPr>
    <w:rPr>
      <w:i/>
      <w:iCs/>
      <w:szCs w:val="24"/>
    </w:rPr>
  </w:style>
  <w:style w:type="paragraph" w:styleId="33">
    <w:name w:val="Plain Text"/>
    <w:basedOn w:val="1"/>
    <w:link w:val="98"/>
    <w:qFormat/>
    <w:uiPriority w:val="0"/>
    <w:rPr>
      <w:rFonts w:ascii="宋体" w:hAnsi="Courier New"/>
      <w:szCs w:val="20"/>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rPr>
      <w:szCs w:val="20"/>
    </w:rPr>
  </w:style>
  <w:style w:type="paragraph" w:styleId="36">
    <w:name w:val="Date"/>
    <w:basedOn w:val="1"/>
    <w:next w:val="1"/>
    <w:link w:val="88"/>
    <w:qFormat/>
    <w:uiPriority w:val="0"/>
    <w:rPr>
      <w:b/>
      <w:sz w:val="28"/>
      <w:szCs w:val="20"/>
    </w:rPr>
  </w:style>
  <w:style w:type="paragraph" w:styleId="37">
    <w:name w:val="Body Text Indent 2"/>
    <w:basedOn w:val="1"/>
    <w:link w:val="95"/>
    <w:qFormat/>
    <w:uiPriority w:val="0"/>
    <w:pPr>
      <w:ind w:left="630" w:firstLine="645"/>
    </w:pPr>
    <w:rPr>
      <w:rFonts w:ascii="Arial" w:hAnsi="Arial" w:eastAsia="仿宋_GB2312"/>
      <w:sz w:val="32"/>
      <w:szCs w:val="20"/>
    </w:rPr>
  </w:style>
  <w:style w:type="paragraph" w:styleId="38">
    <w:name w:val="Balloon Text"/>
    <w:basedOn w:val="1"/>
    <w:link w:val="86"/>
    <w:qFormat/>
    <w:uiPriority w:val="0"/>
    <w:rPr>
      <w:sz w:val="18"/>
      <w:szCs w:val="18"/>
    </w:rPr>
  </w:style>
  <w:style w:type="paragraph" w:styleId="39">
    <w:name w:val="footer"/>
    <w:basedOn w:val="1"/>
    <w:link w:val="90"/>
    <w:qFormat/>
    <w:uiPriority w:val="99"/>
    <w:pPr>
      <w:tabs>
        <w:tab w:val="center" w:pos="4153"/>
        <w:tab w:val="right" w:pos="8306"/>
      </w:tabs>
      <w:snapToGrid w:val="0"/>
      <w:jc w:val="left"/>
    </w:pPr>
    <w:rPr>
      <w:sz w:val="18"/>
      <w:szCs w:val="20"/>
    </w:rPr>
  </w:style>
  <w:style w:type="paragraph" w:styleId="40">
    <w:name w:val="header"/>
    <w:basedOn w:val="1"/>
    <w:link w:val="99"/>
    <w:qFormat/>
    <w:uiPriority w:val="0"/>
    <w:pPr>
      <w:pBdr>
        <w:bottom w:val="single" w:color="auto" w:sz="6" w:space="1"/>
      </w:pBdr>
      <w:tabs>
        <w:tab w:val="center" w:pos="4153"/>
        <w:tab w:val="right" w:pos="8306"/>
      </w:tabs>
      <w:snapToGrid w:val="0"/>
      <w:jc w:val="center"/>
    </w:pPr>
    <w:rPr>
      <w:sz w:val="18"/>
      <w:szCs w:val="20"/>
    </w:rPr>
  </w:style>
  <w:style w:type="paragraph" w:styleId="41">
    <w:name w:val="toc 1"/>
    <w:basedOn w:val="1"/>
    <w:next w:val="1"/>
    <w:qFormat/>
    <w:uiPriority w:val="39"/>
    <w:pPr>
      <w:spacing w:before="120" w:after="120"/>
      <w:jc w:val="left"/>
    </w:pPr>
    <w:rPr>
      <w:caps/>
      <w:szCs w:val="24"/>
    </w:rPr>
  </w:style>
  <w:style w:type="paragraph" w:styleId="42">
    <w:name w:val="List Continue 4"/>
    <w:basedOn w:val="1"/>
    <w:qFormat/>
    <w:uiPriority w:val="0"/>
    <w:pPr>
      <w:spacing w:after="120"/>
      <w:ind w:left="1680" w:leftChars="800"/>
    </w:pPr>
    <w:rPr>
      <w:rFonts w:ascii="Calibri" w:hAnsi="Calibri"/>
    </w:rPr>
  </w:style>
  <w:style w:type="paragraph" w:styleId="43">
    <w:name w:val="toc 4"/>
    <w:basedOn w:val="1"/>
    <w:next w:val="1"/>
    <w:qFormat/>
    <w:uiPriority w:val="39"/>
    <w:pPr>
      <w:ind w:left="630"/>
      <w:jc w:val="left"/>
    </w:pPr>
    <w:rPr>
      <w:szCs w:val="21"/>
    </w:rPr>
  </w:style>
  <w:style w:type="paragraph" w:styleId="44">
    <w:name w:val="index heading"/>
    <w:basedOn w:val="1"/>
    <w:next w:val="45"/>
    <w:qFormat/>
    <w:uiPriority w:val="0"/>
    <w:rPr>
      <w:szCs w:val="20"/>
    </w:rPr>
  </w:style>
  <w:style w:type="paragraph" w:styleId="45">
    <w:name w:val="index 1"/>
    <w:basedOn w:val="1"/>
    <w:next w:val="1"/>
    <w:qFormat/>
    <w:uiPriority w:val="0"/>
    <w:pPr>
      <w:jc w:val="center"/>
    </w:pPr>
    <w:rPr>
      <w:rFonts w:ascii="仿宋_GB2312" w:eastAsia="仿宋_GB2312"/>
      <w:b/>
      <w:bCs/>
      <w:sz w:val="28"/>
      <w:szCs w:val="20"/>
    </w:rPr>
  </w:style>
  <w:style w:type="paragraph" w:styleId="46">
    <w:name w:val="Subtitle"/>
    <w:basedOn w:val="1"/>
    <w:link w:val="245"/>
    <w:qFormat/>
    <w:uiPriority w:val="0"/>
    <w:pPr>
      <w:spacing w:before="240" w:after="60" w:line="312" w:lineRule="auto"/>
      <w:jc w:val="center"/>
      <w:outlineLvl w:val="1"/>
    </w:pPr>
    <w:rPr>
      <w:rFonts w:ascii="Arial" w:hAnsi="Arial"/>
      <w:b/>
      <w:bCs/>
      <w:kern w:val="28"/>
      <w:sz w:val="32"/>
      <w:szCs w:val="32"/>
    </w:rPr>
  </w:style>
  <w:style w:type="paragraph" w:styleId="47">
    <w:name w:val="List"/>
    <w:basedOn w:val="1"/>
    <w:qFormat/>
    <w:uiPriority w:val="0"/>
    <w:pPr>
      <w:ind w:left="200" w:hanging="200" w:hangingChars="200"/>
    </w:pPr>
    <w:rPr>
      <w:rFonts w:ascii="Calibri" w:hAnsi="Calibri"/>
    </w:rPr>
  </w:style>
  <w:style w:type="paragraph" w:styleId="48">
    <w:name w:val="footnote text"/>
    <w:basedOn w:val="1"/>
    <w:link w:val="15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49">
    <w:name w:val="toc 6"/>
    <w:basedOn w:val="1"/>
    <w:next w:val="1"/>
    <w:qFormat/>
    <w:uiPriority w:val="39"/>
    <w:pPr>
      <w:ind w:left="1050"/>
      <w:jc w:val="left"/>
    </w:pPr>
    <w:rPr>
      <w:szCs w:val="21"/>
    </w:rPr>
  </w:style>
  <w:style w:type="paragraph" w:styleId="50">
    <w:name w:val="Body Text Indent 3"/>
    <w:basedOn w:val="1"/>
    <w:link w:val="104"/>
    <w:qFormat/>
    <w:uiPriority w:val="0"/>
    <w:pPr>
      <w:ind w:firstLine="645"/>
    </w:pPr>
    <w:rPr>
      <w:rFonts w:ascii="仿宋_GB2312" w:hAnsi="Arial" w:eastAsia="仿宋_GB2312"/>
      <w:color w:val="000000"/>
      <w:sz w:val="30"/>
      <w:szCs w:val="20"/>
    </w:rPr>
  </w:style>
  <w:style w:type="paragraph" w:styleId="51">
    <w:name w:val="index 7"/>
    <w:basedOn w:val="1"/>
    <w:next w:val="1"/>
    <w:qFormat/>
    <w:uiPriority w:val="0"/>
    <w:pPr>
      <w:ind w:left="1200" w:leftChars="1200"/>
    </w:pPr>
    <w:rPr>
      <w:szCs w:val="20"/>
    </w:rPr>
  </w:style>
  <w:style w:type="paragraph" w:styleId="52">
    <w:name w:val="index 9"/>
    <w:basedOn w:val="1"/>
    <w:next w:val="1"/>
    <w:qFormat/>
    <w:uiPriority w:val="0"/>
    <w:pPr>
      <w:ind w:left="1600" w:leftChars="1600"/>
    </w:pPr>
    <w:rPr>
      <w:szCs w:val="20"/>
    </w:rPr>
  </w:style>
  <w:style w:type="paragraph" w:styleId="53">
    <w:name w:val="table of figures"/>
    <w:basedOn w:val="1"/>
    <w:next w:val="1"/>
    <w:qFormat/>
    <w:uiPriority w:val="0"/>
    <w:pPr>
      <w:widowControl/>
      <w:spacing w:line="240" w:lineRule="exact"/>
      <w:ind w:left="200" w:leftChars="200" w:hanging="200" w:hangingChars="200"/>
      <w:jc w:val="left"/>
    </w:pPr>
    <w:rPr>
      <w:szCs w:val="24"/>
    </w:rPr>
  </w:style>
  <w:style w:type="paragraph" w:styleId="54">
    <w:name w:val="toc 2"/>
    <w:basedOn w:val="1"/>
    <w:next w:val="1"/>
    <w:qFormat/>
    <w:uiPriority w:val="39"/>
    <w:pPr>
      <w:tabs>
        <w:tab w:val="right" w:leader="dot" w:pos="9403"/>
      </w:tabs>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92"/>
    <w:qFormat/>
    <w:uiPriority w:val="0"/>
    <w:rPr>
      <w:rFonts w:ascii="仿宋_GB2312" w:eastAsia="仿宋_GB2312"/>
      <w:b/>
      <w:sz w:val="24"/>
      <w:szCs w:val="20"/>
    </w:rPr>
  </w:style>
  <w:style w:type="paragraph" w:styleId="57">
    <w:name w:val="List 4"/>
    <w:basedOn w:val="1"/>
    <w:qFormat/>
    <w:uiPriority w:val="0"/>
    <w:pPr>
      <w:ind w:left="100" w:leftChars="600" w:hanging="200" w:hangingChars="200"/>
    </w:pPr>
    <w:rPr>
      <w:rFonts w:ascii="Calibri" w:hAnsi="Calibri"/>
    </w:rPr>
  </w:style>
  <w:style w:type="paragraph" w:styleId="58">
    <w:name w:val="List Continue 2"/>
    <w:basedOn w:val="1"/>
    <w:qFormat/>
    <w:uiPriority w:val="0"/>
    <w:pPr>
      <w:spacing w:after="120"/>
      <w:ind w:left="840" w:leftChars="400"/>
    </w:pPr>
    <w:rPr>
      <w:rFonts w:ascii="Calibri" w:hAnsi="Calibri"/>
    </w:rPr>
  </w:style>
  <w:style w:type="paragraph" w:styleId="59">
    <w:name w:val="HTML Preformatted"/>
    <w:basedOn w:val="1"/>
    <w:link w:val="3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0">
    <w:name w:val="Normal (Web)"/>
    <w:basedOn w:val="1"/>
    <w:link w:val="387"/>
    <w:qFormat/>
    <w:uiPriority w:val="0"/>
    <w:pPr>
      <w:widowControl/>
      <w:spacing w:before="100" w:beforeAutospacing="1" w:after="100" w:afterAutospacing="1"/>
      <w:jc w:val="left"/>
    </w:pPr>
    <w:rPr>
      <w:rFonts w:ascii="宋体" w:hAnsi="宋体"/>
      <w:kern w:val="0"/>
      <w:sz w:val="24"/>
      <w:szCs w:val="24"/>
    </w:rPr>
  </w:style>
  <w:style w:type="paragraph" w:styleId="61">
    <w:name w:val="index 2"/>
    <w:basedOn w:val="1"/>
    <w:next w:val="1"/>
    <w:qFormat/>
    <w:uiPriority w:val="0"/>
    <w:pPr>
      <w:ind w:left="200" w:leftChars="200"/>
    </w:pPr>
    <w:rPr>
      <w:szCs w:val="20"/>
    </w:rPr>
  </w:style>
  <w:style w:type="paragraph" w:styleId="62">
    <w:name w:val="Title"/>
    <w:basedOn w:val="4"/>
    <w:next w:val="1"/>
    <w:link w:val="153"/>
    <w:qFormat/>
    <w:uiPriority w:val="0"/>
    <w:pPr>
      <w:spacing w:before="0" w:after="0" w:line="360" w:lineRule="auto"/>
      <w:ind w:firstLine="0"/>
    </w:pPr>
    <w:rPr>
      <w:rFonts w:ascii="宋体" w:hAnsi="宋体"/>
      <w:bCs w:val="0"/>
      <w:smallCaps/>
      <w:snapToGrid w:val="0"/>
      <w:sz w:val="44"/>
      <w:szCs w:val="24"/>
    </w:rPr>
  </w:style>
  <w:style w:type="paragraph" w:styleId="63">
    <w:name w:val="annotation subject"/>
    <w:basedOn w:val="20"/>
    <w:next w:val="20"/>
    <w:link w:val="108"/>
    <w:unhideWhenUsed/>
    <w:qFormat/>
    <w:uiPriority w:val="0"/>
    <w:rPr>
      <w:b/>
      <w:bCs/>
      <w:szCs w:val="22"/>
    </w:rPr>
  </w:style>
  <w:style w:type="paragraph" w:styleId="64">
    <w:name w:val="Body Text First Indent"/>
    <w:basedOn w:val="1"/>
    <w:link w:val="89"/>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5">
    <w:name w:val="Body Text First Indent 2"/>
    <w:basedOn w:val="25"/>
    <w:link w:val="388"/>
    <w:unhideWhenUsed/>
    <w:qFormat/>
    <w:uiPriority w:val="0"/>
    <w:pPr>
      <w:spacing w:after="120"/>
      <w:ind w:left="420" w:leftChars="200" w:firstLine="420" w:firstLineChars="200"/>
    </w:pPr>
    <w:rPr>
      <w:rFonts w:ascii="Times New Roman" w:cstheme="minorBidi"/>
      <w:sz w:val="21"/>
      <w:szCs w:val="2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正文首行缩进 21"/>
    <w:basedOn w:val="84"/>
    <w:qFormat/>
    <w:uiPriority w:val="0"/>
    <w:pPr>
      <w:ind w:firstLine="420"/>
    </w:pPr>
    <w:rPr>
      <w:szCs w:val="22"/>
    </w:rPr>
  </w:style>
  <w:style w:type="paragraph" w:customStyle="1" w:styleId="84">
    <w:name w:val="正文文本缩进1"/>
    <w:basedOn w:val="1"/>
    <w:qFormat/>
    <w:uiPriority w:val="0"/>
    <w:pPr>
      <w:spacing w:line="500" w:lineRule="exact"/>
      <w:ind w:firstLine="880" w:firstLineChars="200"/>
    </w:pPr>
  </w:style>
  <w:style w:type="character" w:customStyle="1" w:styleId="85">
    <w:name w:val="标题 3 Char"/>
    <w:link w:val="5"/>
    <w:qFormat/>
    <w:uiPriority w:val="0"/>
    <w:rPr>
      <w:rFonts w:ascii="宋体" w:hAnsi="Times New Roman"/>
      <w:b/>
      <w:bCs/>
      <w:kern w:val="2"/>
      <w:sz w:val="32"/>
      <w:szCs w:val="32"/>
    </w:rPr>
  </w:style>
  <w:style w:type="character" w:customStyle="1" w:styleId="86">
    <w:name w:val="批注框文本 Char"/>
    <w:link w:val="38"/>
    <w:qFormat/>
    <w:uiPriority w:val="0"/>
    <w:rPr>
      <w:rFonts w:ascii="Times New Roman" w:hAnsi="Times New Roman"/>
      <w:kern w:val="2"/>
      <w:sz w:val="18"/>
      <w:szCs w:val="18"/>
    </w:rPr>
  </w:style>
  <w:style w:type="character" w:customStyle="1" w:styleId="87">
    <w:name w:val="正文文本 3 Char"/>
    <w:link w:val="23"/>
    <w:qFormat/>
    <w:uiPriority w:val="0"/>
    <w:rPr>
      <w:rFonts w:ascii="黑体" w:hAnsi="Arial" w:eastAsia="黑体"/>
      <w:b/>
      <w:kern w:val="2"/>
      <w:sz w:val="28"/>
    </w:rPr>
  </w:style>
  <w:style w:type="character" w:customStyle="1" w:styleId="88">
    <w:name w:val="日期 Char"/>
    <w:link w:val="36"/>
    <w:qFormat/>
    <w:uiPriority w:val="0"/>
    <w:rPr>
      <w:rFonts w:ascii="Times New Roman" w:hAnsi="Times New Roman"/>
      <w:b/>
      <w:kern w:val="2"/>
      <w:sz w:val="28"/>
    </w:rPr>
  </w:style>
  <w:style w:type="character" w:customStyle="1" w:styleId="89">
    <w:name w:val="正文首行缩进 Char"/>
    <w:link w:val="64"/>
    <w:qFormat/>
    <w:uiPriority w:val="0"/>
    <w:rPr>
      <w:rFonts w:ascii="Arial" w:hAnsi="Arial" w:eastAsia="仿宋_GB2312" w:cs="Arial"/>
      <w:kern w:val="2"/>
      <w:sz w:val="24"/>
      <w:szCs w:val="32"/>
    </w:rPr>
  </w:style>
  <w:style w:type="character" w:customStyle="1" w:styleId="90">
    <w:name w:val="页脚 Char"/>
    <w:link w:val="39"/>
    <w:qFormat/>
    <w:uiPriority w:val="99"/>
    <w:rPr>
      <w:rFonts w:ascii="Times New Roman" w:hAnsi="Times New Roman"/>
      <w:kern w:val="2"/>
      <w:sz w:val="18"/>
    </w:rPr>
  </w:style>
  <w:style w:type="character" w:customStyle="1" w:styleId="91">
    <w:name w:val="标题 4 Char"/>
    <w:link w:val="6"/>
    <w:qFormat/>
    <w:uiPriority w:val="0"/>
    <w:rPr>
      <w:rFonts w:ascii="Arial" w:hAnsi="Arial" w:eastAsia="黑体"/>
      <w:b/>
      <w:bCs/>
      <w:kern w:val="2"/>
      <w:sz w:val="28"/>
      <w:szCs w:val="28"/>
    </w:rPr>
  </w:style>
  <w:style w:type="character" w:customStyle="1" w:styleId="92">
    <w:name w:val="正文文本 2 Char"/>
    <w:link w:val="56"/>
    <w:qFormat/>
    <w:uiPriority w:val="0"/>
    <w:rPr>
      <w:rFonts w:ascii="仿宋_GB2312" w:hAnsi="Times New Roman" w:eastAsia="仿宋_GB2312"/>
      <w:b/>
      <w:kern w:val="2"/>
      <w:sz w:val="24"/>
    </w:rPr>
  </w:style>
  <w:style w:type="character" w:customStyle="1" w:styleId="93">
    <w:name w:val="正文文本 Char"/>
    <w:link w:val="24"/>
    <w:qFormat/>
    <w:uiPriority w:val="0"/>
    <w:rPr>
      <w:rFonts w:ascii="宋体" w:hAnsi="Arial"/>
      <w:kern w:val="2"/>
      <w:sz w:val="28"/>
    </w:rPr>
  </w:style>
  <w:style w:type="character" w:customStyle="1" w:styleId="94">
    <w:name w:val="标题 7 Char"/>
    <w:link w:val="9"/>
    <w:qFormat/>
    <w:uiPriority w:val="0"/>
    <w:rPr>
      <w:rFonts w:ascii="Arial" w:hAnsi="Arial" w:eastAsia="仿宋_GB2312" w:cs="Arial"/>
      <w:b/>
      <w:bCs/>
      <w:spacing w:val="-4"/>
      <w:kern w:val="2"/>
      <w:sz w:val="24"/>
      <w:szCs w:val="24"/>
    </w:rPr>
  </w:style>
  <w:style w:type="character" w:customStyle="1" w:styleId="95">
    <w:name w:val="正文文本缩进 2 Char"/>
    <w:link w:val="37"/>
    <w:qFormat/>
    <w:uiPriority w:val="0"/>
    <w:rPr>
      <w:rFonts w:ascii="Arial" w:hAnsi="Arial" w:eastAsia="仿宋_GB2312"/>
      <w:kern w:val="2"/>
      <w:sz w:val="32"/>
    </w:rPr>
  </w:style>
  <w:style w:type="character" w:customStyle="1" w:styleId="96">
    <w:name w:val="标题 1 Char"/>
    <w:link w:val="3"/>
    <w:qFormat/>
    <w:uiPriority w:val="0"/>
    <w:rPr>
      <w:rFonts w:ascii="Times New Roman" w:hAnsi="Times New Roman"/>
      <w:b/>
      <w:bCs/>
      <w:kern w:val="44"/>
      <w:sz w:val="30"/>
      <w:szCs w:val="44"/>
    </w:rPr>
  </w:style>
  <w:style w:type="character" w:customStyle="1" w:styleId="97">
    <w:name w:val="批注文字 Char"/>
    <w:link w:val="20"/>
    <w:qFormat/>
    <w:uiPriority w:val="0"/>
    <w:rPr>
      <w:rFonts w:ascii="Times New Roman" w:hAnsi="Times New Roman"/>
      <w:kern w:val="2"/>
      <w:sz w:val="21"/>
    </w:rPr>
  </w:style>
  <w:style w:type="character" w:customStyle="1" w:styleId="98">
    <w:name w:val="纯文本 Char1"/>
    <w:link w:val="33"/>
    <w:qFormat/>
    <w:locked/>
    <w:uiPriority w:val="0"/>
    <w:rPr>
      <w:rFonts w:ascii="宋体" w:hAnsi="Courier New"/>
      <w:kern w:val="2"/>
      <w:sz w:val="21"/>
    </w:rPr>
  </w:style>
  <w:style w:type="character" w:customStyle="1" w:styleId="99">
    <w:name w:val="页眉 Char"/>
    <w:link w:val="40"/>
    <w:qFormat/>
    <w:uiPriority w:val="0"/>
    <w:rPr>
      <w:rFonts w:ascii="Times New Roman" w:hAnsi="Times New Roman"/>
      <w:kern w:val="2"/>
      <w:sz w:val="18"/>
    </w:rPr>
  </w:style>
  <w:style w:type="character" w:customStyle="1" w:styleId="100">
    <w:name w:val="标题 2 Char"/>
    <w:link w:val="4"/>
    <w:qFormat/>
    <w:uiPriority w:val="0"/>
    <w:rPr>
      <w:rFonts w:ascii="Arial" w:hAnsi="Arial" w:eastAsia="黑体"/>
      <w:b/>
      <w:bCs/>
      <w:kern w:val="2"/>
      <w:sz w:val="32"/>
      <w:szCs w:val="32"/>
    </w:rPr>
  </w:style>
  <w:style w:type="character" w:customStyle="1" w:styleId="101">
    <w:name w:val="样式1 Char Char"/>
    <w:link w:val="102"/>
    <w:qFormat/>
    <w:locked/>
    <w:uiPriority w:val="0"/>
    <w:rPr>
      <w:rFonts w:ascii="宋体" w:hAnsi="宋体"/>
      <w:sz w:val="21"/>
    </w:rPr>
  </w:style>
  <w:style w:type="paragraph" w:customStyle="1" w:styleId="102">
    <w:name w:val="样式1"/>
    <w:basedOn w:val="1"/>
    <w:link w:val="101"/>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7"/>
    <w:qFormat/>
    <w:uiPriority w:val="0"/>
    <w:rPr>
      <w:rFonts w:ascii="宋体" w:hAnsi="Arial"/>
      <w:bCs/>
      <w:kern w:val="2"/>
      <w:sz w:val="28"/>
    </w:rPr>
  </w:style>
  <w:style w:type="character" w:customStyle="1" w:styleId="104">
    <w:name w:val="正文文本缩进 3 Char"/>
    <w:link w:val="50"/>
    <w:qFormat/>
    <w:uiPriority w:val="0"/>
    <w:rPr>
      <w:rFonts w:ascii="仿宋_GB2312" w:hAnsi="Arial" w:eastAsia="仿宋_GB2312"/>
      <w:color w:val="000000"/>
      <w:kern w:val="2"/>
      <w:sz w:val="30"/>
    </w:rPr>
  </w:style>
  <w:style w:type="character" w:customStyle="1" w:styleId="105">
    <w:name w:val="标题 6 Char"/>
    <w:link w:val="8"/>
    <w:qFormat/>
    <w:uiPriority w:val="0"/>
    <w:rPr>
      <w:rFonts w:ascii="宋体" w:hAnsi="宋体"/>
      <w:sz w:val="28"/>
    </w:rPr>
  </w:style>
  <w:style w:type="character" w:customStyle="1" w:styleId="106">
    <w:name w:val="纯文本 Char"/>
    <w:qFormat/>
    <w:uiPriority w:val="0"/>
    <w:rPr>
      <w:rFonts w:ascii="宋体" w:hAnsi="Courier New" w:cs="Courier New"/>
      <w:kern w:val="2"/>
      <w:sz w:val="21"/>
      <w:szCs w:val="21"/>
    </w:rPr>
  </w:style>
  <w:style w:type="character" w:customStyle="1" w:styleId="107">
    <w:name w:val="正文文本缩进 Char"/>
    <w:link w:val="25"/>
    <w:qFormat/>
    <w:uiPriority w:val="99"/>
    <w:rPr>
      <w:rFonts w:ascii="楷体_GB2312" w:hAnsi="Times New Roman" w:eastAsia="楷体_GB2312"/>
      <w:kern w:val="2"/>
      <w:sz w:val="32"/>
    </w:rPr>
  </w:style>
  <w:style w:type="character" w:customStyle="1" w:styleId="108">
    <w:name w:val="批注主题 Char"/>
    <w:link w:val="63"/>
    <w:qFormat/>
    <w:uiPriority w:val="0"/>
    <w:rPr>
      <w:rFonts w:ascii="Times New Roman" w:hAnsi="Times New Roman"/>
      <w:b/>
      <w:bCs/>
      <w:kern w:val="2"/>
      <w:sz w:val="21"/>
      <w:szCs w:val="22"/>
    </w:rPr>
  </w:style>
  <w:style w:type="character" w:customStyle="1" w:styleId="109">
    <w:name w:val="文档结构图 Char"/>
    <w:link w:val="18"/>
    <w:qFormat/>
    <w:uiPriority w:val="0"/>
    <w:rPr>
      <w:rFonts w:ascii="Times New Roman" w:hAnsi="Times New Roman"/>
      <w:kern w:val="2"/>
      <w:sz w:val="21"/>
      <w:shd w:val="clear" w:color="auto" w:fill="000080"/>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qFormat/>
    <w:uiPriority w:val="0"/>
    <w:pPr>
      <w:widowControl/>
    </w:pPr>
    <w:rPr>
      <w:kern w:val="0"/>
      <w:szCs w:val="21"/>
    </w:rPr>
  </w:style>
  <w:style w:type="paragraph" w:customStyle="1" w:styleId="114">
    <w:name w:val="Char"/>
    <w:basedOn w:val="1"/>
    <w:qFormat/>
    <w:uiPriority w:val="0"/>
    <w:rPr>
      <w:rFonts w:ascii="Tahoma" w:hAnsi="Tahoma"/>
      <w:sz w:val="24"/>
      <w:szCs w:val="20"/>
    </w:rPr>
  </w:style>
  <w:style w:type="paragraph" w:customStyle="1" w:styleId="115">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qFormat/>
    <w:uiPriority w:val="0"/>
    <w:pPr>
      <w:widowControl/>
      <w:spacing w:after="160" w:line="240" w:lineRule="exact"/>
      <w:jc w:val="left"/>
    </w:pPr>
    <w:rPr>
      <w:kern w:val="0"/>
      <w:sz w:val="24"/>
      <w:szCs w:val="24"/>
    </w:rPr>
  </w:style>
  <w:style w:type="paragraph" w:styleId="120">
    <w:name w:val="List Paragraph"/>
    <w:basedOn w:val="1"/>
    <w:qFormat/>
    <w:uiPriority w:val="0"/>
    <w:pPr>
      <w:ind w:firstLine="420" w:firstLineChars="200"/>
    </w:pPr>
  </w:style>
  <w:style w:type="paragraph" w:customStyle="1" w:styleId="121">
    <w:name w:val="一级标题"/>
    <w:basedOn w:val="1"/>
    <w:next w:val="117"/>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qFormat/>
    <w:uiPriority w:val="0"/>
    <w:rPr>
      <w:rFonts w:ascii="Tahoma" w:hAnsi="Tahoma"/>
      <w:sz w:val="24"/>
      <w:szCs w:val="20"/>
    </w:rPr>
  </w:style>
  <w:style w:type="paragraph" w:customStyle="1" w:styleId="125">
    <w:name w:val="基本文字 Char"/>
    <w:basedOn w:val="1"/>
    <w:qFormat/>
    <w:uiPriority w:val="0"/>
    <w:pPr>
      <w:spacing w:before="156" w:line="400" w:lineRule="atLeast"/>
      <w:ind w:firstLine="540" w:firstLineChars="225"/>
    </w:pPr>
    <w:rPr>
      <w:sz w:val="24"/>
      <w:szCs w:val="20"/>
    </w:rPr>
  </w:style>
  <w:style w:type="paragraph" w:customStyle="1" w:styleId="12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0"/>
    <w:qFormat/>
    <w:uiPriority w:val="0"/>
    <w:rPr>
      <w:rFonts w:ascii="宋体" w:hAnsi="宋体" w:eastAsia="黑体"/>
      <w:kern w:val="2"/>
      <w:sz w:val="32"/>
      <w:szCs w:val="32"/>
    </w:rPr>
  </w:style>
  <w:style w:type="character" w:customStyle="1" w:styleId="134">
    <w:name w:val="标题 9 Char"/>
    <w:basedOn w:val="68"/>
    <w:link w:val="11"/>
    <w:qFormat/>
    <w:uiPriority w:val="0"/>
    <w:rPr>
      <w:b/>
      <w:bCs/>
      <w:kern w:val="2"/>
      <w:sz w:val="30"/>
      <w:szCs w:val="18"/>
    </w:rPr>
  </w:style>
  <w:style w:type="paragraph" w:customStyle="1" w:styleId="135">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2"/>
    <w:qFormat/>
    <w:uiPriority w:val="0"/>
    <w:rPr>
      <w:rFonts w:ascii="仿宋_GB2312" w:hAnsi="Calibri" w:eastAsia="仿宋_GB2312"/>
      <w:bCs/>
      <w:kern w:val="2"/>
      <w:sz w:val="28"/>
    </w:rPr>
  </w:style>
  <w:style w:type="paragraph" w:customStyle="1" w:styleId="140">
    <w:name w:val="Char1"/>
    <w:basedOn w:val="1"/>
    <w:qFormat/>
    <w:uiPriority w:val="0"/>
    <w:rPr>
      <w:rFonts w:ascii="Calibri" w:hAnsi="Calibri"/>
    </w:rPr>
  </w:style>
  <w:style w:type="paragraph" w:customStyle="1" w:styleId="141">
    <w:name w:val="Char Char Char Char Char Char"/>
    <w:basedOn w:val="1"/>
    <w:qFormat/>
    <w:uiPriority w:val="0"/>
    <w:rPr>
      <w:rFonts w:ascii="Tahoma" w:hAnsi="Tahoma"/>
      <w:sz w:val="24"/>
      <w:szCs w:val="20"/>
    </w:rPr>
  </w:style>
  <w:style w:type="paragraph" w:customStyle="1" w:styleId="142">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qFormat/>
    <w:uiPriority w:val="0"/>
    <w:rPr>
      <w:sz w:val="24"/>
    </w:rPr>
  </w:style>
  <w:style w:type="paragraph" w:customStyle="1" w:styleId="1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qFormat/>
    <w:uiPriority w:val="0"/>
    <w:rPr>
      <w:sz w:val="22"/>
    </w:rPr>
  </w:style>
  <w:style w:type="paragraph" w:customStyle="1" w:styleId="148">
    <w:name w:val="段落2"/>
    <w:basedOn w:val="1"/>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qFormat/>
    <w:uiPriority w:val="0"/>
    <w:pPr>
      <w:widowControl/>
      <w:jc w:val="center"/>
    </w:pPr>
    <w:rPr>
      <w:rFonts w:ascii="宋体" w:hAnsi="Calibri"/>
      <w:b/>
      <w:kern w:val="0"/>
      <w:sz w:val="36"/>
      <w:szCs w:val="20"/>
    </w:rPr>
  </w:style>
  <w:style w:type="paragraph" w:customStyle="1" w:styleId="150">
    <w:name w:val="目录文字"/>
    <w:basedOn w:val="1"/>
    <w:qFormat/>
    <w:uiPriority w:val="0"/>
    <w:pPr>
      <w:widowControl/>
      <w:spacing w:line="480" w:lineRule="auto"/>
      <w:jc w:val="left"/>
    </w:pPr>
    <w:rPr>
      <w:rFonts w:ascii="宋体" w:hAnsi="宋体"/>
      <w:kern w:val="0"/>
      <w:sz w:val="24"/>
      <w:szCs w:val="20"/>
    </w:rPr>
  </w:style>
  <w:style w:type="paragraph" w:customStyle="1" w:styleId="1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2"/>
    <w:qFormat/>
    <w:uiPriority w:val="0"/>
    <w:rPr>
      <w:rFonts w:ascii="宋体" w:hAnsi="宋体" w:eastAsia="黑体"/>
      <w:b/>
      <w:smallCaps/>
      <w:snapToGrid w:val="0"/>
      <w:kern w:val="2"/>
      <w:sz w:val="44"/>
      <w:szCs w:val="24"/>
    </w:rPr>
  </w:style>
  <w:style w:type="paragraph" w:customStyle="1" w:styleId="154">
    <w:name w:val="段落1 Char"/>
    <w:basedOn w:val="33"/>
    <w:qFormat/>
    <w:uiPriority w:val="0"/>
    <w:pPr>
      <w:spacing w:line="360" w:lineRule="auto"/>
    </w:pPr>
    <w:rPr>
      <w:rFonts w:ascii="Times New Roman" w:hAnsi="Times New Roman" w:cs="Courier New"/>
      <w:sz w:val="24"/>
      <w:szCs w:val="21"/>
    </w:rPr>
  </w:style>
  <w:style w:type="paragraph" w:customStyle="1" w:styleId="15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qFormat/>
    <w:uiPriority w:val="0"/>
    <w:rPr>
      <w:rFonts w:ascii="Calibri" w:hAnsi="Calibri"/>
    </w:rPr>
  </w:style>
  <w:style w:type="paragraph" w:customStyle="1" w:styleId="15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8"/>
    <w:qFormat/>
    <w:uiPriority w:val="0"/>
    <w:rPr>
      <w:rFonts w:ascii="Calibri" w:hAnsi="Calibri"/>
      <w:bCs/>
      <w:sz w:val="18"/>
    </w:rPr>
  </w:style>
  <w:style w:type="character" w:customStyle="1" w:styleId="159">
    <w:name w:val="t_tag"/>
    <w:basedOn w:val="68"/>
    <w:qFormat/>
    <w:uiPriority w:val="0"/>
  </w:style>
  <w:style w:type="character" w:customStyle="1" w:styleId="160">
    <w:name w:val="批注框文本 Char1"/>
    <w:basedOn w:val="68"/>
    <w:qFormat/>
    <w:uiPriority w:val="0"/>
    <w:rPr>
      <w:rFonts w:ascii="Calibri" w:hAnsi="Calibri"/>
      <w:kern w:val="2"/>
      <w:sz w:val="18"/>
      <w:szCs w:val="18"/>
    </w:rPr>
  </w:style>
  <w:style w:type="character" w:customStyle="1" w:styleId="161">
    <w:name w:val="批注文字 Char1"/>
    <w:basedOn w:val="68"/>
    <w:semiHidden/>
    <w:qFormat/>
    <w:uiPriority w:val="99"/>
    <w:rPr>
      <w:rFonts w:ascii="Calibri" w:hAnsi="Calibri"/>
      <w:kern w:val="2"/>
      <w:sz w:val="21"/>
      <w:szCs w:val="22"/>
    </w:rPr>
  </w:style>
  <w:style w:type="character" w:customStyle="1" w:styleId="162">
    <w:name w:val="批注主题 Char1"/>
    <w:basedOn w:val="161"/>
    <w:qFormat/>
    <w:uiPriority w:val="0"/>
    <w:rPr>
      <w:rFonts w:ascii="Calibri" w:hAnsi="Calibri"/>
      <w:kern w:val="2"/>
      <w:sz w:val="21"/>
      <w:szCs w:val="22"/>
    </w:rPr>
  </w:style>
  <w:style w:type="paragraph" w:customStyle="1" w:styleId="163">
    <w:name w:val="Char10 Char Char Char Char Char Char Char Char Char"/>
    <w:basedOn w:val="1"/>
    <w:next w:val="1"/>
    <w:qFormat/>
    <w:uiPriority w:val="0"/>
    <w:rPr>
      <w:rFonts w:ascii="Calibri" w:hAnsi="Calibri"/>
    </w:rPr>
  </w:style>
  <w:style w:type="character" w:customStyle="1" w:styleId="164">
    <w:name w:val="普通文字1 Char"/>
    <w:qFormat/>
    <w:uiPriority w:val="99"/>
    <w:rPr>
      <w:rFonts w:ascii="宋体" w:hAnsi="Courier New" w:eastAsia="宋体" w:cs="Courier New"/>
      <w:szCs w:val="21"/>
    </w:rPr>
  </w:style>
  <w:style w:type="paragraph" w:customStyle="1" w:styleId="165">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qFormat/>
    <w:uiPriority w:val="0"/>
    <w:rPr>
      <w:rFonts w:ascii="Calibri" w:hAnsi="Calibri" w:eastAsia="宋体"/>
      <w:b/>
      <w:kern w:val="44"/>
      <w:sz w:val="44"/>
      <w:szCs w:val="44"/>
    </w:rPr>
  </w:style>
  <w:style w:type="character" w:customStyle="1" w:styleId="167">
    <w:name w:val="标题 3 Char1"/>
    <w:semiHidden/>
    <w:qFormat/>
    <w:uiPriority w:val="0"/>
    <w:rPr>
      <w:rFonts w:ascii="Calibri" w:hAnsi="Calibri" w:eastAsia="宋体"/>
      <w:b/>
      <w:kern w:val="2"/>
      <w:sz w:val="32"/>
    </w:rPr>
  </w:style>
  <w:style w:type="character" w:customStyle="1" w:styleId="168">
    <w:name w:val="标题 4 Char1"/>
    <w:semiHidden/>
    <w:qFormat/>
    <w:uiPriority w:val="0"/>
    <w:rPr>
      <w:rFonts w:ascii="Cambria" w:hAnsi="Cambria" w:eastAsia="宋体"/>
      <w:b/>
      <w:kern w:val="2"/>
      <w:sz w:val="28"/>
      <w:szCs w:val="28"/>
    </w:rPr>
  </w:style>
  <w:style w:type="character" w:customStyle="1" w:styleId="169">
    <w:name w:val="标题 5 Char1"/>
    <w:semiHidden/>
    <w:qFormat/>
    <w:uiPriority w:val="0"/>
    <w:rPr>
      <w:rFonts w:ascii="Calibri" w:hAnsi="Calibri" w:eastAsia="宋体"/>
      <w:b/>
      <w:kern w:val="2"/>
      <w:sz w:val="28"/>
      <w:szCs w:val="28"/>
    </w:rPr>
  </w:style>
  <w:style w:type="character" w:customStyle="1" w:styleId="170">
    <w:name w:val="标题 6 Char1"/>
    <w:semiHidden/>
    <w:qFormat/>
    <w:uiPriority w:val="0"/>
    <w:rPr>
      <w:rFonts w:ascii="Cambria" w:hAnsi="Cambria" w:eastAsia="宋体"/>
      <w:b/>
      <w:kern w:val="2"/>
      <w:sz w:val="24"/>
      <w:szCs w:val="24"/>
    </w:rPr>
  </w:style>
  <w:style w:type="character" w:customStyle="1" w:styleId="171">
    <w:name w:val="标题 7 Char1"/>
    <w:semiHidden/>
    <w:qFormat/>
    <w:uiPriority w:val="0"/>
    <w:rPr>
      <w:rFonts w:ascii="Calibri" w:hAnsi="Calibri" w:eastAsia="宋体"/>
      <w:b/>
      <w:kern w:val="2"/>
      <w:sz w:val="24"/>
      <w:szCs w:val="24"/>
    </w:rPr>
  </w:style>
  <w:style w:type="character" w:customStyle="1" w:styleId="172">
    <w:name w:val="标题 8 Char1"/>
    <w:semiHidden/>
    <w:qFormat/>
    <w:uiPriority w:val="0"/>
    <w:rPr>
      <w:rFonts w:ascii="Cambria" w:hAnsi="Cambria" w:eastAsia="宋体"/>
      <w:kern w:val="2"/>
      <w:sz w:val="24"/>
      <w:szCs w:val="24"/>
    </w:rPr>
  </w:style>
  <w:style w:type="character" w:customStyle="1" w:styleId="173">
    <w:name w:val="标题 9 Char1"/>
    <w:semiHidden/>
    <w:qFormat/>
    <w:uiPriority w:val="0"/>
    <w:rPr>
      <w:rFonts w:ascii="Cambria" w:hAnsi="Cambria" w:eastAsia="宋体"/>
      <w:kern w:val="2"/>
      <w:sz w:val="21"/>
      <w:szCs w:val="21"/>
    </w:rPr>
  </w:style>
  <w:style w:type="paragraph" w:customStyle="1" w:styleId="174">
    <w:name w:val="Char Char Char Char Char Char1"/>
    <w:basedOn w:val="1"/>
    <w:qFormat/>
    <w:uiPriority w:val="0"/>
    <w:rPr>
      <w:rFonts w:ascii="Tahoma" w:hAnsi="Tahoma"/>
      <w:sz w:val="24"/>
      <w:szCs w:val="20"/>
    </w:rPr>
  </w:style>
  <w:style w:type="paragraph" w:customStyle="1" w:styleId="175">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qFormat/>
    <w:uiPriority w:val="0"/>
    <w:rPr>
      <w:rFonts w:ascii="Calibri" w:hAnsi="Calibri"/>
    </w:rPr>
  </w:style>
  <w:style w:type="paragraph" w:customStyle="1" w:styleId="177">
    <w:name w:val="MsoNormal"/>
    <w:basedOn w:val="178"/>
    <w:qFormat/>
    <w:uiPriority w:val="0"/>
    <w:rPr>
      <w:rFonts w:ascii="Calibri" w:hAnsi="Calibri" w:eastAsia="Calibri"/>
      <w:sz w:val="21"/>
    </w:rPr>
  </w:style>
  <w:style w:type="paragraph" w:customStyle="1" w:styleId="178">
    <w:name w:val="Normal_0"/>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qFormat/>
    <w:uiPriority w:val="0"/>
    <w:rPr>
      <w:rFonts w:ascii="黑体" w:hAnsi="宋体" w:eastAsia="黑体"/>
      <w:b/>
      <w:smallCaps/>
      <w:snapToGrid w:val="0"/>
      <w:sz w:val="36"/>
      <w:szCs w:val="24"/>
    </w:rPr>
  </w:style>
  <w:style w:type="paragraph" w:customStyle="1" w:styleId="182">
    <w:name w:val="纯文本_0"/>
    <w:basedOn w:val="115"/>
    <w:link w:val="183"/>
    <w:qFormat/>
    <w:uiPriority w:val="99"/>
    <w:rPr>
      <w:rFonts w:ascii="宋体" w:hAnsi="Courier New" w:cs="Times New Roman"/>
      <w:szCs w:val="21"/>
    </w:rPr>
  </w:style>
  <w:style w:type="character" w:customStyle="1" w:styleId="183">
    <w:name w:val="Texte Char1"/>
    <w:link w:val="182"/>
    <w:qFormat/>
    <w:uiPriority w:val="99"/>
    <w:rPr>
      <w:rFonts w:ascii="宋体" w:hAnsi="Courier New"/>
      <w:kern w:val="2"/>
      <w:sz w:val="21"/>
      <w:szCs w:val="21"/>
      <w:lang w:val="en-US" w:eastAsia="zh-CN"/>
    </w:rPr>
  </w:style>
  <w:style w:type="paragraph" w:customStyle="1" w:styleId="184">
    <w:name w:val="纯文本_1"/>
    <w:basedOn w:val="185"/>
    <w:link w:val="186"/>
    <w:qFormat/>
    <w:uiPriority w:val="0"/>
    <w:rPr>
      <w:rFonts w:ascii="宋体" w:hAnsi="Courier New"/>
      <w:szCs w:val="21"/>
    </w:rPr>
  </w:style>
  <w:style w:type="paragraph" w:customStyle="1" w:styleId="18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qFormat/>
    <w:uiPriority w:val="0"/>
    <w:rPr>
      <w:rFonts w:ascii="宋体" w:hAnsi="Courier New"/>
      <w:kern w:val="2"/>
      <w:sz w:val="21"/>
      <w:szCs w:val="21"/>
    </w:rPr>
  </w:style>
  <w:style w:type="paragraph" w:customStyle="1" w:styleId="187">
    <w:name w:val="标题 3_0"/>
    <w:basedOn w:val="188"/>
    <w:next w:val="189"/>
    <w:link w:val="200"/>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unhideWhenUsed/>
    <w:qFormat/>
    <w:uiPriority w:val="0"/>
    <w:pPr>
      <w:ind w:firstLine="420" w:firstLineChars="200"/>
    </w:pPr>
    <w:rPr>
      <w:rFonts w:ascii="Calibri" w:hAnsi="Calibri"/>
      <w:bCs/>
      <w:szCs w:val="32"/>
    </w:rPr>
  </w:style>
  <w:style w:type="paragraph" w:customStyle="1" w:styleId="190">
    <w:name w:val="标题 1_0"/>
    <w:basedOn w:val="188"/>
    <w:next w:val="188"/>
    <w:link w:val="191"/>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qFormat/>
    <w:uiPriority w:val="0"/>
    <w:rPr>
      <w:rFonts w:ascii="黑体" w:hAnsi="Times New Roman" w:eastAsia="黑体" w:cs="Times New Roman"/>
      <w:sz w:val="52"/>
    </w:rPr>
  </w:style>
  <w:style w:type="paragraph" w:customStyle="1" w:styleId="192">
    <w:name w:val="标题 6_0"/>
    <w:basedOn w:val="188"/>
    <w:next w:val="188"/>
    <w:link w:val="19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qFormat/>
    <w:uiPriority w:val="0"/>
    <w:rPr>
      <w:rFonts w:ascii="Arial" w:hAnsi="Arial" w:eastAsia="黑体" w:cs="Times New Roman"/>
      <w:b/>
      <w:bCs/>
      <w:sz w:val="24"/>
      <w:szCs w:val="24"/>
    </w:rPr>
  </w:style>
  <w:style w:type="paragraph" w:customStyle="1" w:styleId="194">
    <w:name w:val="标题 7_0"/>
    <w:basedOn w:val="188"/>
    <w:next w:val="188"/>
    <w:link w:val="195"/>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qFormat/>
    <w:uiPriority w:val="0"/>
    <w:rPr>
      <w:rFonts w:ascii="Times New Roman" w:hAnsi="Times New Roman" w:eastAsia="宋体" w:cs="Times New Roman"/>
      <w:b/>
      <w:bCs/>
      <w:sz w:val="24"/>
      <w:szCs w:val="24"/>
    </w:rPr>
  </w:style>
  <w:style w:type="paragraph" w:customStyle="1" w:styleId="196">
    <w:name w:val="标题 8_0"/>
    <w:basedOn w:val="188"/>
    <w:next w:val="188"/>
    <w:link w:val="19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qFormat/>
    <w:uiPriority w:val="0"/>
    <w:rPr>
      <w:rFonts w:ascii="Arial" w:hAnsi="Arial" w:eastAsia="黑体" w:cs="Times New Roman"/>
      <w:sz w:val="24"/>
      <w:szCs w:val="24"/>
    </w:rPr>
  </w:style>
  <w:style w:type="paragraph" w:customStyle="1" w:styleId="198">
    <w:name w:val="标题 9_0"/>
    <w:basedOn w:val="188"/>
    <w:next w:val="188"/>
    <w:link w:val="19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qFormat/>
    <w:uiPriority w:val="0"/>
    <w:rPr>
      <w:rFonts w:ascii="Arial" w:hAnsi="Arial" w:eastAsia="黑体" w:cs="Times New Roman"/>
      <w:sz w:val="21"/>
      <w:szCs w:val="21"/>
    </w:rPr>
  </w:style>
  <w:style w:type="character" w:customStyle="1" w:styleId="200">
    <w:name w:val="标题 3 Char_0"/>
    <w:link w:val="187"/>
    <w:qFormat/>
    <w:uiPriority w:val="0"/>
    <w:rPr>
      <w:rFonts w:ascii="Times New Roman" w:hAnsi="Times New Roman" w:eastAsia="宋体" w:cs="Times New Roman"/>
      <w:b/>
      <w:sz w:val="32"/>
    </w:rPr>
  </w:style>
  <w:style w:type="paragraph" w:customStyle="1" w:styleId="201">
    <w:name w:val="Blockquote_0"/>
    <w:basedOn w:val="188"/>
    <w:link w:val="202"/>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qFormat/>
    <w:locked/>
    <w:uiPriority w:val="0"/>
    <w:rPr>
      <w:sz w:val="24"/>
    </w:rPr>
  </w:style>
  <w:style w:type="paragraph" w:customStyle="1" w:styleId="203">
    <w:name w:val="标题 4_0"/>
    <w:basedOn w:val="188"/>
    <w:next w:val="188"/>
    <w:link w:val="204"/>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qFormat/>
    <w:uiPriority w:val="0"/>
    <w:rPr>
      <w:rFonts w:ascii="Arial" w:hAnsi="Arial" w:eastAsia="黑体"/>
      <w:sz w:val="28"/>
    </w:rPr>
  </w:style>
  <w:style w:type="paragraph" w:customStyle="1" w:styleId="205">
    <w:name w:val="纯文本_2"/>
    <w:basedOn w:val="188"/>
    <w:link w:val="206"/>
    <w:qFormat/>
    <w:uiPriority w:val="0"/>
    <w:rPr>
      <w:rFonts w:ascii="宋体" w:hAnsi="Courier New"/>
      <w:szCs w:val="21"/>
    </w:rPr>
  </w:style>
  <w:style w:type="character" w:customStyle="1" w:styleId="206">
    <w:name w:val="纯文本 Char1_1"/>
    <w:link w:val="205"/>
    <w:qFormat/>
    <w:uiPriority w:val="0"/>
    <w:rPr>
      <w:rFonts w:ascii="宋体" w:hAnsi="Courier New"/>
      <w:kern w:val="2"/>
      <w:sz w:val="21"/>
      <w:szCs w:val="21"/>
    </w:rPr>
  </w:style>
  <w:style w:type="paragraph" w:customStyle="1" w:styleId="207">
    <w:name w:val="Blockquote_0_1"/>
    <w:basedOn w:val="208"/>
    <w:link w:val="209"/>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qFormat/>
    <w:locked/>
    <w:uiPriority w:val="0"/>
    <w:rPr>
      <w:sz w:val="24"/>
    </w:rPr>
  </w:style>
  <w:style w:type="paragraph" w:customStyle="1" w:styleId="210">
    <w:name w:val="正文文本_0"/>
    <w:basedOn w:val="188"/>
    <w:link w:val="211"/>
    <w:qFormat/>
    <w:uiPriority w:val="0"/>
    <w:pPr>
      <w:spacing w:after="120"/>
    </w:pPr>
  </w:style>
  <w:style w:type="character" w:customStyle="1" w:styleId="211">
    <w:name w:val="正文文本 Char_0"/>
    <w:link w:val="210"/>
    <w:qFormat/>
    <w:uiPriority w:val="0"/>
    <w:rPr>
      <w:kern w:val="2"/>
      <w:sz w:val="21"/>
      <w:szCs w:val="24"/>
    </w:rPr>
  </w:style>
  <w:style w:type="paragraph" w:customStyle="1" w:styleId="212">
    <w:name w:val="普通(网站)_0"/>
    <w:basedOn w:val="188"/>
    <w:qFormat/>
    <w:uiPriority w:val="0"/>
    <w:pPr>
      <w:widowControl/>
      <w:spacing w:before="100" w:beforeAutospacing="1" w:after="100" w:afterAutospacing="1"/>
      <w:jc w:val="left"/>
    </w:pPr>
    <w:rPr>
      <w:rFonts w:ascii="宋体" w:hAnsi="宋体"/>
      <w:kern w:val="0"/>
      <w:sz w:val="24"/>
    </w:rPr>
  </w:style>
  <w:style w:type="paragraph" w:customStyle="1" w:styleId="2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qFormat/>
    <w:uiPriority w:val="0"/>
    <w:rPr>
      <w:sz w:val="18"/>
    </w:rPr>
  </w:style>
  <w:style w:type="paragraph" w:customStyle="1" w:styleId="220">
    <w:name w:val="Normal_1"/>
    <w:qFormat/>
    <w:uiPriority w:val="0"/>
    <w:rPr>
      <w:rFonts w:ascii="Times New Roman" w:hAnsi="Times New Roman" w:eastAsia="Times New Roman" w:cs="Times New Roman"/>
      <w:sz w:val="24"/>
      <w:szCs w:val="24"/>
      <w:lang w:val="en-US" w:eastAsia="zh-CN" w:bidi="ar-SA"/>
    </w:rPr>
  </w:style>
  <w:style w:type="paragraph" w:customStyle="1" w:styleId="221">
    <w:name w:val="Normal_2"/>
    <w:qFormat/>
    <w:uiPriority w:val="0"/>
    <w:rPr>
      <w:rFonts w:ascii="Times New Roman" w:hAnsi="Times New Roman" w:eastAsia="Times New Roman" w:cs="Times New Roman"/>
      <w:sz w:val="24"/>
      <w:szCs w:val="24"/>
      <w:lang w:val="en-US" w:eastAsia="zh-CN" w:bidi="ar-SA"/>
    </w:rPr>
  </w:style>
  <w:style w:type="paragraph" w:customStyle="1" w:styleId="222">
    <w:name w:val="Normal_3"/>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qFormat/>
    <w:uiPriority w:val="0"/>
    <w:rPr>
      <w:rFonts w:ascii="Tahoma" w:hAnsi="Tahoma"/>
      <w:sz w:val="24"/>
      <w:szCs w:val="20"/>
    </w:rPr>
  </w:style>
  <w:style w:type="paragraph" w:customStyle="1" w:styleId="244">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6"/>
    <w:qFormat/>
    <w:uiPriority w:val="0"/>
    <w:rPr>
      <w:rFonts w:ascii="Arial" w:hAnsi="Arial"/>
      <w:b/>
      <w:bCs/>
      <w:kern w:val="28"/>
      <w:sz w:val="32"/>
      <w:szCs w:val="32"/>
    </w:rPr>
  </w:style>
  <w:style w:type="character" w:customStyle="1" w:styleId="246">
    <w:name w:val="Char Char"/>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qFormat/>
    <w:uiPriority w:val="0"/>
    <w:rPr>
      <w:rFonts w:ascii="Arial" w:hAnsi="Arial"/>
      <w:b/>
      <w:bCs/>
      <w:sz w:val="24"/>
      <w:szCs w:val="32"/>
    </w:rPr>
  </w:style>
  <w:style w:type="paragraph" w:customStyle="1" w:styleId="248">
    <w:name w:val="标题4"/>
    <w:basedOn w:val="4"/>
    <w:next w:val="30"/>
    <w:link w:val="247"/>
    <w:qFormat/>
    <w:uiPriority w:val="0"/>
    <w:pPr>
      <w:spacing w:before="0" w:after="0" w:line="413" w:lineRule="auto"/>
      <w:ind w:firstLine="0"/>
      <w:jc w:val="both"/>
    </w:pPr>
    <w:rPr>
      <w:rFonts w:eastAsia="宋体"/>
      <w:kern w:val="0"/>
      <w:sz w:val="24"/>
    </w:rPr>
  </w:style>
  <w:style w:type="character" w:customStyle="1" w:styleId="249">
    <w:name w:val="明显引用 Char"/>
    <w:link w:val="250"/>
    <w:qFormat/>
    <w:uiPriority w:val="0"/>
    <w:rPr>
      <w:b/>
      <w:bCs/>
      <w:i/>
      <w:iCs/>
      <w:color w:val="4F81BD"/>
      <w:kern w:val="2"/>
      <w:sz w:val="21"/>
      <w:szCs w:val="22"/>
    </w:rPr>
  </w:style>
  <w:style w:type="paragraph" w:styleId="250">
    <w:name w:val="Intense Quote"/>
    <w:basedOn w:val="1"/>
    <w:next w:val="1"/>
    <w:link w:val="249"/>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qFormat/>
    <w:uiPriority w:val="30"/>
    <w:rPr>
      <w:b/>
      <w:bCs/>
      <w:i/>
      <w:iCs/>
      <w:color w:val="4F81BD"/>
      <w:kern w:val="2"/>
      <w:sz w:val="21"/>
      <w:szCs w:val="22"/>
    </w:rPr>
  </w:style>
  <w:style w:type="character" w:customStyle="1" w:styleId="252">
    <w:name w:val="标题5 Char Char"/>
    <w:link w:val="253"/>
    <w:qFormat/>
    <w:uiPriority w:val="0"/>
    <w:rPr>
      <w:rFonts w:ascii="Arial" w:hAnsi="Arial"/>
      <w:b/>
      <w:bCs/>
      <w:sz w:val="24"/>
      <w:szCs w:val="32"/>
    </w:rPr>
  </w:style>
  <w:style w:type="paragraph" w:customStyle="1" w:styleId="253">
    <w:name w:val="标题5"/>
    <w:basedOn w:val="5"/>
    <w:link w:val="252"/>
    <w:qFormat/>
    <w:uiPriority w:val="0"/>
    <w:pPr>
      <w:spacing w:line="413" w:lineRule="auto"/>
      <w:jc w:val="both"/>
    </w:pPr>
    <w:rPr>
      <w:rFonts w:ascii="Arial" w:hAnsi="Arial"/>
      <w:kern w:val="0"/>
      <w:sz w:val="24"/>
    </w:rPr>
  </w:style>
  <w:style w:type="character" w:customStyle="1" w:styleId="254">
    <w:name w:val="引用 Char"/>
    <w:link w:val="255"/>
    <w:qFormat/>
    <w:uiPriority w:val="0"/>
    <w:rPr>
      <w:i/>
      <w:iCs/>
      <w:color w:val="000000"/>
      <w:kern w:val="2"/>
      <w:sz w:val="21"/>
      <w:szCs w:val="22"/>
    </w:rPr>
  </w:style>
  <w:style w:type="paragraph" w:styleId="255">
    <w:name w:val="Quote"/>
    <w:basedOn w:val="1"/>
    <w:next w:val="1"/>
    <w:link w:val="254"/>
    <w:qFormat/>
    <w:uiPriority w:val="0"/>
    <w:rPr>
      <w:i/>
      <w:iCs/>
      <w:color w:val="000000"/>
    </w:rPr>
  </w:style>
  <w:style w:type="character" w:customStyle="1" w:styleId="256">
    <w:name w:val="引用 Char1"/>
    <w:basedOn w:val="68"/>
    <w:qFormat/>
    <w:uiPriority w:val="29"/>
    <w:rPr>
      <w:i/>
      <w:iCs/>
      <w:color w:val="000000"/>
      <w:kern w:val="2"/>
      <w:sz w:val="21"/>
      <w:szCs w:val="22"/>
    </w:rPr>
  </w:style>
  <w:style w:type="character" w:customStyle="1" w:styleId="257">
    <w:name w:val="ask-title2"/>
    <w:qFormat/>
    <w:uiPriority w:val="0"/>
  </w:style>
  <w:style w:type="paragraph" w:customStyle="1" w:styleId="258">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semiHidden/>
    <w:qFormat/>
    <w:uiPriority w:val="99"/>
  </w:style>
  <w:style w:type="character" w:customStyle="1" w:styleId="260">
    <w:name w:val="正文文本 2 Char1"/>
    <w:basedOn w:val="68"/>
    <w:semiHidden/>
    <w:qFormat/>
    <w:uiPriority w:val="99"/>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页眉 Char1"/>
    <w:semiHidden/>
    <w:qFormat/>
    <w:uiPriority w:val="99"/>
    <w:rPr>
      <w:sz w:val="18"/>
      <w:szCs w:val="18"/>
    </w:rPr>
  </w:style>
  <w:style w:type="character" w:customStyle="1" w:styleId="263">
    <w:name w:val="正文文本 3 Char1"/>
    <w:semiHidden/>
    <w:qFormat/>
    <w:uiPriority w:val="99"/>
    <w:rPr>
      <w:sz w:val="16"/>
      <w:szCs w:val="16"/>
    </w:rPr>
  </w:style>
  <w:style w:type="character" w:customStyle="1" w:styleId="264">
    <w:name w:val="正文文本缩进 3 Char1"/>
    <w:semiHidden/>
    <w:qFormat/>
    <w:uiPriority w:val="99"/>
    <w:rPr>
      <w:sz w:val="16"/>
      <w:szCs w:val="16"/>
    </w:rPr>
  </w:style>
  <w:style w:type="character" w:customStyle="1" w:styleId="265">
    <w:name w:val="Char Char1"/>
    <w:qFormat/>
    <w:uiPriority w:val="0"/>
    <w:rPr>
      <w:rFonts w:ascii="宋体" w:hAnsi="Courier New" w:eastAsia="宋体" w:cs="Courier New"/>
      <w:kern w:val="2"/>
      <w:sz w:val="21"/>
      <w:szCs w:val="21"/>
      <w:lang w:val="en-US" w:eastAsia="zh-CN" w:bidi="ar-SA"/>
    </w:rPr>
  </w:style>
  <w:style w:type="character" w:customStyle="1" w:styleId="266">
    <w:name w:val="正文文本 Char1"/>
    <w:qFormat/>
    <w:uiPriority w:val="0"/>
    <w:rPr>
      <w:rFonts w:ascii="Calibri" w:hAnsi="Calibri" w:eastAsia="宋体" w:cs="Times New Roman"/>
    </w:rPr>
  </w:style>
  <w:style w:type="character" w:customStyle="1" w:styleId="267">
    <w:name w:val="正文首行缩进 Char1"/>
    <w:qFormat/>
    <w:uiPriority w:val="0"/>
    <w:rPr>
      <w:rFonts w:ascii="Calibri" w:hAnsi="Calibri" w:eastAsia="宋体"/>
      <w:kern w:val="2"/>
      <w:sz w:val="21"/>
      <w:szCs w:val="22"/>
      <w:lang w:val="en-US" w:eastAsia="zh-CN" w:bidi="ar-SA"/>
    </w:rPr>
  </w:style>
  <w:style w:type="character" w:customStyle="1" w:styleId="268">
    <w:name w:val="日期 Char1"/>
    <w:basedOn w:val="68"/>
    <w:qFormat/>
    <w:uiPriority w:val="0"/>
  </w:style>
  <w:style w:type="character" w:customStyle="1" w:styleId="269">
    <w:name w:val="文档结构图 Char1"/>
    <w:qFormat/>
    <w:uiPriority w:val="0"/>
    <w:rPr>
      <w:rFonts w:ascii="宋体" w:eastAsia="宋体"/>
      <w:sz w:val="18"/>
      <w:szCs w:val="18"/>
    </w:rPr>
  </w:style>
  <w:style w:type="character" w:customStyle="1" w:styleId="270">
    <w:name w:val="页脚 Char1"/>
    <w:semiHidden/>
    <w:qFormat/>
    <w:uiPriority w:val="99"/>
    <w:rPr>
      <w:sz w:val="18"/>
      <w:szCs w:val="18"/>
    </w:rPr>
  </w:style>
  <w:style w:type="character" w:customStyle="1" w:styleId="271">
    <w:name w:val="正文文本缩进 2 Char1"/>
    <w:basedOn w:val="68"/>
    <w:semiHidden/>
    <w:qFormat/>
    <w:uiPriority w:val="99"/>
  </w:style>
  <w:style w:type="paragraph" w:customStyle="1" w:styleId="27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qFormat/>
    <w:uiPriority w:val="0"/>
    <w:rPr>
      <w:rFonts w:ascii="Tahoma" w:hAnsi="Tahoma"/>
      <w:sz w:val="24"/>
      <w:szCs w:val="20"/>
    </w:rPr>
  </w:style>
  <w:style w:type="paragraph" w:customStyle="1" w:styleId="274">
    <w:name w:val="默认段落字体 Para Char"/>
    <w:basedOn w:val="1"/>
    <w:qFormat/>
    <w:uiPriority w:val="0"/>
    <w:rPr>
      <w:szCs w:val="20"/>
    </w:rPr>
  </w:style>
  <w:style w:type="paragraph" w:customStyle="1" w:styleId="275">
    <w:name w:val="正文首行缩进 4 字符"/>
    <w:basedOn w:val="64"/>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qFormat/>
    <w:uiPriority w:val="0"/>
    <w:rPr>
      <w:rFonts w:ascii="Calibri" w:hAnsi="Calibri"/>
    </w:rPr>
  </w:style>
  <w:style w:type="paragraph" w:customStyle="1" w:styleId="277">
    <w:name w:val="Char Char Char Char Char Char2"/>
    <w:basedOn w:val="1"/>
    <w:qFormat/>
    <w:uiPriority w:val="0"/>
    <w:rPr>
      <w:rFonts w:ascii="Tahoma" w:hAnsi="Tahoma"/>
      <w:sz w:val="24"/>
      <w:szCs w:val="20"/>
    </w:rPr>
  </w:style>
  <w:style w:type="paragraph" w:customStyle="1" w:styleId="27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qFormat/>
    <w:uiPriority w:val="0"/>
    <w:rPr>
      <w:rFonts w:ascii="Calibri" w:hAnsi="Calibri"/>
    </w:rPr>
  </w:style>
  <w:style w:type="table" w:customStyle="1" w:styleId="281">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qFormat/>
    <w:uiPriority w:val="1"/>
    <w:rPr>
      <w:rFonts w:ascii="宋体" w:hAnsi="宋体" w:cs="宋体"/>
      <w:lang w:val="zh-CN" w:bidi="zh-CN"/>
    </w:rPr>
  </w:style>
  <w:style w:type="table" w:customStyle="1" w:styleId="283">
    <w:name w:val="Table Normal"/>
    <w:semiHidden/>
    <w:unhideWhenUsed/>
    <w:qFormat/>
    <w:uiPriority w:val="2"/>
    <w:tblPr>
      <w:tblCellMar>
        <w:top w:w="0" w:type="dxa"/>
        <w:left w:w="0" w:type="dxa"/>
        <w:bottom w:w="0" w:type="dxa"/>
        <w:right w:w="0" w:type="dxa"/>
      </w:tblCellMar>
    </w:tblPr>
  </w:style>
  <w:style w:type="paragraph" w:customStyle="1" w:styleId="284">
    <w:name w:val="标题 11"/>
    <w:basedOn w:val="1"/>
    <w:qFormat/>
    <w:uiPriority w:val="1"/>
    <w:pPr>
      <w:ind w:left="152"/>
      <w:outlineLvl w:val="1"/>
    </w:pPr>
    <w:rPr>
      <w:rFonts w:ascii="宋体" w:hAnsi="宋体"/>
      <w:b/>
      <w:bCs/>
      <w:szCs w:val="21"/>
    </w:rPr>
  </w:style>
  <w:style w:type="character" w:customStyle="1" w:styleId="285">
    <w:name w:val="批注框文本 Char2"/>
    <w:basedOn w:val="68"/>
    <w:semiHidden/>
    <w:qFormat/>
    <w:uiPriority w:val="99"/>
    <w:rPr>
      <w:rFonts w:ascii="Calibri" w:hAnsi="Calibri" w:eastAsia="宋体" w:cs="Times New Roman"/>
      <w:sz w:val="18"/>
      <w:szCs w:val="18"/>
    </w:rPr>
  </w:style>
  <w:style w:type="character" w:customStyle="1" w:styleId="286">
    <w:name w:val="正文文本缩进 3 Char2"/>
    <w:basedOn w:val="68"/>
    <w:semiHidden/>
    <w:qFormat/>
    <w:uiPriority w:val="99"/>
    <w:rPr>
      <w:rFonts w:ascii="Calibri" w:hAnsi="Calibri" w:eastAsia="宋体" w:cs="Times New Roman"/>
      <w:sz w:val="16"/>
      <w:szCs w:val="16"/>
    </w:rPr>
  </w:style>
  <w:style w:type="character" w:customStyle="1" w:styleId="287">
    <w:name w:val="文档结构图 Char2"/>
    <w:basedOn w:val="68"/>
    <w:semiHidden/>
    <w:qFormat/>
    <w:uiPriority w:val="99"/>
    <w:rPr>
      <w:rFonts w:ascii="宋体" w:hAnsi="Calibri" w:eastAsia="宋体" w:cs="Times New Roman"/>
      <w:sz w:val="18"/>
      <w:szCs w:val="18"/>
    </w:rPr>
  </w:style>
  <w:style w:type="character" w:customStyle="1" w:styleId="288">
    <w:name w:val="正文文本 3 Char2"/>
    <w:basedOn w:val="68"/>
    <w:semiHidden/>
    <w:qFormat/>
    <w:uiPriority w:val="99"/>
    <w:rPr>
      <w:rFonts w:ascii="Calibri" w:hAnsi="Calibri" w:eastAsia="宋体" w:cs="Times New Roman"/>
      <w:sz w:val="16"/>
      <w:szCs w:val="16"/>
    </w:rPr>
  </w:style>
  <w:style w:type="character" w:customStyle="1" w:styleId="289">
    <w:name w:val="页眉 Char2"/>
    <w:basedOn w:val="68"/>
    <w:semiHidden/>
    <w:qFormat/>
    <w:uiPriority w:val="99"/>
    <w:rPr>
      <w:rFonts w:ascii="Calibri" w:hAnsi="Calibri" w:eastAsia="宋体" w:cs="Times New Roman"/>
      <w:sz w:val="18"/>
      <w:szCs w:val="18"/>
    </w:rPr>
  </w:style>
  <w:style w:type="character" w:customStyle="1" w:styleId="290">
    <w:name w:val="日期 Char2"/>
    <w:basedOn w:val="68"/>
    <w:semiHidden/>
    <w:qFormat/>
    <w:uiPriority w:val="99"/>
    <w:rPr>
      <w:rFonts w:ascii="Calibri" w:hAnsi="Calibri" w:eastAsia="宋体" w:cs="Times New Roman"/>
    </w:rPr>
  </w:style>
  <w:style w:type="character" w:customStyle="1" w:styleId="291">
    <w:name w:val="称呼 Char1"/>
    <w:basedOn w:val="68"/>
    <w:semiHidden/>
    <w:qFormat/>
    <w:uiPriority w:val="0"/>
    <w:rPr>
      <w:rFonts w:ascii="Calibri" w:hAnsi="Calibri" w:eastAsia="宋体" w:cs="Times New Roman"/>
    </w:rPr>
  </w:style>
  <w:style w:type="character" w:customStyle="1" w:styleId="292">
    <w:name w:val="脚注文本 Char1"/>
    <w:basedOn w:val="68"/>
    <w:qFormat/>
    <w:uiPriority w:val="0"/>
    <w:rPr>
      <w:rFonts w:ascii="Calibri" w:hAnsi="Calibri" w:eastAsia="宋体" w:cs="Times New Roman"/>
      <w:sz w:val="18"/>
      <w:szCs w:val="18"/>
    </w:rPr>
  </w:style>
  <w:style w:type="character" w:customStyle="1" w:styleId="293">
    <w:name w:val="正文文本缩进 2 Char2"/>
    <w:basedOn w:val="68"/>
    <w:semiHidden/>
    <w:qFormat/>
    <w:uiPriority w:val="99"/>
    <w:rPr>
      <w:rFonts w:ascii="Calibri" w:hAnsi="Calibri" w:eastAsia="宋体" w:cs="Times New Roman"/>
    </w:rPr>
  </w:style>
  <w:style w:type="character" w:customStyle="1" w:styleId="294">
    <w:name w:val="页脚 Char2"/>
    <w:basedOn w:val="68"/>
    <w:semiHidden/>
    <w:qFormat/>
    <w:uiPriority w:val="99"/>
    <w:rPr>
      <w:rFonts w:ascii="Calibri" w:hAnsi="Calibri" w:eastAsia="宋体" w:cs="Times New Roman"/>
      <w:sz w:val="18"/>
      <w:szCs w:val="18"/>
    </w:rPr>
  </w:style>
  <w:style w:type="character" w:customStyle="1" w:styleId="295">
    <w:name w:val="正文文本 2 Char2"/>
    <w:basedOn w:val="68"/>
    <w:semiHidden/>
    <w:qFormat/>
    <w:uiPriority w:val="99"/>
    <w:rPr>
      <w:rFonts w:ascii="Calibri" w:hAnsi="Calibri" w:eastAsia="宋体" w:cs="Times New Roman"/>
    </w:rPr>
  </w:style>
  <w:style w:type="character" w:customStyle="1" w:styleId="296">
    <w:name w:val="副标题 Char1"/>
    <w:basedOn w:val="68"/>
    <w:qFormat/>
    <w:uiPriority w:val="11"/>
    <w:rPr>
      <w:rFonts w:eastAsia="宋体" w:asciiTheme="majorHAnsi" w:hAnsiTheme="majorHAnsi" w:cstheme="majorBidi"/>
      <w:b/>
      <w:bCs/>
      <w:kern w:val="28"/>
      <w:sz w:val="32"/>
      <w:szCs w:val="32"/>
    </w:rPr>
  </w:style>
  <w:style w:type="character" w:customStyle="1" w:styleId="297">
    <w:name w:val="标题 Char1"/>
    <w:basedOn w:val="68"/>
    <w:qFormat/>
    <w:uiPriority w:val="10"/>
    <w:rPr>
      <w:rFonts w:eastAsia="宋体" w:asciiTheme="majorHAnsi" w:hAnsiTheme="majorHAnsi" w:cstheme="majorBidi"/>
      <w:b/>
      <w:bCs/>
      <w:sz w:val="32"/>
      <w:szCs w:val="32"/>
    </w:rPr>
  </w:style>
  <w:style w:type="character" w:customStyle="1" w:styleId="298">
    <w:name w:val="正文文本缩进 Char2"/>
    <w:basedOn w:val="68"/>
    <w:semiHidden/>
    <w:qFormat/>
    <w:uiPriority w:val="99"/>
    <w:rPr>
      <w:rFonts w:ascii="Calibri" w:hAnsi="Calibri" w:eastAsia="宋体" w:cs="Times New Roman"/>
    </w:rPr>
  </w:style>
  <w:style w:type="character" w:customStyle="1" w:styleId="299">
    <w:name w:val="批注文字 Char2"/>
    <w:basedOn w:val="68"/>
    <w:qFormat/>
    <w:uiPriority w:val="0"/>
    <w:rPr>
      <w:rFonts w:ascii="Calibri" w:hAnsi="Calibri" w:eastAsia="宋体" w:cs="Times New Roman"/>
    </w:rPr>
  </w:style>
  <w:style w:type="character" w:customStyle="1" w:styleId="300">
    <w:name w:val="批注主题 Char2"/>
    <w:basedOn w:val="299"/>
    <w:semiHidden/>
    <w:qFormat/>
    <w:uiPriority w:val="99"/>
    <w:rPr>
      <w:rFonts w:ascii="Calibri" w:hAnsi="Calibri" w:eastAsia="宋体" w:cs="Times New Roman"/>
      <w:b/>
      <w:bCs/>
    </w:rPr>
  </w:style>
  <w:style w:type="character" w:customStyle="1" w:styleId="301">
    <w:name w:val="正文文本 Char2"/>
    <w:basedOn w:val="68"/>
    <w:qFormat/>
    <w:uiPriority w:val="0"/>
    <w:rPr>
      <w:rFonts w:ascii="Calibri" w:hAnsi="Calibri" w:eastAsia="宋体" w:cs="Times New Roman"/>
    </w:rPr>
  </w:style>
  <w:style w:type="character" w:customStyle="1" w:styleId="302">
    <w:name w:val="正文首行缩进 Char2"/>
    <w:basedOn w:val="301"/>
    <w:semiHidden/>
    <w:qFormat/>
    <w:uiPriority w:val="99"/>
    <w:rPr>
      <w:rFonts w:ascii="Calibri" w:hAnsi="Calibri" w:eastAsia="宋体" w:cs="Times New Roman"/>
    </w:rPr>
  </w:style>
  <w:style w:type="character" w:customStyle="1" w:styleId="303">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qFormat/>
    <w:uiPriority w:val="0"/>
    <w:rPr>
      <w:rFonts w:ascii="Calibri" w:hAnsi="Calibri" w:eastAsia="宋体" w:cs="Times New Roman"/>
      <w:kern w:val="2"/>
      <w:sz w:val="21"/>
      <w:szCs w:val="22"/>
      <w:lang w:val="en-US" w:eastAsia="zh-CN" w:bidi="ar-SA"/>
    </w:rPr>
  </w:style>
  <w:style w:type="character" w:customStyle="1" w:styleId="306">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qFormat/>
    <w:locked/>
    <w:uiPriority w:val="0"/>
    <w:rPr>
      <w:b/>
      <w:i/>
      <w:color w:val="4F81BD"/>
      <w:sz w:val="22"/>
    </w:rPr>
  </w:style>
  <w:style w:type="paragraph" w:customStyle="1" w:styleId="309">
    <w:name w:val="明显引用1"/>
    <w:basedOn w:val="1"/>
    <w:next w:val="1"/>
    <w:link w:val="308"/>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qFormat/>
    <w:uiPriority w:val="0"/>
    <w:rPr>
      <w:b/>
      <w:smallCaps/>
      <w:spacing w:val="5"/>
    </w:rPr>
  </w:style>
  <w:style w:type="character" w:customStyle="1" w:styleId="311">
    <w:name w:val="明显强调1"/>
    <w:qFormat/>
    <w:uiPriority w:val="0"/>
    <w:rPr>
      <w:b/>
      <w:i/>
      <w:color w:val="4F81BD"/>
    </w:rPr>
  </w:style>
  <w:style w:type="character" w:customStyle="1" w:styleId="312">
    <w:name w:val="textcontents"/>
    <w:qFormat/>
    <w:uiPriority w:val="0"/>
  </w:style>
  <w:style w:type="character" w:customStyle="1" w:styleId="313">
    <w:name w:val="不明显强调1"/>
    <w:qFormat/>
    <w:uiPriority w:val="0"/>
    <w:rPr>
      <w:i/>
      <w:color w:val="808080"/>
    </w:rPr>
  </w:style>
  <w:style w:type="character" w:customStyle="1" w:styleId="314">
    <w:name w:val="不明显参考1"/>
    <w:qFormat/>
    <w:uiPriority w:val="0"/>
    <w:rPr>
      <w:smallCaps/>
      <w:color w:val="C0504D"/>
      <w:u w:val="single"/>
    </w:rPr>
  </w:style>
  <w:style w:type="character" w:customStyle="1" w:styleId="315">
    <w:name w:val="批注文字 Char Char"/>
    <w:qFormat/>
    <w:uiPriority w:val="0"/>
    <w:rPr>
      <w:rFonts w:ascii="宋体" w:hAnsi="Times New Roman" w:eastAsia="宋体"/>
      <w:sz w:val="20"/>
    </w:rPr>
  </w:style>
  <w:style w:type="character" w:customStyle="1" w:styleId="316">
    <w:name w:val="明显参考1"/>
    <w:qFormat/>
    <w:uiPriority w:val="0"/>
    <w:rPr>
      <w:b/>
      <w:smallCaps/>
      <w:color w:val="C0504D"/>
      <w:spacing w:val="5"/>
      <w:u w:val="single"/>
    </w:rPr>
  </w:style>
  <w:style w:type="character" w:customStyle="1" w:styleId="317">
    <w:name w:val="Quote Char"/>
    <w:link w:val="318"/>
    <w:qFormat/>
    <w:locked/>
    <w:uiPriority w:val="0"/>
    <w:rPr>
      <w:i/>
      <w:color w:val="000000"/>
      <w:sz w:val="22"/>
    </w:rPr>
  </w:style>
  <w:style w:type="paragraph" w:customStyle="1" w:styleId="318">
    <w:name w:val="引用1"/>
    <w:basedOn w:val="1"/>
    <w:next w:val="1"/>
    <w:link w:val="317"/>
    <w:qFormat/>
    <w:uiPriority w:val="0"/>
    <w:rPr>
      <w:rFonts w:asciiTheme="minorHAnsi" w:hAnsiTheme="minorHAnsi" w:eastAsiaTheme="minorEastAsia" w:cstheme="minorBidi"/>
      <w:i/>
      <w:color w:val="000000"/>
      <w:kern w:val="0"/>
      <w:sz w:val="22"/>
      <w:szCs w:val="20"/>
    </w:rPr>
  </w:style>
  <w:style w:type="paragraph" w:customStyle="1" w:styleId="3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qFormat/>
    <w:uiPriority w:val="0"/>
    <w:pPr>
      <w:ind w:firstLine="420" w:firstLineChars="200"/>
    </w:pPr>
    <w:rPr>
      <w:rFonts w:ascii="Calibri" w:hAnsi="Calibri"/>
    </w:rPr>
  </w:style>
  <w:style w:type="paragraph" w:customStyle="1" w:styleId="3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qFormat/>
    <w:uiPriority w:val="0"/>
    <w:rPr>
      <w:rFonts w:ascii="Arial" w:hAnsi="Arial" w:eastAsia="黑体"/>
      <w:b/>
      <w:bCs/>
      <w:kern w:val="2"/>
      <w:sz w:val="32"/>
      <w:szCs w:val="32"/>
      <w:lang w:val="en-US" w:eastAsia="zh-CN" w:bidi="ar-SA"/>
    </w:rPr>
  </w:style>
  <w:style w:type="character" w:customStyle="1" w:styleId="324">
    <w:name w:val="font161"/>
    <w:qFormat/>
    <w:uiPriority w:val="0"/>
    <w:rPr>
      <w:b/>
      <w:bCs/>
      <w:sz w:val="32"/>
      <w:szCs w:val="32"/>
    </w:rPr>
  </w:style>
  <w:style w:type="character" w:customStyle="1" w:styleId="325">
    <w:name w:val="Char Char2"/>
    <w:qFormat/>
    <w:uiPriority w:val="0"/>
    <w:rPr>
      <w:rFonts w:eastAsia="宋体"/>
      <w:kern w:val="2"/>
      <w:sz w:val="21"/>
      <w:szCs w:val="24"/>
      <w:lang w:val="en-US" w:eastAsia="zh-CN" w:bidi="ar-SA"/>
    </w:rPr>
  </w:style>
  <w:style w:type="character" w:customStyle="1" w:styleId="326">
    <w:name w:val="Char Char7"/>
    <w:link w:val="327"/>
    <w:qFormat/>
    <w:uiPriority w:val="0"/>
    <w:rPr>
      <w:rFonts w:ascii="Arial" w:hAnsi="Arial" w:eastAsia="黑体"/>
      <w:b/>
      <w:bCs/>
      <w:sz w:val="32"/>
      <w:szCs w:val="32"/>
    </w:rPr>
  </w:style>
  <w:style w:type="paragraph" w:customStyle="1" w:styleId="327">
    <w:name w:val="正文文本 2_0"/>
    <w:basedOn w:val="185"/>
    <w:link w:val="326"/>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5"/>
    <w:qFormat/>
    <w:uiPriority w:val="0"/>
    <w:pPr>
      <w:widowControl/>
      <w:spacing w:line="415" w:lineRule="auto"/>
      <w:jc w:val="left"/>
    </w:pPr>
    <w:rPr>
      <w:rFonts w:ascii="Times New Roman" w:eastAsia="Arial"/>
    </w:rPr>
  </w:style>
  <w:style w:type="paragraph" w:customStyle="1" w:styleId="329">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5"/>
    <w:qFormat/>
    <w:uiPriority w:val="0"/>
    <w:pPr>
      <w:widowControl/>
      <w:spacing w:line="415" w:lineRule="auto"/>
      <w:jc w:val="left"/>
    </w:pPr>
    <w:rPr>
      <w:rFonts w:ascii="Times New Roman"/>
    </w:rPr>
  </w:style>
  <w:style w:type="paragraph" w:customStyle="1" w:styleId="333">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qFormat/>
    <w:uiPriority w:val="0"/>
    <w:pPr>
      <w:widowControl/>
      <w:adjustRightInd w:val="0"/>
      <w:spacing w:line="420" w:lineRule="atLeast"/>
      <w:jc w:val="left"/>
      <w:textAlignment w:val="baseline"/>
    </w:pPr>
    <w:rPr>
      <w:kern w:val="0"/>
      <w:szCs w:val="20"/>
    </w:rPr>
  </w:style>
  <w:style w:type="paragraph" w:styleId="335">
    <w:name w:val="No Spacing"/>
    <w:link w:val="336"/>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qFormat/>
    <w:uiPriority w:val="1"/>
    <w:rPr>
      <w:rFonts w:ascii="Calibri" w:hAnsi="Calibri" w:eastAsia="宋体" w:cs="Times New Roman"/>
      <w:sz w:val="22"/>
      <w:szCs w:val="22"/>
    </w:rPr>
  </w:style>
  <w:style w:type="character" w:customStyle="1" w:styleId="337">
    <w:name w:val="con"/>
    <w:qFormat/>
    <w:uiPriority w:val="0"/>
  </w:style>
  <w:style w:type="character" w:customStyle="1" w:styleId="338">
    <w:name w:val="正文缩进 Char"/>
    <w:link w:val="2"/>
    <w:qFormat/>
    <w:locked/>
    <w:uiPriority w:val="0"/>
    <w:rPr>
      <w:rFonts w:ascii="Calibri" w:hAnsi="Calibri" w:eastAsia="宋体" w:cs="Times New Roman"/>
      <w:kern w:val="2"/>
      <w:sz w:val="21"/>
      <w:szCs w:val="22"/>
    </w:rPr>
  </w:style>
  <w:style w:type="character" w:customStyle="1" w:styleId="339">
    <w:name w:val="Char Char35"/>
    <w:qFormat/>
    <w:uiPriority w:val="0"/>
    <w:rPr>
      <w:b/>
      <w:sz w:val="32"/>
    </w:rPr>
  </w:style>
  <w:style w:type="character" w:customStyle="1" w:styleId="340">
    <w:name w:val="Char Char22"/>
    <w:qFormat/>
    <w:uiPriority w:val="0"/>
    <w:rPr>
      <w:bCs/>
      <w:sz w:val="18"/>
    </w:rPr>
  </w:style>
  <w:style w:type="character" w:customStyle="1" w:styleId="341">
    <w:name w:val="Char Char32"/>
    <w:qFormat/>
    <w:uiPriority w:val="0"/>
    <w:rPr>
      <w:rFonts w:ascii="Arial" w:hAnsi="Arial" w:eastAsia="黑体"/>
      <w:b/>
      <w:bCs/>
      <w:sz w:val="24"/>
      <w:szCs w:val="24"/>
    </w:rPr>
  </w:style>
  <w:style w:type="character" w:customStyle="1" w:styleId="342">
    <w:name w:val="明显强调2"/>
    <w:qFormat/>
    <w:uiPriority w:val="0"/>
    <w:rPr>
      <w:b/>
      <w:bCs/>
      <w:i/>
      <w:iCs/>
      <w:color w:val="4F81BD"/>
    </w:rPr>
  </w:style>
  <w:style w:type="character" w:customStyle="1" w:styleId="343">
    <w:name w:val="日期 Char_0"/>
    <w:link w:val="344"/>
    <w:qFormat/>
    <w:uiPriority w:val="0"/>
    <w:rPr>
      <w:sz w:val="24"/>
    </w:rPr>
  </w:style>
  <w:style w:type="paragraph" w:customStyle="1" w:styleId="344">
    <w:name w:val="日期_0"/>
    <w:basedOn w:val="115"/>
    <w:next w:val="115"/>
    <w:link w:val="343"/>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qFormat/>
    <w:uiPriority w:val="0"/>
    <w:rPr>
      <w:i/>
      <w:iCs/>
      <w:color w:val="000000"/>
    </w:rPr>
  </w:style>
  <w:style w:type="character" w:customStyle="1" w:styleId="346">
    <w:name w:val="Char Char27"/>
    <w:qFormat/>
    <w:uiPriority w:val="0"/>
    <w:rPr>
      <w:rFonts w:ascii="宋体" w:hAnsi="MS Sans Serif"/>
      <w:color w:val="000000"/>
      <w:sz w:val="24"/>
    </w:rPr>
  </w:style>
  <w:style w:type="character" w:customStyle="1" w:styleId="347">
    <w:name w:val="Balloon Text Char"/>
    <w:semiHidden/>
    <w:qFormat/>
    <w:locked/>
    <w:uiPriority w:val="0"/>
    <w:rPr>
      <w:rFonts w:eastAsia="宋体"/>
      <w:sz w:val="18"/>
    </w:rPr>
  </w:style>
  <w:style w:type="character" w:customStyle="1" w:styleId="348">
    <w:name w:val="书籍标题2"/>
    <w:qFormat/>
    <w:uiPriority w:val="0"/>
    <w:rPr>
      <w:b/>
      <w:bCs/>
      <w:smallCaps/>
      <w:spacing w:val="5"/>
    </w:rPr>
  </w:style>
  <w:style w:type="character" w:customStyle="1" w:styleId="349">
    <w:name w:val="Char Char9"/>
    <w:qFormat/>
    <w:locked/>
    <w:uiPriority w:val="0"/>
    <w:rPr>
      <w:rFonts w:ascii="宋体" w:hAnsi="宋体" w:eastAsia="宋体"/>
      <w:kern w:val="2"/>
      <w:sz w:val="24"/>
      <w:lang w:val="en-US" w:eastAsia="zh-CN" w:bidi="ar-SA"/>
    </w:rPr>
  </w:style>
  <w:style w:type="character" w:customStyle="1" w:styleId="350">
    <w:name w:val="Char Char29"/>
    <w:qFormat/>
    <w:uiPriority w:val="0"/>
    <w:rPr>
      <w:rFonts w:ascii="Arial" w:hAnsi="Arial" w:eastAsia="黑体"/>
      <w:sz w:val="21"/>
      <w:szCs w:val="21"/>
    </w:rPr>
  </w:style>
  <w:style w:type="character" w:customStyle="1" w:styleId="351">
    <w:name w:val="不明显参考2"/>
    <w:qFormat/>
    <w:uiPriority w:val="0"/>
    <w:rPr>
      <w:smallCaps/>
      <w:color w:val="C0504D"/>
      <w:u w:val="single"/>
    </w:rPr>
  </w:style>
  <w:style w:type="character" w:customStyle="1" w:styleId="352">
    <w:name w:val="Intense Quote Char1"/>
    <w:qFormat/>
    <w:uiPriority w:val="0"/>
    <w:rPr>
      <w:b/>
      <w:bCs/>
      <w:i/>
      <w:iCs/>
      <w:color w:val="4F81BD"/>
    </w:rPr>
  </w:style>
  <w:style w:type="character" w:customStyle="1" w:styleId="353">
    <w:name w:val="release-day"/>
    <w:qFormat/>
    <w:uiPriority w:val="0"/>
    <w:rPr>
      <w:bdr w:val="single" w:color="BDEBB0" w:sz="6" w:space="0"/>
      <w:shd w:val="clear" w:color="auto" w:fill="F5FFF1"/>
    </w:rPr>
  </w:style>
  <w:style w:type="character" w:customStyle="1" w:styleId="354">
    <w:name w:val="Char Char33"/>
    <w:qFormat/>
    <w:uiPriority w:val="0"/>
    <w:rPr>
      <w:rFonts w:ascii="宋体" w:hAnsi="宋体" w:eastAsia="宋体"/>
      <w:b/>
      <w:sz w:val="24"/>
      <w:lang w:val="en-US" w:eastAsia="zh-CN" w:bidi="ar-SA"/>
    </w:rPr>
  </w:style>
  <w:style w:type="character" w:customStyle="1" w:styleId="355">
    <w:name w:val="Char Char24"/>
    <w:link w:val="356"/>
    <w:qFormat/>
    <w:uiPriority w:val="0"/>
    <w:rPr>
      <w:rFonts w:ascii="Arial" w:hAnsi="Arial" w:eastAsia="黑体"/>
      <w:b/>
      <w:bCs/>
      <w:sz w:val="32"/>
      <w:szCs w:val="32"/>
    </w:rPr>
  </w:style>
  <w:style w:type="paragraph" w:customStyle="1" w:styleId="356">
    <w:name w:val="标题 2_1"/>
    <w:basedOn w:val="185"/>
    <w:next w:val="185"/>
    <w:link w:val="355"/>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qFormat/>
    <w:uiPriority w:val="0"/>
    <w:rPr>
      <w:rFonts w:ascii="Arial" w:hAnsi="Arial" w:eastAsia="黑体"/>
      <w:b/>
      <w:bCs/>
      <w:kern w:val="2"/>
      <w:sz w:val="32"/>
      <w:szCs w:val="32"/>
    </w:rPr>
  </w:style>
  <w:style w:type="character" w:customStyle="1" w:styleId="358">
    <w:name w:val="副标题 Char2"/>
    <w:qFormat/>
    <w:uiPriority w:val="0"/>
    <w:rPr>
      <w:rFonts w:ascii="Cambria" w:hAnsi="Cambria" w:cs="Times New Roman"/>
      <w:b/>
      <w:bCs/>
      <w:kern w:val="28"/>
      <w:sz w:val="32"/>
      <w:szCs w:val="32"/>
    </w:rPr>
  </w:style>
  <w:style w:type="character" w:customStyle="1" w:styleId="359">
    <w:name w:val="Char Char23"/>
    <w:qFormat/>
    <w:uiPriority w:val="0"/>
    <w:rPr>
      <w:b/>
      <w:sz w:val="32"/>
    </w:rPr>
  </w:style>
  <w:style w:type="character" w:customStyle="1" w:styleId="360">
    <w:name w:val="要点_0"/>
    <w:qFormat/>
    <w:uiPriority w:val="0"/>
    <w:rPr>
      <w:rFonts w:ascii="Calibri" w:hAnsi="Calibri"/>
      <w:b/>
      <w:bCs/>
      <w:lang w:val="en-US" w:eastAsia="zh-CN" w:bidi="ar-SA"/>
    </w:rPr>
  </w:style>
  <w:style w:type="character" w:customStyle="1" w:styleId="361">
    <w:name w:val="标题 Char2"/>
    <w:qFormat/>
    <w:uiPriority w:val="0"/>
    <w:rPr>
      <w:rFonts w:ascii="Cambria" w:hAnsi="Cambria" w:cs="Times New Roman"/>
      <w:b/>
      <w:bCs/>
      <w:kern w:val="2"/>
      <w:sz w:val="32"/>
      <w:szCs w:val="32"/>
    </w:rPr>
  </w:style>
  <w:style w:type="character" w:customStyle="1" w:styleId="362">
    <w:name w:val="Char Char30"/>
    <w:qFormat/>
    <w:uiPriority w:val="0"/>
    <w:rPr>
      <w:rFonts w:ascii="Arial" w:hAnsi="Arial" w:eastAsia="黑体"/>
      <w:sz w:val="24"/>
      <w:szCs w:val="24"/>
    </w:rPr>
  </w:style>
  <w:style w:type="character" w:customStyle="1" w:styleId="363">
    <w:name w:val="num"/>
    <w:qFormat/>
    <w:uiPriority w:val="0"/>
    <w:rPr>
      <w:b/>
      <w:color w:val="FF7800"/>
    </w:rPr>
  </w:style>
  <w:style w:type="character" w:customStyle="1" w:styleId="364">
    <w:name w:val="Char Char28"/>
    <w:qFormat/>
    <w:uiPriority w:val="0"/>
    <w:rPr>
      <w:szCs w:val="24"/>
      <w:shd w:val="clear" w:color="auto" w:fill="000080"/>
      <w:lang w:bidi="ar-SA"/>
    </w:rPr>
  </w:style>
  <w:style w:type="character" w:customStyle="1" w:styleId="365">
    <w:name w:val="明显参考2"/>
    <w:qFormat/>
    <w:uiPriority w:val="0"/>
    <w:rPr>
      <w:b/>
      <w:bCs/>
      <w:smallCaps/>
      <w:color w:val="C0504D"/>
      <w:spacing w:val="5"/>
      <w:u w:val="single"/>
    </w:rPr>
  </w:style>
  <w:style w:type="character" w:customStyle="1" w:styleId="366">
    <w:name w:val="Char Char31"/>
    <w:qFormat/>
    <w:uiPriority w:val="0"/>
    <w:rPr>
      <w:b/>
      <w:bCs/>
      <w:sz w:val="24"/>
      <w:szCs w:val="24"/>
    </w:rPr>
  </w:style>
  <w:style w:type="character" w:customStyle="1" w:styleId="367">
    <w:name w:val="Char Char34"/>
    <w:qFormat/>
    <w:uiPriority w:val="0"/>
    <w:rPr>
      <w:rFonts w:ascii="Arial" w:hAnsi="Arial" w:eastAsia="黑体"/>
      <w:sz w:val="28"/>
      <w:lang w:val="en-US" w:eastAsia="zh-CN" w:bidi="ar-SA"/>
    </w:rPr>
  </w:style>
  <w:style w:type="character" w:customStyle="1" w:styleId="368">
    <w:name w:val="legend"/>
    <w:qFormat/>
    <w:uiPriority w:val="0"/>
    <w:rPr>
      <w:rFonts w:hint="default" w:ascii="Arial" w:hAnsi="Arial" w:cs="Arial"/>
      <w:b/>
      <w:color w:val="73B304"/>
      <w:sz w:val="21"/>
      <w:szCs w:val="21"/>
      <w:shd w:val="clear" w:color="auto" w:fill="FFFFFF"/>
    </w:rPr>
  </w:style>
  <w:style w:type="character" w:customStyle="1" w:styleId="369">
    <w:name w:val="Title Char1"/>
    <w:qFormat/>
    <w:uiPriority w:val="0"/>
    <w:rPr>
      <w:rFonts w:ascii="Cambria" w:hAnsi="Cambria" w:cs="Times New Roman"/>
      <w:b/>
      <w:bCs/>
      <w:sz w:val="32"/>
      <w:szCs w:val="32"/>
    </w:rPr>
  </w:style>
  <w:style w:type="character" w:customStyle="1" w:styleId="370">
    <w:name w:val="不明显强调2"/>
    <w:qFormat/>
    <w:uiPriority w:val="0"/>
    <w:rPr>
      <w:i/>
      <w:iCs/>
      <w:color w:val="808080"/>
    </w:rPr>
  </w:style>
  <w:style w:type="character" w:customStyle="1" w:styleId="371">
    <w:name w:val="Char Char25"/>
    <w:qFormat/>
    <w:uiPriority w:val="0"/>
    <w:rPr>
      <w:rFonts w:ascii="黑体" w:eastAsia="黑体"/>
      <w:sz w:val="52"/>
    </w:rPr>
  </w:style>
  <w:style w:type="character" w:customStyle="1" w:styleId="372">
    <w:name w:val="Subtitle Char1"/>
    <w:qFormat/>
    <w:uiPriority w:val="0"/>
    <w:rPr>
      <w:rFonts w:ascii="Cambria" w:hAnsi="Cambria" w:cs="Times New Roman"/>
      <w:b/>
      <w:bCs/>
      <w:kern w:val="28"/>
      <w:sz w:val="32"/>
      <w:szCs w:val="32"/>
    </w:rPr>
  </w:style>
  <w:style w:type="character" w:customStyle="1" w:styleId="373">
    <w:name w:val="Blockquote Char Char"/>
    <w:qFormat/>
    <w:uiPriority w:val="0"/>
    <w:rPr>
      <w:sz w:val="24"/>
    </w:rPr>
  </w:style>
  <w:style w:type="character" w:customStyle="1" w:styleId="374">
    <w:name w:val="Char Char37"/>
    <w:qFormat/>
    <w:uiPriority w:val="0"/>
    <w:rPr>
      <w:rFonts w:ascii="黑体" w:eastAsia="黑体"/>
      <w:sz w:val="52"/>
    </w:rPr>
  </w:style>
  <w:style w:type="character" w:customStyle="1" w:styleId="375">
    <w:name w:val="Char Char26"/>
    <w:qFormat/>
    <w:uiPriority w:val="0"/>
    <w:rPr>
      <w:rFonts w:ascii="宋体"/>
      <w:b/>
      <w:bCs/>
      <w:sz w:val="28"/>
      <w:lang w:bidi="ar-SA"/>
    </w:rPr>
  </w:style>
  <w:style w:type="character" w:customStyle="1" w:styleId="376">
    <w:name w:val="Char Char36"/>
    <w:qFormat/>
    <w:uiPriority w:val="0"/>
    <w:rPr>
      <w:rFonts w:ascii="Arial" w:hAnsi="Arial" w:eastAsia="黑体"/>
      <w:b/>
      <w:sz w:val="36"/>
      <w:lang w:val="en-US" w:eastAsia="zh-CN" w:bidi="ar-SA"/>
    </w:rPr>
  </w:style>
  <w:style w:type="paragraph" w:customStyle="1" w:styleId="377">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qFormat/>
    <w:uiPriority w:val="0"/>
    <w:pPr>
      <w:widowControl/>
      <w:spacing w:line="240" w:lineRule="exact"/>
      <w:jc w:val="left"/>
    </w:pPr>
    <w:rPr>
      <w:rFonts w:ascii="宋体" w:hAnsi="宋体" w:cs="宋体"/>
      <w:kern w:val="0"/>
      <w:sz w:val="24"/>
      <w:szCs w:val="20"/>
    </w:rPr>
  </w:style>
  <w:style w:type="paragraph" w:customStyle="1" w:styleId="381">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29"/>
    <w:qFormat/>
    <w:uiPriority w:val="0"/>
    <w:pPr>
      <w:widowControl/>
      <w:spacing w:after="0"/>
      <w:jc w:val="left"/>
    </w:pPr>
    <w:rPr>
      <w:kern w:val="0"/>
      <w:sz w:val="24"/>
      <w:szCs w:val="20"/>
    </w:rPr>
  </w:style>
  <w:style w:type="paragraph" w:customStyle="1" w:styleId="385">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0"/>
    <w:qFormat/>
    <w:uiPriority w:val="0"/>
    <w:rPr>
      <w:rFonts w:ascii="宋体" w:hAnsi="宋体" w:eastAsia="宋体" w:cs="Times New Roman"/>
      <w:sz w:val="24"/>
      <w:szCs w:val="24"/>
    </w:rPr>
  </w:style>
  <w:style w:type="character" w:customStyle="1" w:styleId="388">
    <w:name w:val="正文首行缩进 2 Char"/>
    <w:basedOn w:val="107"/>
    <w:link w:val="65"/>
    <w:qFormat/>
    <w:uiPriority w:val="0"/>
    <w:rPr>
      <w:rFonts w:ascii="Times New Roman" w:hAnsi="Times New Roman" w:eastAsia="楷体_GB2312"/>
      <w:kern w:val="2"/>
      <w:sz w:val="21"/>
      <w:szCs w:val="22"/>
    </w:rPr>
  </w:style>
  <w:style w:type="character" w:customStyle="1" w:styleId="389">
    <w:name w:val="正文首行缩进 2 Char1"/>
    <w:basedOn w:val="107"/>
    <w:qFormat/>
    <w:uiPriority w:val="0"/>
    <w:rPr>
      <w:rFonts w:ascii="Times New Roman" w:hAnsi="Times New Roman" w:eastAsia="宋体" w:cs="Times New Roman"/>
      <w:kern w:val="2"/>
      <w:sz w:val="21"/>
      <w:szCs w:val="22"/>
    </w:rPr>
  </w:style>
  <w:style w:type="paragraph" w:customStyle="1" w:styleId="390">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59"/>
    <w:qFormat/>
    <w:uiPriority w:val="0"/>
    <w:rPr>
      <w:rFonts w:ascii="Arial" w:hAnsi="Arial"/>
      <w:sz w:val="24"/>
      <w:szCs w:val="24"/>
    </w:rPr>
  </w:style>
  <w:style w:type="character" w:customStyle="1" w:styleId="392">
    <w:name w:val="HTML 预设格式 Char1"/>
    <w:basedOn w:val="68"/>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qFormat/>
    <w:uiPriority w:val="0"/>
    <w:pPr>
      <w:widowControl/>
      <w:suppressLineNumbers/>
      <w:jc w:val="left"/>
    </w:pPr>
    <w:rPr>
      <w:rFonts w:cs="Mangal"/>
      <w:kern w:val="0"/>
      <w:sz w:val="24"/>
      <w:szCs w:val="24"/>
      <w:lang w:bidi="hi-IN"/>
    </w:rPr>
  </w:style>
  <w:style w:type="paragraph" w:customStyle="1" w:styleId="395">
    <w:name w:val="Char Char Char Char3"/>
    <w:basedOn w:val="1"/>
    <w:qFormat/>
    <w:uiPriority w:val="0"/>
    <w:pPr>
      <w:widowControl/>
      <w:spacing w:after="160" w:line="240" w:lineRule="exact"/>
      <w:jc w:val="left"/>
    </w:pPr>
    <w:rPr>
      <w:kern w:val="0"/>
      <w:sz w:val="24"/>
      <w:szCs w:val="24"/>
    </w:rPr>
  </w:style>
  <w:style w:type="paragraph" w:customStyle="1" w:styleId="396">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52</Pages>
  <Words>5323</Words>
  <Characters>30343</Characters>
  <Lines>252</Lines>
  <Paragraphs>71</Paragraphs>
  <TotalTime>1</TotalTime>
  <ScaleCrop>false</ScaleCrop>
  <LinksUpToDate>false</LinksUpToDate>
  <CharactersWithSpaces>35595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小毛</cp:lastModifiedBy>
  <cp:lastPrinted>2020-03-26T08:11:00Z</cp:lastPrinted>
  <dcterms:modified xsi:type="dcterms:W3CDTF">2022-01-07T03:14:17Z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2A40496988124E92BC469ECA1481A8D9</vt:lpwstr>
  </property>
</Properties>
</file>