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000000" w:themeColor="text1"/>
          <w:sz w:val="52"/>
          <w:szCs w:val="52"/>
          <w14:textFill>
            <w14:solidFill>
              <w14:schemeClr w14:val="tx1"/>
            </w14:solidFill>
          </w14:textFill>
        </w:rPr>
      </w:pPr>
    </w:p>
    <w:p>
      <w:pPr>
        <w:tabs>
          <w:tab w:val="left" w:pos="420"/>
        </w:tabs>
        <w:spacing w:line="1700" w:lineRule="exact"/>
        <w:jc w:val="center"/>
        <w:rPr>
          <w:rFonts w:ascii="宋体" w:hAnsi="宋体"/>
          <w:b/>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货物类标准</w:t>
      </w: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drawing>
          <wp:inline distT="0" distB="0" distL="114300" distR="114300">
            <wp:extent cx="1349375" cy="1301750"/>
            <wp:effectExtent l="0" t="0" r="3175" b="12700"/>
            <wp:docPr id="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9"/>
                    <pic:cNvPicPr>
                      <a:picLocks noChangeAspect="1"/>
                    </pic:cNvPicPr>
                  </pic:nvPicPr>
                  <pic:blipFill>
                    <a:blip r:embed="rId7"/>
                    <a:stretch>
                      <a:fillRect/>
                    </a:stretch>
                  </pic:blipFill>
                  <pic:spPr>
                    <a:xfrm>
                      <a:off x="0" y="0"/>
                      <a:ext cx="1349375" cy="1301750"/>
                    </a:xfrm>
                    <a:prstGeom prst="rect">
                      <a:avLst/>
                    </a:prstGeom>
                    <a:noFill/>
                    <a:ln>
                      <a:noFill/>
                    </a:ln>
                  </pic:spPr>
                </pic:pic>
              </a:graphicData>
            </a:graphic>
          </wp:inline>
        </w:drawing>
      </w:r>
    </w:p>
    <w:p>
      <w:pPr>
        <w:tabs>
          <w:tab w:val="left" w:pos="2410"/>
        </w:tabs>
        <w:autoSpaceDE w:val="0"/>
        <w:autoSpaceDN w:val="0"/>
        <w:adjustRightInd w:val="0"/>
        <w:snapToGrid w:val="0"/>
        <w:spacing w:line="360" w:lineRule="auto"/>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ind w:left="3085" w:leftChars="608" w:hanging="1808" w:hangingChars="563"/>
        <w:rPr>
          <w:rFonts w:hint="eastAsia"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项目名称：合肥体育中心游泳馆及天鹅湖全民健身中心游</w:t>
      </w:r>
    </w:p>
    <w:p>
      <w:pPr>
        <w:tabs>
          <w:tab w:val="left" w:pos="2410"/>
        </w:tabs>
        <w:autoSpaceDE w:val="0"/>
        <w:autoSpaceDN w:val="0"/>
        <w:adjustRightInd w:val="0"/>
        <w:snapToGrid w:val="0"/>
        <w:spacing w:line="360" w:lineRule="auto"/>
        <w:ind w:firstLine="2890" w:firstLineChars="900"/>
        <w:rPr>
          <w:rFonts w:hint="eastAsia"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泳馆202</w:t>
      </w:r>
      <w:r>
        <w:rPr>
          <w:rFonts w:hint="eastAsia" w:ascii="宋体" w:hAnsi="DotumChe" w:cs="宋体"/>
          <w:b/>
          <w:color w:val="000000" w:themeColor="text1"/>
          <w:spacing w:val="20"/>
          <w:kern w:val="0"/>
          <w:sz w:val="28"/>
          <w:szCs w:val="28"/>
          <w:lang w:val="en-US" w:eastAsia="zh-CN"/>
          <w14:textFill>
            <w14:solidFill>
              <w14:schemeClr w14:val="tx1"/>
            </w14:solidFill>
          </w14:textFill>
        </w:rPr>
        <w:t>2</w:t>
      </w:r>
      <w:r>
        <w:rPr>
          <w:rFonts w:hint="eastAsia" w:ascii="宋体" w:hAnsi="DotumChe" w:cs="宋体"/>
          <w:b/>
          <w:color w:val="000000" w:themeColor="text1"/>
          <w:spacing w:val="20"/>
          <w:kern w:val="0"/>
          <w:sz w:val="28"/>
          <w:szCs w:val="28"/>
          <w14:textFill>
            <w14:solidFill>
              <w14:schemeClr w14:val="tx1"/>
            </w14:solidFill>
          </w14:textFill>
        </w:rPr>
        <w:t>年度水处理药剂及水质养护服务</w:t>
      </w: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项目编号：2021WLBLZB00</w:t>
      </w:r>
      <w:r>
        <w:rPr>
          <w:rFonts w:hint="eastAsia" w:ascii="宋体" w:hAnsi="DotumChe" w:cs="宋体"/>
          <w:b/>
          <w:color w:val="000000" w:themeColor="text1"/>
          <w:spacing w:val="20"/>
          <w:kern w:val="0"/>
          <w:sz w:val="28"/>
          <w:szCs w:val="28"/>
          <w:lang w:val="en-US" w:eastAsia="zh-CN"/>
          <w14:textFill>
            <w14:solidFill>
              <w14:schemeClr w14:val="tx1"/>
            </w14:solidFill>
          </w14:textFill>
        </w:rPr>
        <w:t>101</w:t>
      </w:r>
      <w:r>
        <w:rPr>
          <w:rFonts w:hint="eastAsia" w:ascii="宋体" w:hAnsi="DotumChe" w:cs="宋体"/>
          <w:b/>
          <w:color w:val="000000" w:themeColor="text1"/>
          <w:spacing w:val="20"/>
          <w:kern w:val="0"/>
          <w:sz w:val="28"/>
          <w:szCs w:val="28"/>
          <w14:textFill>
            <w14:solidFill>
              <w14:schemeClr w14:val="tx1"/>
            </w14:solidFill>
          </w14:textFill>
        </w:rPr>
        <w:t>号</w:t>
      </w:r>
    </w:p>
    <w:p>
      <w:pPr>
        <w:tabs>
          <w:tab w:val="left" w:pos="2410"/>
        </w:tabs>
        <w:autoSpaceDE w:val="0"/>
        <w:autoSpaceDN w:val="0"/>
        <w:adjustRightInd w:val="0"/>
        <w:snapToGrid w:val="0"/>
        <w:spacing w:line="360" w:lineRule="auto"/>
        <w:ind w:firstLine="1284" w:firstLineChars="400"/>
        <w:rPr>
          <w:rFonts w:hint="eastAsia"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招 标 人：合肥文旅博览集团有限公司</w:t>
      </w:r>
    </w:p>
    <w:p>
      <w:pPr>
        <w:tabs>
          <w:tab w:val="left" w:pos="2410"/>
        </w:tabs>
        <w:autoSpaceDE w:val="0"/>
        <w:autoSpaceDN w:val="0"/>
        <w:adjustRightInd w:val="0"/>
        <w:snapToGrid w:val="0"/>
        <w:spacing w:line="360" w:lineRule="auto"/>
        <w:ind w:firstLine="1284" w:firstLineChars="400"/>
        <w:rPr>
          <w:rFonts w:ascii="宋体" w:hAnsi="DotumChe" w:cs="宋体"/>
          <w:b/>
          <w:color w:val="000000" w:themeColor="text1"/>
          <w:spacing w:val="20"/>
          <w:kern w:val="0"/>
          <w:sz w:val="28"/>
          <w:szCs w:val="28"/>
          <w14:textFill>
            <w14:solidFill>
              <w14:schemeClr w14:val="tx1"/>
            </w14:solidFill>
          </w14:textFill>
        </w:rPr>
      </w:pPr>
      <w:r>
        <w:rPr>
          <w:rFonts w:hint="eastAsia" w:ascii="宋体" w:hAnsi="DotumChe" w:cs="宋体"/>
          <w:b/>
          <w:color w:val="000000" w:themeColor="text1"/>
          <w:spacing w:val="20"/>
          <w:kern w:val="0"/>
          <w:sz w:val="28"/>
          <w:szCs w:val="28"/>
          <w14:textFill>
            <w14:solidFill>
              <w14:schemeClr w14:val="tx1"/>
            </w14:solidFill>
          </w14:textFill>
        </w:rPr>
        <w:t>招标时间：202</w:t>
      </w:r>
      <w:r>
        <w:rPr>
          <w:rFonts w:hint="eastAsia" w:ascii="宋体" w:hAnsi="DotumChe" w:cs="宋体"/>
          <w:b/>
          <w:color w:val="000000" w:themeColor="text1"/>
          <w:spacing w:val="20"/>
          <w:kern w:val="0"/>
          <w:sz w:val="28"/>
          <w:szCs w:val="28"/>
          <w:lang w:val="en-US" w:eastAsia="zh-CN"/>
          <w14:textFill>
            <w14:solidFill>
              <w14:schemeClr w14:val="tx1"/>
            </w14:solidFill>
          </w14:textFill>
        </w:rPr>
        <w:t>2</w:t>
      </w:r>
      <w:r>
        <w:rPr>
          <w:rFonts w:hint="eastAsia" w:ascii="宋体" w:hAnsi="DotumChe" w:cs="宋体"/>
          <w:b/>
          <w:color w:val="000000" w:themeColor="text1"/>
          <w:spacing w:val="20"/>
          <w:kern w:val="0"/>
          <w:sz w:val="28"/>
          <w:szCs w:val="28"/>
          <w14:textFill>
            <w14:solidFill>
              <w14:schemeClr w14:val="tx1"/>
            </w14:solidFill>
          </w14:textFill>
        </w:rPr>
        <w:t>年</w:t>
      </w:r>
      <w:r>
        <w:rPr>
          <w:rFonts w:hint="eastAsia" w:ascii="宋体" w:hAnsi="DotumChe" w:cs="宋体"/>
          <w:b/>
          <w:color w:val="000000" w:themeColor="text1"/>
          <w:spacing w:val="20"/>
          <w:kern w:val="0"/>
          <w:sz w:val="28"/>
          <w:szCs w:val="28"/>
          <w:lang w:val="en-US" w:eastAsia="zh-CN"/>
          <w14:textFill>
            <w14:solidFill>
              <w14:schemeClr w14:val="tx1"/>
            </w14:solidFill>
          </w14:textFill>
        </w:rPr>
        <w:t>1</w:t>
      </w:r>
      <w:r>
        <w:rPr>
          <w:rFonts w:hint="eastAsia" w:ascii="宋体" w:hAnsi="DotumChe" w:cs="宋体"/>
          <w:b/>
          <w:color w:val="000000" w:themeColor="text1"/>
          <w:spacing w:val="20"/>
          <w:kern w:val="0"/>
          <w:sz w:val="28"/>
          <w:szCs w:val="28"/>
          <w14:textFill>
            <w14:solidFill>
              <w14:schemeClr w14:val="tx1"/>
            </w14:solidFill>
          </w14:textFill>
        </w:rPr>
        <w:t>月</w:t>
      </w:r>
    </w:p>
    <w:p>
      <w:pPr>
        <w:tabs>
          <w:tab w:val="left" w:pos="2410"/>
        </w:tabs>
        <w:autoSpaceDE w:val="0"/>
        <w:autoSpaceDN w:val="0"/>
        <w:adjustRightInd w:val="0"/>
        <w:snapToGrid w:val="0"/>
        <w:spacing w:line="360" w:lineRule="auto"/>
        <w:ind w:firstLine="1257" w:firstLineChars="348"/>
        <w:rPr>
          <w:rFonts w:ascii="宋体" w:hAnsi="DotumChe" w:cs="宋体"/>
          <w:b/>
          <w:color w:val="000000" w:themeColor="text1"/>
          <w:spacing w:val="20"/>
          <w:kern w:val="0"/>
          <w:sz w:val="32"/>
          <w:szCs w:val="32"/>
          <w14:textFill>
            <w14:solidFill>
              <w14:schemeClr w14:val="tx1"/>
            </w14:solidFill>
          </w14:textFill>
        </w:rPr>
      </w:pPr>
    </w:p>
    <w:p>
      <w:pPr>
        <w:pStyle w:val="2"/>
        <w:rPr>
          <w:rFonts w:ascii="宋体" w:hAnsi="DotumChe" w:cs="宋体"/>
          <w:b/>
          <w:color w:val="000000" w:themeColor="text1"/>
          <w:spacing w:val="20"/>
          <w:kern w:val="0"/>
          <w:sz w:val="32"/>
          <w:szCs w:val="32"/>
          <w14:textFill>
            <w14:solidFill>
              <w14:schemeClr w14:val="tx1"/>
            </w14:solidFill>
          </w14:textFill>
        </w:rPr>
      </w:pPr>
    </w:p>
    <w:p>
      <w:pPr>
        <w:pStyle w:val="2"/>
        <w:rPr>
          <w:rFonts w:ascii="宋体" w:hAnsi="DotumChe" w:cs="宋体"/>
          <w:b/>
          <w:color w:val="000000" w:themeColor="text1"/>
          <w:spacing w:val="20"/>
          <w:kern w:val="0"/>
          <w:sz w:val="32"/>
          <w:szCs w:val="32"/>
          <w14:textFill>
            <w14:solidFill>
              <w14:schemeClr w14:val="tx1"/>
            </w14:solidFill>
          </w14:textFill>
        </w:rPr>
      </w:pPr>
    </w:p>
    <w:p>
      <w:pPr>
        <w:spacing w:before="240" w:beforeLines="100" w:line="440" w:lineRule="exact"/>
        <w:jc w:val="center"/>
        <w:rPr>
          <w:rFonts w:ascii="黑体" w:hAnsi="宋体" w:eastAsia="黑体"/>
          <w:b/>
          <w:i w:val="0"/>
          <w:iCs w:val="0"/>
          <w:color w:val="000000" w:themeColor="text1"/>
          <w:sz w:val="32"/>
          <w14:textFill>
            <w14:solidFill>
              <w14:schemeClr w14:val="tx1"/>
            </w14:solidFill>
          </w14:textFill>
        </w:rPr>
      </w:pPr>
      <w:r>
        <w:rPr>
          <w:rFonts w:hint="eastAsia" w:ascii="黑体" w:hAnsi="宋体" w:eastAsia="黑体"/>
          <w:b/>
          <w:i w:val="0"/>
          <w:iCs w:val="0"/>
          <w:color w:val="000000" w:themeColor="text1"/>
          <w:sz w:val="32"/>
          <w14:textFill>
            <w14:solidFill>
              <w14:schemeClr w14:val="tx1"/>
            </w14:solidFill>
          </w14:textFill>
        </w:rPr>
        <w:t>目    录</w:t>
      </w:r>
    </w:p>
    <w:p>
      <w:pPr>
        <w:pStyle w:val="34"/>
        <w:tabs>
          <w:tab w:val="right" w:leader="dot" w:pos="9413"/>
        </w:tabs>
        <w:rPr>
          <w:i w:val="0"/>
          <w:iCs w:val="0"/>
        </w:rPr>
      </w:pPr>
      <w:bookmarkStart w:id="0" w:name="_Hlt519045295"/>
      <w:bookmarkEnd w:id="0"/>
      <w:bookmarkStart w:id="1" w:name="_Hlt526418134"/>
      <w:bookmarkEnd w:id="1"/>
      <w:bookmarkStart w:id="2" w:name="_Hlt533241375"/>
      <w:bookmarkEnd w:id="2"/>
      <w:r>
        <w:rPr>
          <w:rFonts w:hint="eastAsia" w:ascii="宋体" w:hAnsi="宋体" w:cs="宋体"/>
          <w:i w:val="0"/>
          <w:iCs w:val="0"/>
          <w:color w:val="000000" w:themeColor="text1"/>
          <w:sz w:val="28"/>
          <w:szCs w:val="28"/>
          <w14:textFill>
            <w14:solidFill>
              <w14:schemeClr w14:val="tx1"/>
            </w14:solidFill>
          </w14:textFill>
        </w:rPr>
        <w:fldChar w:fldCharType="begin"/>
      </w:r>
      <w:r>
        <w:rPr>
          <w:rFonts w:hint="eastAsia" w:ascii="宋体" w:hAnsi="宋体" w:cs="宋体"/>
          <w:i w:val="0"/>
          <w:iCs w:val="0"/>
          <w:color w:val="000000" w:themeColor="text1"/>
          <w:sz w:val="28"/>
          <w:szCs w:val="28"/>
          <w14:textFill>
            <w14:solidFill>
              <w14:schemeClr w14:val="tx1"/>
            </w14:solidFill>
          </w14:textFill>
        </w:rPr>
        <w:instrText xml:space="preserve">TOC \o "1-3" \h \u </w:instrText>
      </w:r>
      <w:r>
        <w:rPr>
          <w:rFonts w:hint="eastAsia" w:ascii="宋体" w:hAnsi="宋体" w:cs="宋体"/>
          <w:i w:val="0"/>
          <w:iCs w:val="0"/>
          <w:color w:val="000000" w:themeColor="text1"/>
          <w:sz w:val="28"/>
          <w:szCs w:val="28"/>
          <w14:textFill>
            <w14:solidFill>
              <w14:schemeClr w14:val="tx1"/>
            </w14:solidFill>
          </w14:textFill>
        </w:rPr>
        <w:fldChar w:fldCharType="separate"/>
      </w: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_Toc16593 </w:instrText>
      </w:r>
      <w:r>
        <w:rPr>
          <w:rFonts w:hint="eastAsia" w:ascii="宋体" w:hAnsi="宋体" w:cs="宋体"/>
          <w:i w:val="0"/>
          <w:iCs w:val="0"/>
          <w:szCs w:val="28"/>
        </w:rPr>
        <w:fldChar w:fldCharType="separate"/>
      </w:r>
      <w:r>
        <w:rPr>
          <w:rFonts w:hint="eastAsia" w:ascii="宋体" w:hAnsi="宋体"/>
          <w:bCs/>
          <w:i w:val="0"/>
          <w:iCs w:val="0"/>
          <w:szCs w:val="32"/>
        </w:rPr>
        <w:t>第一章 投标邀请（招标公告）</w:t>
      </w:r>
      <w:r>
        <w:rPr>
          <w:i w:val="0"/>
          <w:iCs w:val="0"/>
        </w:rPr>
        <w:tab/>
      </w:r>
      <w:r>
        <w:rPr>
          <w:i w:val="0"/>
          <w:iCs w:val="0"/>
        </w:rPr>
        <w:fldChar w:fldCharType="begin"/>
      </w:r>
      <w:r>
        <w:rPr>
          <w:i w:val="0"/>
          <w:iCs w:val="0"/>
        </w:rPr>
        <w:instrText xml:space="preserve"> PAGEREF _Toc16593 \h </w:instrText>
      </w:r>
      <w:r>
        <w:rPr>
          <w:i w:val="0"/>
          <w:iCs w:val="0"/>
        </w:rPr>
        <w:fldChar w:fldCharType="separate"/>
      </w:r>
      <w:r>
        <w:rPr>
          <w:i w:val="0"/>
          <w:iCs w:val="0"/>
        </w:rPr>
        <w:t>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_Toc5822 </w:instrText>
      </w:r>
      <w:r>
        <w:rPr>
          <w:rFonts w:hint="eastAsia" w:ascii="宋体" w:hAnsi="宋体" w:cs="宋体"/>
          <w:i w:val="0"/>
          <w:iCs w:val="0"/>
          <w:szCs w:val="28"/>
        </w:rPr>
        <w:fldChar w:fldCharType="separate"/>
      </w:r>
      <w:r>
        <w:rPr>
          <w:rFonts w:hint="eastAsia" w:ascii="宋体" w:hAnsi="宋体"/>
          <w:bCs/>
          <w:i w:val="0"/>
          <w:iCs w:val="0"/>
          <w:szCs w:val="32"/>
        </w:rPr>
        <w:t>第二章 投标人须知前附表</w:t>
      </w:r>
      <w:r>
        <w:rPr>
          <w:i w:val="0"/>
          <w:iCs w:val="0"/>
        </w:rPr>
        <w:tab/>
      </w:r>
      <w:r>
        <w:rPr>
          <w:i w:val="0"/>
          <w:iCs w:val="0"/>
        </w:rPr>
        <w:fldChar w:fldCharType="begin"/>
      </w:r>
      <w:r>
        <w:rPr>
          <w:i w:val="0"/>
          <w:iCs w:val="0"/>
        </w:rPr>
        <w:instrText xml:space="preserve"> PAGEREF _Toc5822 \h </w:instrText>
      </w:r>
      <w:r>
        <w:rPr>
          <w:i w:val="0"/>
          <w:iCs w:val="0"/>
        </w:rPr>
        <w:fldChar w:fldCharType="separate"/>
      </w:r>
      <w:r>
        <w:rPr>
          <w:i w:val="0"/>
          <w:iCs w:val="0"/>
        </w:rPr>
        <w:t>5</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_Toc25871 </w:instrText>
      </w:r>
      <w:r>
        <w:rPr>
          <w:rFonts w:hint="eastAsia" w:ascii="宋体" w:hAnsi="宋体" w:cs="宋体"/>
          <w:i w:val="0"/>
          <w:iCs w:val="0"/>
          <w:szCs w:val="28"/>
        </w:rPr>
        <w:fldChar w:fldCharType="separate"/>
      </w:r>
      <w:r>
        <w:rPr>
          <w:rFonts w:hint="eastAsia" w:ascii="宋体" w:hAnsi="宋体"/>
          <w:i w:val="0"/>
          <w:iCs w:val="0"/>
        </w:rPr>
        <w:t>第三章 投标人须知</w:t>
      </w:r>
      <w:r>
        <w:rPr>
          <w:i w:val="0"/>
          <w:iCs w:val="0"/>
        </w:rPr>
        <w:tab/>
      </w:r>
      <w:r>
        <w:rPr>
          <w:i w:val="0"/>
          <w:iCs w:val="0"/>
        </w:rPr>
        <w:fldChar w:fldCharType="begin"/>
      </w:r>
      <w:r>
        <w:rPr>
          <w:i w:val="0"/>
          <w:iCs w:val="0"/>
        </w:rPr>
        <w:instrText xml:space="preserve"> PAGEREF _Toc25871 \h </w:instrText>
      </w:r>
      <w:r>
        <w:rPr>
          <w:i w:val="0"/>
          <w:iCs w:val="0"/>
        </w:rPr>
        <w:fldChar w:fldCharType="separate"/>
      </w:r>
      <w:r>
        <w:rPr>
          <w:i w:val="0"/>
          <w:iCs w:val="0"/>
        </w:rPr>
        <w:t>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_Toc23746 </w:instrText>
      </w:r>
      <w:r>
        <w:rPr>
          <w:rFonts w:hint="eastAsia" w:ascii="宋体" w:hAnsi="宋体" w:cs="宋体"/>
          <w:i w:val="0"/>
          <w:iCs w:val="0"/>
          <w:szCs w:val="28"/>
        </w:rPr>
        <w:fldChar w:fldCharType="separate"/>
      </w:r>
      <w:r>
        <w:rPr>
          <w:rFonts w:hint="eastAsia" w:ascii="宋体" w:hAnsi="宋体"/>
          <w:bCs/>
          <w:i w:val="0"/>
          <w:iCs w:val="0"/>
          <w:szCs w:val="32"/>
        </w:rPr>
        <w:t>一．投标文件的编制</w:t>
      </w:r>
      <w:r>
        <w:rPr>
          <w:i w:val="0"/>
          <w:iCs w:val="0"/>
        </w:rPr>
        <w:tab/>
      </w:r>
      <w:r>
        <w:rPr>
          <w:i w:val="0"/>
          <w:iCs w:val="0"/>
        </w:rPr>
        <w:fldChar w:fldCharType="begin"/>
      </w:r>
      <w:r>
        <w:rPr>
          <w:i w:val="0"/>
          <w:iCs w:val="0"/>
        </w:rPr>
        <w:instrText xml:space="preserve"> PAGEREF _Toc23746 \h </w:instrText>
      </w:r>
      <w:r>
        <w:rPr>
          <w:i w:val="0"/>
          <w:iCs w:val="0"/>
        </w:rPr>
        <w:fldChar w:fldCharType="separate"/>
      </w:r>
      <w:r>
        <w:rPr>
          <w:i w:val="0"/>
          <w:iCs w:val="0"/>
        </w:rPr>
        <w:t>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_Toc5344 </w:instrText>
      </w:r>
      <w:r>
        <w:rPr>
          <w:rFonts w:hint="eastAsia" w:ascii="宋体" w:hAnsi="宋体" w:cs="宋体"/>
          <w:i w:val="0"/>
          <w:iCs w:val="0"/>
          <w:szCs w:val="28"/>
        </w:rPr>
        <w:fldChar w:fldCharType="separate"/>
      </w:r>
      <w:r>
        <w:rPr>
          <w:rFonts w:hint="eastAsia" w:ascii="宋体" w:hAnsi="宋体"/>
          <w:bCs/>
          <w:i w:val="0"/>
          <w:iCs w:val="0"/>
          <w:szCs w:val="32"/>
        </w:rPr>
        <w:t>二．投标保证金的缴纳</w:t>
      </w:r>
      <w:r>
        <w:rPr>
          <w:i w:val="0"/>
          <w:iCs w:val="0"/>
        </w:rPr>
        <w:tab/>
      </w:r>
      <w:r>
        <w:rPr>
          <w:i w:val="0"/>
          <w:iCs w:val="0"/>
        </w:rPr>
        <w:fldChar w:fldCharType="begin"/>
      </w:r>
      <w:r>
        <w:rPr>
          <w:i w:val="0"/>
          <w:iCs w:val="0"/>
        </w:rPr>
        <w:instrText xml:space="preserve"> PAGEREF _Toc5344 \h </w:instrText>
      </w:r>
      <w:r>
        <w:rPr>
          <w:i w:val="0"/>
          <w:iCs w:val="0"/>
        </w:rPr>
        <w:fldChar w:fldCharType="separate"/>
      </w:r>
      <w:r>
        <w:rPr>
          <w:i w:val="0"/>
          <w:iCs w:val="0"/>
        </w:rPr>
        <w:t>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_Toc31055 </w:instrText>
      </w:r>
      <w:r>
        <w:rPr>
          <w:rFonts w:hint="eastAsia" w:ascii="宋体" w:hAnsi="宋体" w:cs="宋体"/>
          <w:i w:val="0"/>
          <w:iCs w:val="0"/>
          <w:szCs w:val="28"/>
        </w:rPr>
        <w:fldChar w:fldCharType="separate"/>
      </w:r>
      <w:r>
        <w:rPr>
          <w:rFonts w:hint="eastAsia" w:ascii="宋体" w:hAnsi="宋体"/>
          <w:bCs/>
          <w:i w:val="0"/>
          <w:iCs w:val="0"/>
          <w:szCs w:val="32"/>
        </w:rPr>
        <w:t>三．投标文件的递交</w:t>
      </w:r>
      <w:r>
        <w:rPr>
          <w:i w:val="0"/>
          <w:iCs w:val="0"/>
        </w:rPr>
        <w:tab/>
      </w:r>
      <w:r>
        <w:rPr>
          <w:i w:val="0"/>
          <w:iCs w:val="0"/>
        </w:rPr>
        <w:fldChar w:fldCharType="begin"/>
      </w:r>
      <w:r>
        <w:rPr>
          <w:i w:val="0"/>
          <w:iCs w:val="0"/>
        </w:rPr>
        <w:instrText xml:space="preserve"> PAGEREF _Toc31055 \h </w:instrText>
      </w:r>
      <w:r>
        <w:rPr>
          <w:i w:val="0"/>
          <w:iCs w:val="0"/>
        </w:rPr>
        <w:fldChar w:fldCharType="separate"/>
      </w:r>
      <w:r>
        <w:rPr>
          <w:i w:val="0"/>
          <w:iCs w:val="0"/>
        </w:rPr>
        <w:t>9</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_Toc9817 </w:instrText>
      </w:r>
      <w:r>
        <w:rPr>
          <w:rFonts w:hint="eastAsia" w:ascii="宋体" w:hAnsi="宋体" w:cs="宋体"/>
          <w:i w:val="0"/>
          <w:iCs w:val="0"/>
          <w:szCs w:val="28"/>
        </w:rPr>
        <w:fldChar w:fldCharType="separate"/>
      </w:r>
      <w:r>
        <w:rPr>
          <w:rFonts w:hint="eastAsia" w:ascii="宋体" w:hAnsi="宋体"/>
          <w:bCs/>
          <w:i w:val="0"/>
          <w:iCs w:val="0"/>
          <w:szCs w:val="32"/>
        </w:rPr>
        <w:t>四．开标、评标及定标</w:t>
      </w:r>
      <w:r>
        <w:rPr>
          <w:i w:val="0"/>
          <w:iCs w:val="0"/>
        </w:rPr>
        <w:tab/>
      </w:r>
      <w:r>
        <w:rPr>
          <w:i w:val="0"/>
          <w:iCs w:val="0"/>
        </w:rPr>
        <w:fldChar w:fldCharType="begin"/>
      </w:r>
      <w:r>
        <w:rPr>
          <w:i w:val="0"/>
          <w:iCs w:val="0"/>
        </w:rPr>
        <w:instrText xml:space="preserve"> PAGEREF _Toc9817 \h </w:instrText>
      </w:r>
      <w:r>
        <w:rPr>
          <w:i w:val="0"/>
          <w:iCs w:val="0"/>
        </w:rPr>
        <w:fldChar w:fldCharType="separate"/>
      </w:r>
      <w:r>
        <w:rPr>
          <w:i w:val="0"/>
          <w:iCs w:val="0"/>
        </w:rPr>
        <w:t>10</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_Toc20006 </w:instrText>
      </w:r>
      <w:r>
        <w:rPr>
          <w:rFonts w:hint="eastAsia" w:ascii="宋体" w:hAnsi="宋体" w:cs="宋体"/>
          <w:i w:val="0"/>
          <w:iCs w:val="0"/>
          <w:szCs w:val="28"/>
        </w:rPr>
        <w:fldChar w:fldCharType="separate"/>
      </w:r>
      <w:r>
        <w:rPr>
          <w:rFonts w:hint="eastAsia" w:ascii="宋体" w:hAnsi="宋体"/>
          <w:bCs/>
          <w:i w:val="0"/>
          <w:iCs w:val="0"/>
          <w:szCs w:val="32"/>
        </w:rPr>
        <w:t>六．投标文件的澄清</w:t>
      </w:r>
      <w:r>
        <w:rPr>
          <w:i w:val="0"/>
          <w:iCs w:val="0"/>
        </w:rPr>
        <w:tab/>
      </w:r>
      <w:r>
        <w:rPr>
          <w:i w:val="0"/>
          <w:iCs w:val="0"/>
        </w:rPr>
        <w:fldChar w:fldCharType="begin"/>
      </w:r>
      <w:r>
        <w:rPr>
          <w:i w:val="0"/>
          <w:iCs w:val="0"/>
        </w:rPr>
        <w:instrText xml:space="preserve"> PAGEREF _Toc20006 \h </w:instrText>
      </w:r>
      <w:r>
        <w:rPr>
          <w:i w:val="0"/>
          <w:iCs w:val="0"/>
        </w:rPr>
        <w:fldChar w:fldCharType="separate"/>
      </w:r>
      <w:r>
        <w:rPr>
          <w:i w:val="0"/>
          <w:iCs w:val="0"/>
        </w:rPr>
        <w:t>12</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_Toc20524 </w:instrText>
      </w:r>
      <w:r>
        <w:rPr>
          <w:rFonts w:hint="eastAsia" w:ascii="宋体" w:hAnsi="宋体" w:cs="宋体"/>
          <w:i w:val="0"/>
          <w:iCs w:val="0"/>
          <w:szCs w:val="28"/>
        </w:rPr>
        <w:fldChar w:fldCharType="separate"/>
      </w:r>
      <w:r>
        <w:rPr>
          <w:rFonts w:hint="eastAsia" w:ascii="宋体" w:hAnsi="宋体"/>
          <w:bCs/>
          <w:i w:val="0"/>
          <w:iCs w:val="0"/>
          <w:szCs w:val="32"/>
        </w:rPr>
        <w:t>七.中标通知书</w:t>
      </w:r>
      <w:r>
        <w:rPr>
          <w:i w:val="0"/>
          <w:iCs w:val="0"/>
        </w:rPr>
        <w:tab/>
      </w:r>
      <w:r>
        <w:rPr>
          <w:i w:val="0"/>
          <w:iCs w:val="0"/>
        </w:rPr>
        <w:fldChar w:fldCharType="begin"/>
      </w:r>
      <w:r>
        <w:rPr>
          <w:i w:val="0"/>
          <w:iCs w:val="0"/>
        </w:rPr>
        <w:instrText xml:space="preserve"> PAGEREF _Toc20524 \h </w:instrText>
      </w:r>
      <w:r>
        <w:rPr>
          <w:i w:val="0"/>
          <w:iCs w:val="0"/>
        </w:rPr>
        <w:fldChar w:fldCharType="separate"/>
      </w:r>
      <w:r>
        <w:rPr>
          <w:i w:val="0"/>
          <w:iCs w:val="0"/>
        </w:rPr>
        <w:t>12</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_Toc2884 </w:instrText>
      </w:r>
      <w:r>
        <w:rPr>
          <w:rFonts w:hint="eastAsia" w:ascii="宋体" w:hAnsi="宋体" w:cs="宋体"/>
          <w:i w:val="0"/>
          <w:iCs w:val="0"/>
          <w:szCs w:val="28"/>
        </w:rPr>
        <w:fldChar w:fldCharType="separate"/>
      </w:r>
      <w:r>
        <w:rPr>
          <w:rFonts w:hint="eastAsia" w:ascii="宋体" w:hAnsi="宋体"/>
          <w:bCs/>
          <w:i w:val="0"/>
          <w:iCs w:val="0"/>
          <w:szCs w:val="32"/>
        </w:rPr>
        <w:t>八.异议处理</w:t>
      </w:r>
      <w:r>
        <w:rPr>
          <w:i w:val="0"/>
          <w:iCs w:val="0"/>
        </w:rPr>
        <w:tab/>
      </w:r>
      <w:r>
        <w:rPr>
          <w:i w:val="0"/>
          <w:iCs w:val="0"/>
        </w:rPr>
        <w:fldChar w:fldCharType="begin"/>
      </w:r>
      <w:r>
        <w:rPr>
          <w:i w:val="0"/>
          <w:iCs w:val="0"/>
        </w:rPr>
        <w:instrText xml:space="preserve"> PAGEREF _Toc2884 \h </w:instrText>
      </w:r>
      <w:r>
        <w:rPr>
          <w:i w:val="0"/>
          <w:iCs w:val="0"/>
        </w:rPr>
        <w:fldChar w:fldCharType="separate"/>
      </w:r>
      <w:r>
        <w:rPr>
          <w:i w:val="0"/>
          <w:iCs w:val="0"/>
        </w:rPr>
        <w:t>13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_Toc20014 </w:instrText>
      </w:r>
      <w:r>
        <w:rPr>
          <w:rFonts w:hint="eastAsia" w:ascii="宋体" w:hAnsi="宋体" w:cs="宋体"/>
          <w:i w:val="0"/>
          <w:iCs w:val="0"/>
          <w:szCs w:val="28"/>
        </w:rPr>
        <w:fldChar w:fldCharType="separate"/>
      </w:r>
      <w:r>
        <w:rPr>
          <w:rFonts w:hint="eastAsia" w:ascii="宋体" w:hAnsi="宋体"/>
          <w:bCs/>
          <w:i w:val="0"/>
          <w:iCs w:val="0"/>
          <w:szCs w:val="32"/>
        </w:rPr>
        <w:t>九．签订合同</w:t>
      </w:r>
      <w:r>
        <w:rPr>
          <w:i w:val="0"/>
          <w:iCs w:val="0"/>
        </w:rPr>
        <w:tab/>
      </w:r>
      <w:r>
        <w:rPr>
          <w:i w:val="0"/>
          <w:iCs w:val="0"/>
        </w:rPr>
        <w:fldChar w:fldCharType="begin"/>
      </w:r>
      <w:r>
        <w:rPr>
          <w:i w:val="0"/>
          <w:iCs w:val="0"/>
        </w:rPr>
        <w:instrText xml:space="preserve"> PAGEREF _Toc20014 \h </w:instrText>
      </w:r>
      <w:r>
        <w:rPr>
          <w:i w:val="0"/>
          <w:iCs w:val="0"/>
        </w:rPr>
        <w:fldChar w:fldCharType="separate"/>
      </w:r>
      <w:r>
        <w:rPr>
          <w:i w:val="0"/>
          <w:iCs w:val="0"/>
        </w:rPr>
        <w:t>13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_Toc16845 </w:instrText>
      </w:r>
      <w:r>
        <w:rPr>
          <w:rFonts w:hint="eastAsia" w:ascii="宋体" w:hAnsi="宋体" w:cs="宋体"/>
          <w:i w:val="0"/>
          <w:iCs w:val="0"/>
          <w:szCs w:val="28"/>
        </w:rPr>
        <w:fldChar w:fldCharType="separate"/>
      </w:r>
      <w:r>
        <w:rPr>
          <w:rFonts w:hint="eastAsia" w:ascii="宋体" w:hAnsi="宋体"/>
          <w:i w:val="0"/>
          <w:iCs w:val="0"/>
        </w:rPr>
        <w:t xml:space="preserve">第四章 </w:t>
      </w:r>
      <w:r>
        <w:rPr>
          <w:rFonts w:hint="eastAsia" w:ascii="宋体" w:hAnsi="宋体"/>
          <w:i w:val="0"/>
          <w:iCs w:val="0"/>
          <w:szCs w:val="36"/>
        </w:rPr>
        <w:t>招标需求</w:t>
      </w:r>
      <w:r>
        <w:rPr>
          <w:i w:val="0"/>
          <w:iCs w:val="0"/>
        </w:rPr>
        <w:tab/>
      </w:r>
      <w:r>
        <w:rPr>
          <w:i w:val="0"/>
          <w:iCs w:val="0"/>
        </w:rPr>
        <w:fldChar w:fldCharType="begin"/>
      </w:r>
      <w:r>
        <w:rPr>
          <w:i w:val="0"/>
          <w:iCs w:val="0"/>
        </w:rPr>
        <w:instrText xml:space="preserve"> PAGEREF _Toc16845 \h </w:instrText>
      </w:r>
      <w:r>
        <w:rPr>
          <w:i w:val="0"/>
          <w:iCs w:val="0"/>
        </w:rPr>
        <w:fldChar w:fldCharType="separate"/>
      </w:r>
      <w:r>
        <w:rPr>
          <w:i w:val="0"/>
          <w:iCs w:val="0"/>
        </w:rPr>
        <w:t>15</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_Toc9997 </w:instrText>
      </w:r>
      <w:r>
        <w:rPr>
          <w:rFonts w:hint="eastAsia" w:ascii="宋体" w:hAnsi="宋体" w:cs="宋体"/>
          <w:i w:val="0"/>
          <w:iCs w:val="0"/>
          <w:szCs w:val="28"/>
        </w:rPr>
        <w:fldChar w:fldCharType="separate"/>
      </w:r>
      <w:r>
        <w:rPr>
          <w:rFonts w:hint="eastAsia" w:ascii="宋体" w:hAnsi="宋体"/>
          <w:i w:val="0"/>
          <w:iCs w:val="0"/>
        </w:rPr>
        <w:t>第五章 评标办法</w:t>
      </w:r>
      <w:r>
        <w:rPr>
          <w:i w:val="0"/>
          <w:iCs w:val="0"/>
        </w:rPr>
        <w:tab/>
      </w:r>
      <w:r>
        <w:rPr>
          <w:i w:val="0"/>
          <w:iCs w:val="0"/>
        </w:rPr>
        <w:fldChar w:fldCharType="begin"/>
      </w:r>
      <w:r>
        <w:rPr>
          <w:i w:val="0"/>
          <w:iCs w:val="0"/>
        </w:rPr>
        <w:instrText xml:space="preserve"> PAGEREF _Toc9997 \h </w:instrText>
      </w:r>
      <w:r>
        <w:rPr>
          <w:i w:val="0"/>
          <w:iCs w:val="0"/>
        </w:rPr>
        <w:fldChar w:fldCharType="separate"/>
      </w:r>
      <w:r>
        <w:rPr>
          <w:i w:val="0"/>
          <w:iCs w:val="0"/>
        </w:rPr>
        <w:t>18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_Toc5990 </w:instrText>
      </w:r>
      <w:r>
        <w:rPr>
          <w:rFonts w:hint="eastAsia" w:ascii="宋体" w:hAnsi="宋体" w:cs="宋体"/>
          <w:i w:val="0"/>
          <w:iCs w:val="0"/>
          <w:szCs w:val="28"/>
        </w:rPr>
        <w:fldChar w:fldCharType="separate"/>
      </w:r>
      <w:r>
        <w:rPr>
          <w:rFonts w:hint="eastAsia" w:ascii="宋体" w:hAnsi="宋体"/>
          <w:i w:val="0"/>
          <w:iCs w:val="0"/>
        </w:rPr>
        <w:t xml:space="preserve">第六章 </w:t>
      </w:r>
      <w:r>
        <w:rPr>
          <w:rFonts w:ascii="宋体" w:hAnsi="宋体"/>
          <w:i w:val="0"/>
          <w:iCs w:val="0"/>
        </w:rPr>
        <w:t>合同</w:t>
      </w:r>
      <w:r>
        <w:rPr>
          <w:i w:val="0"/>
          <w:iCs w:val="0"/>
        </w:rPr>
        <w:tab/>
      </w:r>
      <w:r>
        <w:rPr>
          <w:i w:val="0"/>
          <w:iCs w:val="0"/>
        </w:rPr>
        <w:fldChar w:fldCharType="begin"/>
      </w:r>
      <w:r>
        <w:rPr>
          <w:i w:val="0"/>
          <w:iCs w:val="0"/>
        </w:rPr>
        <w:instrText xml:space="preserve"> PAGEREF _Toc5990 \h </w:instrText>
      </w:r>
      <w:r>
        <w:rPr>
          <w:i w:val="0"/>
          <w:iCs w:val="0"/>
        </w:rPr>
        <w:fldChar w:fldCharType="separate"/>
      </w:r>
      <w:r>
        <w:rPr>
          <w:i w:val="0"/>
          <w:iCs w:val="0"/>
        </w:rPr>
        <w:t>24</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34"/>
        <w:tabs>
          <w:tab w:val="right" w:leader="dot" w:pos="941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_Toc1217 </w:instrText>
      </w:r>
      <w:r>
        <w:rPr>
          <w:rFonts w:hint="eastAsia" w:ascii="宋体" w:hAnsi="宋体" w:cs="宋体"/>
          <w:i w:val="0"/>
          <w:iCs w:val="0"/>
          <w:szCs w:val="28"/>
        </w:rPr>
        <w:fldChar w:fldCharType="separate"/>
      </w:r>
      <w:r>
        <w:rPr>
          <w:rFonts w:hint="eastAsia" w:ascii="宋体" w:hAnsi="宋体"/>
          <w:bCs/>
          <w:i w:val="0"/>
          <w:iCs w:val="0"/>
          <w:szCs w:val="32"/>
          <w:lang w:val="zh-CN"/>
        </w:rPr>
        <w:t>第七章 投标文件格式</w:t>
      </w:r>
      <w:r>
        <w:rPr>
          <w:i w:val="0"/>
          <w:iCs w:val="0"/>
        </w:rPr>
        <w:tab/>
      </w:r>
      <w:r>
        <w:rPr>
          <w:i w:val="0"/>
          <w:iCs w:val="0"/>
        </w:rPr>
        <w:fldChar w:fldCharType="begin"/>
      </w:r>
      <w:r>
        <w:rPr>
          <w:i w:val="0"/>
          <w:iCs w:val="0"/>
        </w:rPr>
        <w:instrText xml:space="preserve"> PAGEREF _Toc1217 \h </w:instrText>
      </w:r>
      <w:r>
        <w:rPr>
          <w:i w:val="0"/>
          <w:iCs w:val="0"/>
        </w:rPr>
        <w:fldChar w:fldCharType="separate"/>
      </w:r>
      <w:r>
        <w:rPr>
          <w:i w:val="0"/>
          <w:iCs w:val="0"/>
        </w:rPr>
        <w:t>29</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_Toc25959 </w:instrText>
      </w:r>
      <w:r>
        <w:rPr>
          <w:rFonts w:hint="eastAsia" w:ascii="宋体" w:hAnsi="宋体" w:cs="宋体"/>
          <w:i w:val="0"/>
          <w:iCs w:val="0"/>
          <w:szCs w:val="28"/>
        </w:rPr>
        <w:fldChar w:fldCharType="separate"/>
      </w:r>
      <w:r>
        <w:rPr>
          <w:rFonts w:hint="eastAsia" w:ascii="宋体" w:hAnsi="宋体"/>
          <w:bCs/>
          <w:i w:val="0"/>
          <w:iCs w:val="0"/>
          <w:szCs w:val="32"/>
          <w:lang w:val="zh-CN"/>
        </w:rPr>
        <w:t>一．投标函</w:t>
      </w:r>
      <w:r>
        <w:rPr>
          <w:i w:val="0"/>
          <w:iCs w:val="0"/>
        </w:rPr>
        <w:tab/>
      </w:r>
      <w:r>
        <w:rPr>
          <w:i w:val="0"/>
          <w:iCs w:val="0"/>
        </w:rPr>
        <w:fldChar w:fldCharType="begin"/>
      </w:r>
      <w:r>
        <w:rPr>
          <w:i w:val="0"/>
          <w:iCs w:val="0"/>
        </w:rPr>
        <w:instrText xml:space="preserve"> PAGEREF _Toc25959 \h </w:instrText>
      </w:r>
      <w:r>
        <w:rPr>
          <w:i w:val="0"/>
          <w:iCs w:val="0"/>
        </w:rPr>
        <w:fldChar w:fldCharType="separate"/>
      </w:r>
      <w:r>
        <w:rPr>
          <w:i w:val="0"/>
          <w:iCs w:val="0"/>
        </w:rPr>
        <w:t>30</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_Toc23937 </w:instrText>
      </w:r>
      <w:r>
        <w:rPr>
          <w:rFonts w:hint="eastAsia" w:ascii="宋体" w:hAnsi="宋体" w:cs="宋体"/>
          <w:i w:val="0"/>
          <w:iCs w:val="0"/>
          <w:szCs w:val="28"/>
        </w:rPr>
        <w:fldChar w:fldCharType="separate"/>
      </w:r>
      <w:r>
        <w:rPr>
          <w:rFonts w:hint="eastAsia" w:ascii="宋体" w:hAnsi="宋体"/>
          <w:bCs/>
          <w:i w:val="0"/>
          <w:iCs w:val="0"/>
          <w:szCs w:val="32"/>
          <w:lang w:val="zh-CN"/>
        </w:rPr>
        <w:t>二．投标人情况综合简介</w:t>
      </w:r>
      <w:r>
        <w:rPr>
          <w:i w:val="0"/>
          <w:iCs w:val="0"/>
        </w:rPr>
        <w:tab/>
      </w:r>
      <w:r>
        <w:rPr>
          <w:i w:val="0"/>
          <w:iCs w:val="0"/>
        </w:rPr>
        <w:fldChar w:fldCharType="begin"/>
      </w:r>
      <w:r>
        <w:rPr>
          <w:i w:val="0"/>
          <w:iCs w:val="0"/>
        </w:rPr>
        <w:instrText xml:space="preserve"> PAGEREF _Toc23937 \h </w:instrText>
      </w:r>
      <w:r>
        <w:rPr>
          <w:i w:val="0"/>
          <w:iCs w:val="0"/>
        </w:rPr>
        <w:fldChar w:fldCharType="separate"/>
      </w:r>
      <w:r>
        <w:rPr>
          <w:i w:val="0"/>
          <w:iCs w:val="0"/>
        </w:rPr>
        <w:t>31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_Toc10885 </w:instrText>
      </w:r>
      <w:r>
        <w:rPr>
          <w:rFonts w:hint="eastAsia" w:ascii="宋体" w:hAnsi="宋体" w:cs="宋体"/>
          <w:i w:val="0"/>
          <w:iCs w:val="0"/>
          <w:szCs w:val="28"/>
        </w:rPr>
        <w:fldChar w:fldCharType="separate"/>
      </w:r>
      <w:r>
        <w:rPr>
          <w:rFonts w:hint="eastAsia" w:ascii="宋体" w:hAnsi="宋体"/>
          <w:bCs/>
          <w:i w:val="0"/>
          <w:iCs w:val="0"/>
          <w:szCs w:val="32"/>
          <w:lang w:val="zh-CN"/>
        </w:rPr>
        <w:t>三．开标一览表</w:t>
      </w:r>
      <w:r>
        <w:rPr>
          <w:i w:val="0"/>
          <w:iCs w:val="0"/>
        </w:rPr>
        <w:tab/>
      </w:r>
      <w:r>
        <w:rPr>
          <w:i w:val="0"/>
          <w:iCs w:val="0"/>
        </w:rPr>
        <w:fldChar w:fldCharType="begin"/>
      </w:r>
      <w:r>
        <w:rPr>
          <w:i w:val="0"/>
          <w:iCs w:val="0"/>
        </w:rPr>
        <w:instrText xml:space="preserve"> PAGEREF _Toc10885 \h </w:instrText>
      </w:r>
      <w:r>
        <w:rPr>
          <w:i w:val="0"/>
          <w:iCs w:val="0"/>
        </w:rPr>
        <w:fldChar w:fldCharType="separate"/>
      </w:r>
      <w:r>
        <w:rPr>
          <w:i w:val="0"/>
          <w:iCs w:val="0"/>
        </w:rPr>
        <w:t>32</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_Toc22836 </w:instrText>
      </w:r>
      <w:r>
        <w:rPr>
          <w:rFonts w:hint="eastAsia" w:ascii="宋体" w:hAnsi="宋体" w:cs="宋体"/>
          <w:i w:val="0"/>
          <w:iCs w:val="0"/>
          <w:szCs w:val="28"/>
        </w:rPr>
        <w:fldChar w:fldCharType="separate"/>
      </w:r>
      <w:r>
        <w:rPr>
          <w:rFonts w:hint="eastAsia" w:ascii="宋体" w:hAnsi="宋体"/>
          <w:bCs/>
          <w:i w:val="0"/>
          <w:iCs w:val="0"/>
          <w:szCs w:val="32"/>
          <w:lang w:val="zh-CN"/>
        </w:rPr>
        <w:t>四．投标响应表</w:t>
      </w:r>
      <w:r>
        <w:rPr>
          <w:i w:val="0"/>
          <w:iCs w:val="0"/>
        </w:rPr>
        <w:tab/>
      </w:r>
      <w:r>
        <w:rPr>
          <w:i w:val="0"/>
          <w:iCs w:val="0"/>
        </w:rPr>
        <w:fldChar w:fldCharType="begin"/>
      </w:r>
      <w:r>
        <w:rPr>
          <w:i w:val="0"/>
          <w:iCs w:val="0"/>
        </w:rPr>
        <w:instrText xml:space="preserve"> PAGEREF _Toc22836 \h </w:instrText>
      </w:r>
      <w:r>
        <w:rPr>
          <w:i w:val="0"/>
          <w:iCs w:val="0"/>
        </w:rPr>
        <w:fldChar w:fldCharType="separate"/>
      </w:r>
      <w:r>
        <w:rPr>
          <w:i w:val="0"/>
          <w:iCs w:val="0"/>
        </w:rPr>
        <w:t>33</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_Toc10981 </w:instrText>
      </w:r>
      <w:r>
        <w:rPr>
          <w:rFonts w:hint="eastAsia" w:ascii="宋体" w:hAnsi="宋体" w:cs="宋体"/>
          <w:i w:val="0"/>
          <w:iCs w:val="0"/>
          <w:szCs w:val="28"/>
        </w:rPr>
        <w:fldChar w:fldCharType="separate"/>
      </w:r>
      <w:r>
        <w:rPr>
          <w:rFonts w:hint="eastAsia" w:hAnsi="宋体"/>
          <w:i w:val="0"/>
          <w:iCs w:val="0"/>
        </w:rPr>
        <w:t>五.投标货物及报价表</w:t>
      </w:r>
      <w:r>
        <w:rPr>
          <w:i w:val="0"/>
          <w:iCs w:val="0"/>
        </w:rPr>
        <w:tab/>
      </w:r>
      <w:r>
        <w:rPr>
          <w:i w:val="0"/>
          <w:iCs w:val="0"/>
        </w:rPr>
        <w:fldChar w:fldCharType="begin"/>
      </w:r>
      <w:r>
        <w:rPr>
          <w:i w:val="0"/>
          <w:iCs w:val="0"/>
        </w:rPr>
        <w:instrText xml:space="preserve"> PAGEREF _Toc10981 \h </w:instrText>
      </w:r>
      <w:r>
        <w:rPr>
          <w:i w:val="0"/>
          <w:iCs w:val="0"/>
        </w:rPr>
        <w:fldChar w:fldCharType="separate"/>
      </w:r>
      <w:r>
        <w:rPr>
          <w:i w:val="0"/>
          <w:iCs w:val="0"/>
        </w:rPr>
        <w:t>34</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_Toc32709 </w:instrText>
      </w:r>
      <w:r>
        <w:rPr>
          <w:rFonts w:hint="eastAsia" w:ascii="宋体" w:hAnsi="宋体" w:cs="宋体"/>
          <w:i w:val="0"/>
          <w:iCs w:val="0"/>
          <w:szCs w:val="28"/>
        </w:rPr>
        <w:fldChar w:fldCharType="separate"/>
      </w:r>
      <w:r>
        <w:rPr>
          <w:rFonts w:hint="eastAsia" w:ascii="宋体" w:hAnsi="宋体"/>
          <w:bCs/>
          <w:i w:val="0"/>
          <w:iCs w:val="0"/>
          <w:szCs w:val="32"/>
          <w:lang w:val="zh-CN"/>
        </w:rPr>
        <w:t>六．投标授权书</w:t>
      </w:r>
      <w:r>
        <w:rPr>
          <w:i w:val="0"/>
          <w:iCs w:val="0"/>
        </w:rPr>
        <w:tab/>
      </w:r>
      <w:r>
        <w:rPr>
          <w:i w:val="0"/>
          <w:iCs w:val="0"/>
        </w:rPr>
        <w:fldChar w:fldCharType="begin"/>
      </w:r>
      <w:r>
        <w:rPr>
          <w:i w:val="0"/>
          <w:iCs w:val="0"/>
        </w:rPr>
        <w:instrText xml:space="preserve"> PAGEREF _Toc32709 \h </w:instrText>
      </w:r>
      <w:r>
        <w:rPr>
          <w:i w:val="0"/>
          <w:iCs w:val="0"/>
        </w:rPr>
        <w:fldChar w:fldCharType="separate"/>
      </w:r>
      <w:r>
        <w:rPr>
          <w:i w:val="0"/>
          <w:iCs w:val="0"/>
        </w:rPr>
        <w:t>35</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_Toc14779 </w:instrText>
      </w:r>
      <w:r>
        <w:rPr>
          <w:rFonts w:hint="eastAsia" w:ascii="宋体" w:hAnsi="宋体" w:cs="宋体"/>
          <w:i w:val="0"/>
          <w:iCs w:val="0"/>
          <w:szCs w:val="28"/>
        </w:rPr>
        <w:fldChar w:fldCharType="separate"/>
      </w:r>
      <w:r>
        <w:rPr>
          <w:rFonts w:hint="eastAsia" w:ascii="宋体" w:hAnsi="宋体" w:cs="宋体"/>
          <w:bCs/>
          <w:i w:val="0"/>
          <w:iCs w:val="0"/>
          <w:szCs w:val="28"/>
          <w:lang w:val="zh-CN"/>
        </w:rPr>
        <w:t>七．投标人信用承诺</w:t>
      </w:r>
      <w:r>
        <w:rPr>
          <w:i w:val="0"/>
          <w:iCs w:val="0"/>
        </w:rPr>
        <w:tab/>
      </w:r>
      <w:r>
        <w:rPr>
          <w:i w:val="0"/>
          <w:iCs w:val="0"/>
        </w:rPr>
        <w:fldChar w:fldCharType="begin"/>
      </w:r>
      <w:r>
        <w:rPr>
          <w:i w:val="0"/>
          <w:iCs w:val="0"/>
        </w:rPr>
        <w:instrText xml:space="preserve"> PAGEREF _Toc14779 \h </w:instrText>
      </w:r>
      <w:r>
        <w:rPr>
          <w:i w:val="0"/>
          <w:iCs w:val="0"/>
        </w:rPr>
        <w:fldChar w:fldCharType="separate"/>
      </w:r>
      <w:r>
        <w:rPr>
          <w:i w:val="0"/>
          <w:iCs w:val="0"/>
        </w:rPr>
        <w:t>36</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_Toc24259 </w:instrText>
      </w:r>
      <w:r>
        <w:rPr>
          <w:rFonts w:hint="eastAsia" w:ascii="宋体" w:hAnsi="宋体" w:cs="宋体"/>
          <w:i w:val="0"/>
          <w:iCs w:val="0"/>
          <w:szCs w:val="28"/>
        </w:rPr>
        <w:fldChar w:fldCharType="separate"/>
      </w:r>
      <w:r>
        <w:rPr>
          <w:rFonts w:hint="eastAsia" w:ascii="宋体" w:hAnsi="宋体" w:cs="宋体"/>
          <w:bCs/>
          <w:i w:val="0"/>
          <w:iCs w:val="0"/>
          <w:szCs w:val="28"/>
          <w:lang w:val="zh-CN"/>
        </w:rPr>
        <w:t>八. 投标业绩</w:t>
      </w:r>
      <w:r>
        <w:rPr>
          <w:i w:val="0"/>
          <w:iCs w:val="0"/>
        </w:rPr>
        <w:tab/>
      </w:r>
      <w:r>
        <w:rPr>
          <w:i w:val="0"/>
          <w:iCs w:val="0"/>
        </w:rPr>
        <w:fldChar w:fldCharType="begin"/>
      </w:r>
      <w:r>
        <w:rPr>
          <w:i w:val="0"/>
          <w:iCs w:val="0"/>
        </w:rPr>
        <w:instrText xml:space="preserve"> PAGEREF _Toc24259 \h </w:instrText>
      </w:r>
      <w:r>
        <w:rPr>
          <w:i w:val="0"/>
          <w:iCs w:val="0"/>
        </w:rPr>
        <w:fldChar w:fldCharType="separate"/>
      </w:r>
      <w:r>
        <w:rPr>
          <w:i w:val="0"/>
          <w:iCs w:val="0"/>
        </w:rPr>
        <w:t>37</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_Toc16606 </w:instrText>
      </w:r>
      <w:r>
        <w:rPr>
          <w:rFonts w:hint="eastAsia" w:ascii="宋体" w:hAnsi="宋体" w:cs="宋体"/>
          <w:i w:val="0"/>
          <w:iCs w:val="0"/>
          <w:szCs w:val="28"/>
        </w:rPr>
        <w:fldChar w:fldCharType="separate"/>
      </w:r>
      <w:r>
        <w:rPr>
          <w:rFonts w:hint="eastAsia" w:ascii="宋体" w:hAnsi="宋体"/>
          <w:bCs/>
          <w:i w:val="0"/>
          <w:iCs w:val="0"/>
          <w:szCs w:val="32"/>
          <w:lang w:val="zh-CN"/>
        </w:rPr>
        <w:t>九．有关证明文件</w:t>
      </w:r>
      <w:r>
        <w:rPr>
          <w:i w:val="0"/>
          <w:iCs w:val="0"/>
        </w:rPr>
        <w:tab/>
      </w:r>
      <w:r>
        <w:rPr>
          <w:i w:val="0"/>
          <w:iCs w:val="0"/>
        </w:rPr>
        <w:fldChar w:fldCharType="begin"/>
      </w:r>
      <w:r>
        <w:rPr>
          <w:i w:val="0"/>
          <w:iCs w:val="0"/>
        </w:rPr>
        <w:instrText xml:space="preserve"> PAGEREF _Toc16606 \h </w:instrText>
      </w:r>
      <w:r>
        <w:rPr>
          <w:i w:val="0"/>
          <w:iCs w:val="0"/>
        </w:rPr>
        <w:fldChar w:fldCharType="separate"/>
      </w:r>
      <w:r>
        <w:rPr>
          <w:i w:val="0"/>
          <w:iCs w:val="0"/>
        </w:rPr>
        <w:t>38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_Toc2343 </w:instrText>
      </w:r>
      <w:r>
        <w:rPr>
          <w:rFonts w:hint="eastAsia" w:ascii="宋体" w:hAnsi="宋体" w:cs="宋体"/>
          <w:i w:val="0"/>
          <w:iCs w:val="0"/>
          <w:szCs w:val="28"/>
        </w:rPr>
        <w:fldChar w:fldCharType="separate"/>
      </w:r>
      <w:r>
        <w:rPr>
          <w:rFonts w:hint="eastAsia" w:ascii="宋体" w:hAnsi="宋体"/>
          <w:bCs/>
          <w:i w:val="0"/>
          <w:iCs w:val="0"/>
          <w:szCs w:val="32"/>
          <w:lang w:val="zh-CN"/>
        </w:rPr>
        <w:t>十．生产厂商授权书</w:t>
      </w:r>
      <w:r>
        <w:rPr>
          <w:i w:val="0"/>
          <w:iCs w:val="0"/>
        </w:rPr>
        <w:tab/>
      </w:r>
      <w:r>
        <w:rPr>
          <w:i w:val="0"/>
          <w:iCs w:val="0"/>
        </w:rPr>
        <w:fldChar w:fldCharType="begin"/>
      </w:r>
      <w:r>
        <w:rPr>
          <w:i w:val="0"/>
          <w:iCs w:val="0"/>
        </w:rPr>
        <w:instrText xml:space="preserve"> PAGEREF _Toc2343 \h </w:instrText>
      </w:r>
      <w:r>
        <w:rPr>
          <w:i w:val="0"/>
          <w:iCs w:val="0"/>
        </w:rPr>
        <w:fldChar w:fldCharType="separate"/>
      </w:r>
      <w:r>
        <w:rPr>
          <w:i w:val="0"/>
          <w:iCs w:val="0"/>
        </w:rPr>
        <w:t>38</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_Toc32245 </w:instrText>
      </w:r>
      <w:r>
        <w:rPr>
          <w:rFonts w:hint="eastAsia" w:ascii="宋体" w:hAnsi="宋体" w:cs="宋体"/>
          <w:i w:val="0"/>
          <w:iCs w:val="0"/>
          <w:szCs w:val="28"/>
        </w:rPr>
        <w:fldChar w:fldCharType="separate"/>
      </w:r>
      <w:r>
        <w:rPr>
          <w:rFonts w:hint="eastAsia" w:ascii="宋体" w:hAnsi="宋体"/>
          <w:bCs/>
          <w:i w:val="0"/>
          <w:iCs w:val="0"/>
          <w:szCs w:val="32"/>
          <w:lang w:val="zh-CN"/>
        </w:rPr>
        <w:t>十一．项目人员配备</w:t>
      </w:r>
      <w:r>
        <w:rPr>
          <w:i w:val="0"/>
          <w:iCs w:val="0"/>
        </w:rPr>
        <w:tab/>
      </w:r>
      <w:r>
        <w:rPr>
          <w:i w:val="0"/>
          <w:iCs w:val="0"/>
        </w:rPr>
        <w:fldChar w:fldCharType="begin"/>
      </w:r>
      <w:r>
        <w:rPr>
          <w:i w:val="0"/>
          <w:iCs w:val="0"/>
        </w:rPr>
        <w:instrText xml:space="preserve"> PAGEREF _Toc32245 \h </w:instrText>
      </w:r>
      <w:r>
        <w:rPr>
          <w:i w:val="0"/>
          <w:iCs w:val="0"/>
        </w:rPr>
        <w:fldChar w:fldCharType="separate"/>
      </w:r>
      <w:r>
        <w:rPr>
          <w:i w:val="0"/>
          <w:iCs w:val="0"/>
        </w:rPr>
        <w:t>39</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_Toc10816 </w:instrText>
      </w:r>
      <w:r>
        <w:rPr>
          <w:rFonts w:hint="eastAsia" w:ascii="宋体" w:hAnsi="宋体" w:cs="宋体"/>
          <w:i w:val="0"/>
          <w:iCs w:val="0"/>
          <w:szCs w:val="28"/>
        </w:rPr>
        <w:fldChar w:fldCharType="separate"/>
      </w:r>
      <w:r>
        <w:rPr>
          <w:rFonts w:hint="eastAsia" w:ascii="宋体" w:hAnsi="宋体"/>
          <w:bCs/>
          <w:i w:val="0"/>
          <w:iCs w:val="0"/>
          <w:szCs w:val="32"/>
          <w:lang w:val="zh-CN"/>
        </w:rPr>
        <w:t>十二．售后服务体系与检测方案</w:t>
      </w:r>
      <w:r>
        <w:rPr>
          <w:i w:val="0"/>
          <w:iCs w:val="0"/>
        </w:rPr>
        <w:tab/>
      </w:r>
      <w:r>
        <w:rPr>
          <w:i w:val="0"/>
          <w:iCs w:val="0"/>
        </w:rPr>
        <w:fldChar w:fldCharType="begin"/>
      </w:r>
      <w:r>
        <w:rPr>
          <w:i w:val="0"/>
          <w:iCs w:val="0"/>
        </w:rPr>
        <w:instrText xml:space="preserve"> PAGEREF _Toc10816 \h </w:instrText>
      </w:r>
      <w:r>
        <w:rPr>
          <w:i w:val="0"/>
          <w:iCs w:val="0"/>
        </w:rPr>
        <w:fldChar w:fldCharType="separate"/>
      </w:r>
      <w:r>
        <w:rPr>
          <w:i w:val="0"/>
          <w:iCs w:val="0"/>
        </w:rPr>
        <w:t>41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_Toc27185 </w:instrText>
      </w:r>
      <w:r>
        <w:rPr>
          <w:rFonts w:hint="eastAsia" w:ascii="宋体" w:hAnsi="宋体" w:cs="宋体"/>
          <w:i w:val="0"/>
          <w:iCs w:val="0"/>
          <w:szCs w:val="28"/>
        </w:rPr>
        <w:fldChar w:fldCharType="separate"/>
      </w:r>
      <w:r>
        <w:rPr>
          <w:rFonts w:hint="eastAsia" w:ascii="宋体" w:hAnsi="宋体"/>
          <w:bCs/>
          <w:i w:val="0"/>
          <w:iCs w:val="0"/>
          <w:szCs w:val="32"/>
          <w:lang w:val="zh-CN"/>
        </w:rPr>
        <w:t>十三．产品质量承诺</w:t>
      </w:r>
      <w:r>
        <w:rPr>
          <w:i w:val="0"/>
          <w:iCs w:val="0"/>
        </w:rPr>
        <w:tab/>
      </w:r>
      <w:r>
        <w:rPr>
          <w:i w:val="0"/>
          <w:iCs w:val="0"/>
        </w:rPr>
        <w:fldChar w:fldCharType="begin"/>
      </w:r>
      <w:r>
        <w:rPr>
          <w:i w:val="0"/>
          <w:iCs w:val="0"/>
        </w:rPr>
        <w:instrText xml:space="preserve"> PAGEREF _Toc27185 \h </w:instrText>
      </w:r>
      <w:r>
        <w:rPr>
          <w:i w:val="0"/>
          <w:iCs w:val="0"/>
        </w:rPr>
        <w:fldChar w:fldCharType="separate"/>
      </w:r>
      <w:r>
        <w:rPr>
          <w:i w:val="0"/>
          <w:iCs w:val="0"/>
        </w:rPr>
        <w:t>41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pStyle w:val="25"/>
        <w:tabs>
          <w:tab w:val="right" w:leader="dot" w:pos="9413"/>
          <w:tab w:val="clear" w:pos="9403"/>
        </w:tabs>
        <w:rPr>
          <w:i w:val="0"/>
          <w:iCs w:val="0"/>
        </w:rPr>
      </w:pPr>
      <w:r>
        <w:rPr>
          <w:rFonts w:hint="eastAsia" w:ascii="宋体" w:hAnsi="宋体" w:cs="宋体"/>
          <w:i w:val="0"/>
          <w:iCs w:val="0"/>
          <w:color w:val="000000" w:themeColor="text1"/>
          <w:szCs w:val="28"/>
          <w14:textFill>
            <w14:solidFill>
              <w14:schemeClr w14:val="tx1"/>
            </w14:solidFill>
          </w14:textFill>
        </w:rPr>
        <w:fldChar w:fldCharType="begin"/>
      </w:r>
      <w:r>
        <w:rPr>
          <w:rFonts w:hint="eastAsia" w:ascii="宋体" w:hAnsi="宋体" w:cs="宋体"/>
          <w:i w:val="0"/>
          <w:iCs w:val="0"/>
          <w:szCs w:val="28"/>
        </w:rPr>
        <w:instrText xml:space="preserve"> HYPERLINK \l _Toc27926 </w:instrText>
      </w:r>
      <w:r>
        <w:rPr>
          <w:rFonts w:hint="eastAsia" w:ascii="宋体" w:hAnsi="宋体" w:cs="宋体"/>
          <w:i w:val="0"/>
          <w:iCs w:val="0"/>
          <w:szCs w:val="28"/>
        </w:rPr>
        <w:fldChar w:fldCharType="separate"/>
      </w:r>
      <w:r>
        <w:rPr>
          <w:rFonts w:hint="eastAsia" w:ascii="宋体" w:hAnsi="宋体"/>
          <w:bCs/>
          <w:i w:val="0"/>
          <w:iCs w:val="0"/>
          <w:szCs w:val="32"/>
          <w:lang w:val="zh-CN"/>
        </w:rPr>
        <w:t>十五．投标保证金退还声明</w:t>
      </w:r>
      <w:r>
        <w:rPr>
          <w:i w:val="0"/>
          <w:iCs w:val="0"/>
        </w:rPr>
        <w:tab/>
      </w:r>
      <w:r>
        <w:rPr>
          <w:i w:val="0"/>
          <w:iCs w:val="0"/>
        </w:rPr>
        <w:fldChar w:fldCharType="begin"/>
      </w:r>
      <w:r>
        <w:rPr>
          <w:i w:val="0"/>
          <w:iCs w:val="0"/>
        </w:rPr>
        <w:instrText xml:space="preserve"> PAGEREF _Toc27926 \h </w:instrText>
      </w:r>
      <w:r>
        <w:rPr>
          <w:i w:val="0"/>
          <w:iCs w:val="0"/>
        </w:rPr>
        <w:fldChar w:fldCharType="separate"/>
      </w:r>
      <w:r>
        <w:rPr>
          <w:i w:val="0"/>
          <w:iCs w:val="0"/>
        </w:rPr>
        <w:t>41</w:t>
      </w:r>
      <w:r>
        <w:rPr>
          <w:i w:val="0"/>
          <w:iCs w:val="0"/>
        </w:rPr>
        <w:fldChar w:fldCharType="end"/>
      </w:r>
      <w:r>
        <w:rPr>
          <w:rFonts w:hint="eastAsia" w:ascii="宋体" w:hAnsi="宋体" w:cs="宋体"/>
          <w:i w:val="0"/>
          <w:iCs w:val="0"/>
          <w:color w:val="000000" w:themeColor="text1"/>
          <w:szCs w:val="28"/>
          <w14:textFill>
            <w14:solidFill>
              <w14:schemeClr w14:val="tx1"/>
            </w14:solidFill>
          </w14:textFill>
        </w:rPr>
        <w:fldChar w:fldCharType="end"/>
      </w:r>
    </w:p>
    <w:p>
      <w:pPr>
        <w:spacing w:line="440" w:lineRule="exact"/>
        <w:outlineLvl w:val="0"/>
        <w:rPr>
          <w:rFonts w:ascii="宋体" w:hAnsi="宋体" w:cs="宋体"/>
          <w:color w:val="000000" w:themeColor="text1"/>
          <w:sz w:val="28"/>
          <w:szCs w:val="28"/>
          <w14:textFill>
            <w14:solidFill>
              <w14:schemeClr w14:val="tx1"/>
            </w14:solidFill>
          </w14:textFill>
        </w:rPr>
      </w:pPr>
      <w:r>
        <w:rPr>
          <w:rFonts w:hint="eastAsia" w:ascii="宋体" w:hAnsi="宋体" w:cs="宋体"/>
          <w:i w:val="0"/>
          <w:iCs w:val="0"/>
          <w:color w:val="000000" w:themeColor="text1"/>
          <w:szCs w:val="28"/>
          <w14:textFill>
            <w14:solidFill>
              <w14:schemeClr w14:val="tx1"/>
            </w14:solidFill>
          </w14:textFill>
        </w:rPr>
        <w:fldChar w:fldCharType="end"/>
      </w:r>
      <w:bookmarkStart w:id="3" w:name="_Toc7187420"/>
    </w:p>
    <w:p>
      <w:pPr>
        <w:spacing w:line="440" w:lineRule="exact"/>
        <w:outlineLvl w:val="0"/>
        <w:rPr>
          <w:rFonts w:ascii="宋体" w:hAnsi="宋体" w:cs="宋体"/>
          <w:color w:val="000000" w:themeColor="text1"/>
          <w:sz w:val="28"/>
          <w:szCs w:val="28"/>
          <w14:textFill>
            <w14:solidFill>
              <w14:schemeClr w14:val="tx1"/>
            </w14:solidFill>
          </w14:textFill>
        </w:rPr>
      </w:pPr>
    </w:p>
    <w:p>
      <w:pPr>
        <w:spacing w:line="440" w:lineRule="exact"/>
        <w:jc w:val="center"/>
        <w:outlineLvl w:val="0"/>
        <w:rPr>
          <w:rFonts w:ascii="宋体" w:hAnsi="宋体" w:cs="宋体"/>
          <w:color w:val="000000" w:themeColor="text1"/>
          <w:sz w:val="28"/>
          <w:szCs w:val="28"/>
          <w14:textFill>
            <w14:solidFill>
              <w14:schemeClr w14:val="tx1"/>
            </w14:solidFill>
          </w14:textFill>
        </w:rPr>
      </w:pPr>
    </w:p>
    <w:p>
      <w:pPr>
        <w:spacing w:line="360" w:lineRule="auto"/>
        <w:outlineLvl w:val="0"/>
        <w:rPr>
          <w:rFonts w:ascii="宋体" w:hAnsi="宋体"/>
          <w:b/>
          <w:bCs/>
          <w:color w:val="000000" w:themeColor="text1"/>
          <w:sz w:val="32"/>
          <w:szCs w:val="32"/>
          <w14:textFill>
            <w14:solidFill>
              <w14:schemeClr w14:val="tx1"/>
            </w14:solidFill>
          </w14:textFill>
        </w:rPr>
      </w:pPr>
    </w:p>
    <w:p>
      <w:pPr>
        <w:spacing w:line="360" w:lineRule="auto"/>
        <w:jc w:val="center"/>
        <w:outlineLvl w:val="0"/>
        <w:rPr>
          <w:rFonts w:ascii="宋体" w:hAnsi="宋体"/>
          <w:b/>
          <w:bCs/>
          <w:color w:val="000000" w:themeColor="text1"/>
          <w:sz w:val="32"/>
          <w:szCs w:val="32"/>
          <w14:textFill>
            <w14:solidFill>
              <w14:schemeClr w14:val="tx1"/>
            </w14:solidFill>
          </w14:textFill>
        </w:rPr>
      </w:pPr>
      <w:bookmarkStart w:id="4" w:name="_Toc16593"/>
      <w:r>
        <w:rPr>
          <w:rFonts w:hint="eastAsia" w:ascii="宋体" w:hAnsi="宋体"/>
          <w:b/>
          <w:bCs/>
          <w:color w:val="000000" w:themeColor="text1"/>
          <w:sz w:val="32"/>
          <w:szCs w:val="32"/>
          <w14:textFill>
            <w14:solidFill>
              <w14:schemeClr w14:val="tx1"/>
            </w14:solidFill>
          </w14:textFill>
        </w:rPr>
        <w:t>第一章 投标邀请（招标公告）</w:t>
      </w:r>
      <w:bookmarkEnd w:id="3"/>
      <w:bookmarkEnd w:id="4"/>
    </w:p>
    <w:p>
      <w:pPr>
        <w:tabs>
          <w:tab w:val="left" w:pos="2410"/>
        </w:tabs>
        <w:autoSpaceDE w:val="0"/>
        <w:autoSpaceDN w:val="0"/>
        <w:adjustRightInd w:val="0"/>
        <w:snapToGrid w:val="0"/>
        <w:spacing w:line="360" w:lineRule="auto"/>
        <w:ind w:firstLine="480" w:firstLineChars="200"/>
        <w:rPr>
          <w:rFonts w:ascii="宋体" w:hAnsi="DotumChe" w:cs="宋体"/>
          <w:b/>
          <w:color w:val="000000" w:themeColor="text1"/>
          <w:spacing w:val="20"/>
          <w:kern w:val="0"/>
          <w:sz w:val="24"/>
          <w:szCs w:val="24"/>
          <w14:textFill>
            <w14:solidFill>
              <w14:schemeClr w14:val="tx1"/>
            </w14:solidFill>
          </w14:textFill>
        </w:rPr>
      </w:pPr>
      <w:bookmarkStart w:id="5" w:name="_Hlt510343011"/>
      <w:bookmarkStart w:id="6" w:name="_Hlt510342998"/>
      <w:r>
        <w:rPr>
          <w:rFonts w:hint="eastAsia" w:ascii="宋体" w:hAnsi="宋体"/>
          <w:color w:val="000000" w:themeColor="text1"/>
          <w:sz w:val="24"/>
          <w:szCs w:val="24"/>
          <w14:textFill>
            <w14:solidFill>
              <w14:schemeClr w14:val="tx1"/>
            </w14:solidFill>
          </w14:textFill>
        </w:rPr>
        <w:t>合肥文旅博览集团有限公司（以下简称：文旅博览集团）受</w:t>
      </w:r>
      <w:r>
        <w:rPr>
          <w:rFonts w:hint="eastAsia" w:ascii="宋体" w:hAnsi="宋体"/>
          <w:b/>
          <w:color w:val="000000" w:themeColor="text1"/>
          <w:sz w:val="24"/>
          <w:szCs w:val="24"/>
          <w14:textFill>
            <w14:solidFill>
              <w14:schemeClr w14:val="tx1"/>
            </w14:solidFill>
          </w14:textFill>
        </w:rPr>
        <w:t>合肥体育产业投资有限公司</w:t>
      </w:r>
      <w:r>
        <w:rPr>
          <w:rFonts w:hint="eastAsia" w:ascii="宋体" w:hAnsi="宋体"/>
          <w:color w:val="000000" w:themeColor="text1"/>
          <w:sz w:val="24"/>
          <w:szCs w:val="24"/>
          <w14:textFill>
            <w14:solidFill>
              <w14:schemeClr w14:val="tx1"/>
            </w14:solidFill>
          </w14:textFill>
        </w:rPr>
        <w:t>委托，现对</w:t>
      </w:r>
      <w:r>
        <w:rPr>
          <w:rFonts w:hint="eastAsia" w:ascii="宋体" w:hAnsi="宋体"/>
          <w:b/>
          <w:bCs/>
          <w:color w:val="000000" w:themeColor="text1"/>
          <w:sz w:val="24"/>
          <w:szCs w:val="24"/>
          <w14:textFill>
            <w14:solidFill>
              <w14:schemeClr w14:val="tx1"/>
            </w14:solidFill>
          </w14:textFill>
        </w:rPr>
        <w:t>合肥体育中心游泳馆及天鹅湖全民健身中心游泳馆202</w:t>
      </w:r>
      <w:r>
        <w:rPr>
          <w:rFonts w:hint="eastAsia" w:ascii="宋体" w:hAnsi="宋体"/>
          <w:b/>
          <w:bCs/>
          <w:color w:val="000000" w:themeColor="text1"/>
          <w:sz w:val="24"/>
          <w:szCs w:val="24"/>
          <w:lang w:val="en-US" w:eastAsia="zh-CN"/>
          <w14:textFill>
            <w14:solidFill>
              <w14:schemeClr w14:val="tx1"/>
            </w14:solidFill>
          </w14:textFill>
        </w:rPr>
        <w:t>2</w:t>
      </w:r>
      <w:r>
        <w:rPr>
          <w:rFonts w:hint="eastAsia" w:ascii="宋体" w:hAnsi="宋体"/>
          <w:b/>
          <w:bCs/>
          <w:color w:val="000000" w:themeColor="text1"/>
          <w:sz w:val="24"/>
          <w:szCs w:val="24"/>
          <w14:textFill>
            <w14:solidFill>
              <w14:schemeClr w14:val="tx1"/>
            </w14:solidFill>
          </w14:textFill>
        </w:rPr>
        <w:t>年度水处理药剂及水质养护服务项目</w:t>
      </w:r>
      <w:r>
        <w:rPr>
          <w:rFonts w:hint="eastAsia" w:ascii="宋体" w:hAnsi="宋体"/>
          <w:bCs/>
          <w:color w:val="000000" w:themeColor="text1"/>
          <w:sz w:val="24"/>
          <w:szCs w:val="24"/>
          <w14:textFill>
            <w14:solidFill>
              <w14:schemeClr w14:val="tx1"/>
            </w14:solidFill>
          </w14:textFill>
        </w:rPr>
        <w:t>（以下简称：本项目）</w:t>
      </w:r>
      <w:r>
        <w:rPr>
          <w:rFonts w:hint="eastAsia" w:ascii="宋体" w:hAnsi="宋体"/>
          <w:color w:val="000000" w:themeColor="text1"/>
          <w:sz w:val="24"/>
          <w:szCs w:val="24"/>
          <w14:textFill>
            <w14:solidFill>
              <w14:schemeClr w14:val="tx1"/>
            </w14:solidFill>
          </w14:textFill>
        </w:rPr>
        <w:t>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tabs>
          <w:tab w:val="left" w:pos="2410"/>
        </w:tabs>
        <w:autoSpaceDE w:val="0"/>
        <w:autoSpaceDN w:val="0"/>
        <w:adjustRightInd w:val="0"/>
        <w:snapToGrid w:val="0"/>
        <w:spacing w:line="360" w:lineRule="auto"/>
        <w:ind w:firstLine="240" w:firstLineChars="100"/>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1.项目编号：2021WLBLZB00</w:t>
      </w:r>
      <w:r>
        <w:rPr>
          <w:rFonts w:hint="eastAsia" w:ascii="宋体" w:hAnsi="宋体"/>
          <w:color w:val="000000" w:themeColor="text1"/>
          <w:sz w:val="24"/>
          <w:szCs w:val="18"/>
          <w:lang w:val="en-US" w:eastAsia="zh-CN"/>
          <w14:textFill>
            <w14:solidFill>
              <w14:schemeClr w14:val="tx1"/>
            </w14:solidFill>
          </w14:textFill>
        </w:rPr>
        <w:t>101</w:t>
      </w:r>
      <w:r>
        <w:rPr>
          <w:rFonts w:hint="eastAsia" w:ascii="宋体" w:hAnsi="宋体"/>
          <w:color w:val="000000" w:themeColor="text1"/>
          <w:sz w:val="24"/>
          <w:szCs w:val="18"/>
          <w14:textFill>
            <w14:solidFill>
              <w14:schemeClr w14:val="tx1"/>
            </w14:solidFill>
          </w14:textFill>
        </w:rPr>
        <w:t>号</w:t>
      </w:r>
    </w:p>
    <w:p>
      <w:pPr>
        <w:autoSpaceDE w:val="0"/>
        <w:autoSpaceDN w:val="0"/>
        <w:adjustRightInd w:val="0"/>
        <w:spacing w:line="360" w:lineRule="auto"/>
        <w:ind w:left="1681" w:leftChars="114" w:hanging="1442" w:hangingChars="601"/>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2.项目名称：合肥体育中心游泳馆及天鹅湖全民健身中心游泳馆202</w:t>
      </w:r>
      <w:r>
        <w:rPr>
          <w:rFonts w:hint="eastAsia" w:ascii="宋体" w:hAnsi="宋体"/>
          <w:color w:val="000000" w:themeColor="text1"/>
          <w:sz w:val="24"/>
          <w:szCs w:val="18"/>
          <w:lang w:val="en-US" w:eastAsia="zh-CN"/>
          <w14:textFill>
            <w14:solidFill>
              <w14:schemeClr w14:val="tx1"/>
            </w14:solidFill>
          </w14:textFill>
        </w:rPr>
        <w:t>2</w:t>
      </w:r>
      <w:r>
        <w:rPr>
          <w:rFonts w:hint="eastAsia" w:ascii="宋体" w:hAnsi="宋体"/>
          <w:color w:val="000000" w:themeColor="text1"/>
          <w:sz w:val="24"/>
          <w:szCs w:val="18"/>
          <w14:textFill>
            <w14:solidFill>
              <w14:schemeClr w14:val="tx1"/>
            </w14:solidFill>
          </w14:textFill>
        </w:rPr>
        <w:t>年度水处理药剂及水质养护服务</w:t>
      </w:r>
    </w:p>
    <w:p>
      <w:pPr>
        <w:autoSpaceDE w:val="0"/>
        <w:autoSpaceDN w:val="0"/>
        <w:adjustRightInd w:val="0"/>
        <w:spacing w:line="360" w:lineRule="auto"/>
        <w:ind w:left="1681" w:leftChars="114" w:hanging="1442" w:hangingChars="601"/>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3.项目地点：合肥体育中心</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4.项目单位：合肥体育产业投资有限公司 </w:t>
      </w:r>
    </w:p>
    <w:p>
      <w:pPr>
        <w:autoSpaceDE w:val="0"/>
        <w:autoSpaceDN w:val="0"/>
        <w:adjustRightInd w:val="0"/>
        <w:spacing w:line="360" w:lineRule="auto"/>
        <w:ind w:firstLine="2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5.项目概况：详见招标需求</w:t>
      </w:r>
    </w:p>
    <w:p>
      <w:pPr>
        <w:autoSpaceDE w:val="0"/>
        <w:autoSpaceDN w:val="0"/>
        <w:adjustRightInd w:val="0"/>
        <w:spacing w:line="360" w:lineRule="auto"/>
        <w:ind w:firstLine="200"/>
        <w:jc w:val="left"/>
        <w:rPr>
          <w:rFonts w:ascii="宋体" w:hAnsi="宋体"/>
          <w:color w:val="auto"/>
          <w:sz w:val="24"/>
          <w:szCs w:val="18"/>
        </w:rPr>
      </w:pPr>
      <w:r>
        <w:rPr>
          <w:rFonts w:hint="eastAsia" w:ascii="宋体" w:hAnsi="宋体"/>
          <w:color w:val="000000" w:themeColor="text1"/>
          <w:sz w:val="24"/>
          <w:szCs w:val="18"/>
          <w14:textFill>
            <w14:solidFill>
              <w14:schemeClr w14:val="tx1"/>
            </w14:solidFill>
          </w14:textFill>
        </w:rPr>
        <w:t>6.资金来源</w:t>
      </w:r>
      <w:r>
        <w:rPr>
          <w:rFonts w:hint="eastAsia" w:ascii="宋体" w:hAnsi="宋体"/>
          <w:color w:val="auto"/>
          <w:sz w:val="24"/>
          <w:szCs w:val="18"/>
        </w:rPr>
        <w:t>：委托人自筹</w:t>
      </w:r>
    </w:p>
    <w:p>
      <w:pPr>
        <w:autoSpaceDE w:val="0"/>
        <w:autoSpaceDN w:val="0"/>
        <w:adjustRightInd w:val="0"/>
        <w:spacing w:line="360" w:lineRule="auto"/>
        <w:ind w:firstLine="200"/>
        <w:jc w:val="left"/>
        <w:rPr>
          <w:rFonts w:ascii="宋体" w:hAnsi="宋体"/>
          <w:color w:val="auto"/>
          <w:sz w:val="24"/>
          <w:szCs w:val="18"/>
        </w:rPr>
      </w:pPr>
      <w:r>
        <w:rPr>
          <w:rFonts w:hint="eastAsia" w:ascii="宋体" w:hAnsi="宋体"/>
          <w:color w:val="auto"/>
          <w:sz w:val="24"/>
          <w:szCs w:val="18"/>
        </w:rPr>
        <w:t>7.项目概算:贰拾万元整（</w:t>
      </w:r>
      <w:r>
        <w:rPr>
          <w:rFonts w:ascii="宋体" w:hAnsi="宋体"/>
          <w:color w:val="auto"/>
          <w:sz w:val="24"/>
          <w:szCs w:val="18"/>
        </w:rPr>
        <w:t>¥</w:t>
      </w:r>
      <w:r>
        <w:rPr>
          <w:rFonts w:hint="eastAsia" w:ascii="宋体" w:hAnsi="宋体"/>
          <w:color w:val="auto"/>
          <w:sz w:val="24"/>
          <w:szCs w:val="18"/>
          <w:lang w:val="en-US" w:eastAsia="zh-CN"/>
        </w:rPr>
        <w:t>200</w:t>
      </w:r>
      <w:r>
        <w:rPr>
          <w:rFonts w:hint="eastAsia" w:ascii="宋体" w:hAnsi="宋体"/>
          <w:color w:val="auto"/>
          <w:sz w:val="24"/>
          <w:szCs w:val="18"/>
        </w:rPr>
        <w:t>,000</w:t>
      </w:r>
      <w:r>
        <w:rPr>
          <w:rFonts w:ascii="宋体" w:hAnsi="宋体"/>
          <w:color w:val="auto"/>
          <w:sz w:val="24"/>
          <w:szCs w:val="18"/>
        </w:rPr>
        <w:t>.00</w:t>
      </w:r>
      <w:r>
        <w:rPr>
          <w:rFonts w:hint="eastAsia" w:ascii="宋体" w:hAnsi="宋体"/>
          <w:color w:val="auto"/>
          <w:sz w:val="24"/>
          <w:szCs w:val="18"/>
        </w:rPr>
        <w:t>）</w:t>
      </w:r>
    </w:p>
    <w:p>
      <w:pPr>
        <w:autoSpaceDE w:val="0"/>
        <w:autoSpaceDN w:val="0"/>
        <w:adjustRightInd w:val="0"/>
        <w:spacing w:line="360" w:lineRule="auto"/>
        <w:ind w:firstLine="200"/>
        <w:jc w:val="left"/>
        <w:rPr>
          <w:rFonts w:ascii="宋体" w:hAnsi="宋体"/>
          <w:color w:val="auto"/>
          <w:sz w:val="24"/>
          <w:szCs w:val="18"/>
        </w:rPr>
      </w:pPr>
      <w:r>
        <w:rPr>
          <w:rFonts w:hint="eastAsia" w:ascii="宋体" w:hAnsi="宋体"/>
          <w:color w:val="auto"/>
          <w:sz w:val="24"/>
          <w:szCs w:val="18"/>
        </w:rPr>
        <w:t>8.项目类别：</w:t>
      </w:r>
      <w:r>
        <w:rPr>
          <w:rFonts w:hint="eastAsia" w:ascii="宋体" w:hAnsi="宋体"/>
          <w:color w:val="auto"/>
          <w:sz w:val="24"/>
          <w:szCs w:val="18"/>
          <w:lang w:val="en-US" w:eastAsia="zh-CN"/>
        </w:rPr>
        <w:t>货物</w:t>
      </w:r>
      <w:r>
        <w:rPr>
          <w:rFonts w:hint="eastAsia" w:ascii="宋体" w:hAnsi="宋体"/>
          <w:color w:val="auto"/>
          <w:sz w:val="24"/>
          <w:szCs w:val="18"/>
        </w:rPr>
        <w:t>类</w:t>
      </w:r>
    </w:p>
    <w:p>
      <w:pPr>
        <w:numPr>
          <w:ilvl w:val="0"/>
          <w:numId w:val="4"/>
        </w:numPr>
        <w:autoSpaceDE w:val="0"/>
        <w:autoSpaceDN w:val="0"/>
        <w:adjustRightInd w:val="0"/>
        <w:spacing w:line="360" w:lineRule="auto"/>
        <w:jc w:val="left"/>
        <w:rPr>
          <w:rFonts w:ascii="宋体" w:hAnsi="宋体"/>
          <w:b/>
          <w:bCs/>
          <w:color w:val="auto"/>
          <w:sz w:val="24"/>
          <w:szCs w:val="24"/>
        </w:rPr>
      </w:pPr>
      <w:r>
        <w:rPr>
          <w:rFonts w:hint="eastAsia" w:ascii="宋体" w:hAnsi="宋体"/>
          <w:b/>
          <w:bCs/>
          <w:color w:val="auto"/>
          <w:sz w:val="24"/>
          <w:szCs w:val="24"/>
        </w:rPr>
        <w:t>投标人资格</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1.具有独立承担民事责任的能力；</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2.经营范围须含有水处理药剂或化工经营许可；</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3.具有</w:t>
      </w:r>
      <w:r>
        <w:rPr>
          <w:rFonts w:hint="eastAsia" w:ascii="宋体" w:hAnsi="宋体"/>
          <w:color w:val="auto"/>
          <w:sz w:val="24"/>
          <w:szCs w:val="18"/>
          <w:lang w:val="en-US" w:eastAsia="zh-CN"/>
        </w:rPr>
        <w:t>一</w:t>
      </w:r>
      <w:r>
        <w:rPr>
          <w:rFonts w:hint="eastAsia" w:ascii="宋体" w:hAnsi="宋体"/>
          <w:color w:val="auto"/>
          <w:sz w:val="24"/>
          <w:szCs w:val="18"/>
        </w:rPr>
        <w:t>家及以上游泳馆药剂承包或供应服务业绩；</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4.本项目不接受联合体投标；</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5. 符合下列情形之一：</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6.投标人存在以下不良信用记录情形之一的，不得推荐为中标候选人，不得确定为中标人：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460" w:lineRule="exact"/>
        <w:ind w:firstLine="241" w:firstLineChars="100"/>
        <w:jc w:val="left"/>
        <w:rPr>
          <w:rFonts w:ascii="宋体" w:hAnsi="宋体"/>
          <w:b/>
          <w:bCs/>
          <w:color w:val="auto"/>
          <w:sz w:val="24"/>
          <w:szCs w:val="24"/>
        </w:rPr>
      </w:pPr>
      <w:r>
        <w:rPr>
          <w:rFonts w:hint="eastAsia" w:ascii="宋体" w:hAnsi="宋体"/>
          <w:b/>
          <w:bCs/>
          <w:color w:val="auto"/>
          <w:sz w:val="24"/>
          <w:szCs w:val="24"/>
        </w:rPr>
        <w:t>三、投标报名</w:t>
      </w:r>
    </w:p>
    <w:p>
      <w:pPr>
        <w:autoSpaceDE w:val="0"/>
        <w:autoSpaceDN w:val="0"/>
        <w:adjustRightInd w:val="0"/>
        <w:spacing w:line="360" w:lineRule="auto"/>
        <w:ind w:firstLine="200"/>
        <w:jc w:val="left"/>
        <w:rPr>
          <w:rFonts w:ascii="宋体" w:hAnsi="宋体" w:cs="宋体"/>
          <w:color w:val="auto"/>
          <w:kern w:val="0"/>
          <w:sz w:val="24"/>
          <w:szCs w:val="24"/>
          <w:u w:val="single"/>
        </w:rPr>
      </w:pPr>
      <w:r>
        <w:rPr>
          <w:rFonts w:hint="eastAsia" w:ascii="宋体" w:hAnsi="宋体"/>
          <w:bCs/>
          <w:color w:val="auto"/>
          <w:sz w:val="24"/>
          <w:szCs w:val="24"/>
        </w:rPr>
        <w:t>1.</w:t>
      </w:r>
      <w:r>
        <w:rPr>
          <w:rFonts w:hint="eastAsia" w:ascii="宋体" w:hAnsi="宋体" w:cs="宋体"/>
          <w:color w:val="auto"/>
          <w:kern w:val="0"/>
          <w:sz w:val="24"/>
          <w:szCs w:val="24"/>
        </w:rPr>
        <w:t>报名日期：</w:t>
      </w:r>
      <w:r>
        <w:rPr>
          <w:rFonts w:hint="eastAsia" w:ascii="宋体" w:hAnsi="宋体" w:cs="宋体"/>
          <w:color w:val="auto"/>
          <w:kern w:val="0"/>
          <w:sz w:val="24"/>
          <w:szCs w:val="24"/>
          <w:u w:val="single"/>
        </w:rPr>
        <w:t>202</w:t>
      </w:r>
      <w:r>
        <w:rPr>
          <w:rFonts w:hint="eastAsia" w:ascii="宋体" w:hAnsi="宋体" w:cs="宋体"/>
          <w:color w:val="auto"/>
          <w:kern w:val="0"/>
          <w:sz w:val="24"/>
          <w:szCs w:val="24"/>
          <w:u w:val="single"/>
          <w:lang w:val="en-US" w:eastAsia="zh-CN"/>
        </w:rPr>
        <w:t>2</w:t>
      </w:r>
      <w:r>
        <w:rPr>
          <w:rFonts w:hint="eastAsia" w:ascii="宋体" w:hAnsi="宋体" w:cs="宋体"/>
          <w:color w:val="auto"/>
          <w:kern w:val="0"/>
          <w:sz w:val="24"/>
          <w:szCs w:val="24"/>
          <w:u w:val="single"/>
        </w:rPr>
        <w:t>年</w:t>
      </w:r>
      <w:r>
        <w:rPr>
          <w:rFonts w:hint="eastAsia" w:ascii="宋体" w:hAnsi="宋体" w:cs="宋体"/>
          <w:color w:val="auto"/>
          <w:kern w:val="0"/>
          <w:sz w:val="24"/>
          <w:szCs w:val="24"/>
          <w:u w:val="single"/>
          <w:lang w:val="en-US" w:eastAsia="zh-CN"/>
        </w:rPr>
        <w:t>1</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12</w:t>
      </w:r>
      <w:r>
        <w:rPr>
          <w:rFonts w:hint="eastAsia" w:ascii="宋体" w:hAnsi="宋体" w:cs="宋体"/>
          <w:color w:val="auto"/>
          <w:kern w:val="0"/>
          <w:sz w:val="24"/>
          <w:szCs w:val="24"/>
          <w:u w:val="single"/>
        </w:rPr>
        <w:t>日上午09:00至202</w:t>
      </w:r>
      <w:r>
        <w:rPr>
          <w:rFonts w:hint="eastAsia" w:ascii="宋体" w:hAnsi="宋体" w:cs="宋体"/>
          <w:color w:val="auto"/>
          <w:kern w:val="0"/>
          <w:sz w:val="24"/>
          <w:szCs w:val="24"/>
          <w:u w:val="single"/>
          <w:lang w:val="en-US" w:eastAsia="zh-CN"/>
        </w:rPr>
        <w:t>2</w:t>
      </w:r>
      <w:r>
        <w:rPr>
          <w:rFonts w:hint="eastAsia" w:ascii="宋体" w:hAnsi="宋体" w:cs="宋体"/>
          <w:color w:val="auto"/>
          <w:kern w:val="0"/>
          <w:sz w:val="24"/>
          <w:szCs w:val="24"/>
          <w:u w:val="single"/>
        </w:rPr>
        <w:t>年</w:t>
      </w:r>
      <w:r>
        <w:rPr>
          <w:rFonts w:hint="eastAsia" w:ascii="宋体" w:hAnsi="宋体" w:cs="宋体"/>
          <w:color w:val="auto"/>
          <w:kern w:val="0"/>
          <w:sz w:val="24"/>
          <w:szCs w:val="24"/>
          <w:u w:val="single"/>
          <w:lang w:val="en-US" w:eastAsia="zh-CN"/>
        </w:rPr>
        <w:t>1</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18</w:t>
      </w:r>
      <w:r>
        <w:rPr>
          <w:rFonts w:hint="eastAsia" w:ascii="宋体" w:hAnsi="宋体" w:cs="宋体"/>
          <w:color w:val="auto"/>
          <w:kern w:val="0"/>
          <w:sz w:val="24"/>
          <w:szCs w:val="24"/>
          <w:u w:val="single"/>
        </w:rPr>
        <w:t>日下午17:00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2.领取方法：登录合肥文旅博览集团有限公司网站</w:t>
      </w:r>
      <w:r>
        <w:rPr>
          <w:rFonts w:ascii="宋体" w:hAnsi="宋体" w:cs="宋体"/>
          <w:color w:val="auto"/>
          <w:kern w:val="0"/>
          <w:sz w:val="24"/>
          <w:szCs w:val="24"/>
        </w:rPr>
        <w:t>http://www.zwzcgl.com</w:t>
      </w:r>
      <w:r>
        <w:rPr>
          <w:rFonts w:hint="eastAsia" w:ascii="宋体" w:hAnsi="宋体" w:cs="宋体"/>
          <w:color w:val="auto"/>
          <w:kern w:val="0"/>
          <w:sz w:val="24"/>
          <w:szCs w:val="24"/>
        </w:rPr>
        <w:t>下载标书</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color w:val="auto"/>
          <w:u w:val="single"/>
        </w:rPr>
        <w:fldChar w:fldCharType="begin"/>
      </w:r>
      <w:r>
        <w:rPr>
          <w:color w:val="auto"/>
          <w:u w:val="single"/>
        </w:rPr>
        <w:instrText xml:space="preserve"> HYPERLINK "mailto:120156961@qq.com" </w:instrText>
      </w:r>
      <w:r>
        <w:rPr>
          <w:color w:val="auto"/>
          <w:u w:val="single"/>
        </w:rPr>
        <w:fldChar w:fldCharType="separate"/>
      </w:r>
      <w:r>
        <w:rPr>
          <w:rFonts w:hint="eastAsia" w:cs="宋体"/>
          <w:color w:val="auto"/>
          <w:kern w:val="0"/>
          <w:sz w:val="24"/>
          <w:szCs w:val="24"/>
          <w:u w:val="single"/>
          <w:lang w:val="en-US" w:eastAsia="zh-CN"/>
        </w:rPr>
        <w:t>361923526</w:t>
      </w:r>
      <w:r>
        <w:rPr>
          <w:rFonts w:hint="eastAsia" w:cs="宋体"/>
          <w:color w:val="auto"/>
          <w:kern w:val="0"/>
          <w:sz w:val="24"/>
          <w:szCs w:val="24"/>
          <w:u w:val="single"/>
        </w:rPr>
        <w:t>@qq.com</w:t>
      </w:r>
      <w:r>
        <w:rPr>
          <w:rFonts w:cs="宋体"/>
          <w:color w:val="auto"/>
          <w:kern w:val="0"/>
          <w:sz w:val="24"/>
          <w:szCs w:val="24"/>
          <w:u w:val="single"/>
        </w:rPr>
        <w:fldChar w:fldCharType="end"/>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四、投标保证金</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五、开标时间及地点</w:t>
      </w:r>
    </w:p>
    <w:p>
      <w:pPr>
        <w:autoSpaceDE w:val="0"/>
        <w:autoSpaceDN w:val="0"/>
        <w:adjustRightInd w:val="0"/>
        <w:spacing w:line="360" w:lineRule="auto"/>
        <w:ind w:firstLine="200"/>
        <w:jc w:val="left"/>
        <w:rPr>
          <w:rFonts w:ascii="宋体" w:hAnsi="宋体" w:cs="宋体"/>
          <w:color w:val="auto"/>
          <w:kern w:val="0"/>
          <w:sz w:val="24"/>
          <w:szCs w:val="24"/>
          <w:u w:val="single"/>
        </w:rPr>
      </w:pPr>
      <w:r>
        <w:rPr>
          <w:rFonts w:hint="eastAsia" w:ascii="宋体" w:hAnsi="宋体" w:cs="宋体"/>
          <w:color w:val="auto"/>
          <w:kern w:val="0"/>
          <w:sz w:val="24"/>
          <w:szCs w:val="24"/>
        </w:rPr>
        <w:t>1.开标时间：</w:t>
      </w:r>
      <w:r>
        <w:rPr>
          <w:rFonts w:hint="eastAsia" w:ascii="宋体" w:hAnsi="宋体" w:cs="宋体"/>
          <w:color w:val="auto"/>
          <w:kern w:val="0"/>
          <w:sz w:val="24"/>
          <w:szCs w:val="24"/>
          <w:u w:val="single"/>
        </w:rPr>
        <w:t>202</w:t>
      </w:r>
      <w:r>
        <w:rPr>
          <w:rFonts w:hint="eastAsia" w:ascii="宋体" w:hAnsi="宋体" w:cs="宋体"/>
          <w:color w:val="auto"/>
          <w:kern w:val="0"/>
          <w:sz w:val="24"/>
          <w:szCs w:val="24"/>
          <w:u w:val="single"/>
          <w:lang w:val="en-US" w:eastAsia="zh-CN"/>
        </w:rPr>
        <w:t>2</w:t>
      </w:r>
      <w:r>
        <w:rPr>
          <w:rFonts w:hint="eastAsia" w:ascii="宋体" w:hAnsi="宋体" w:cs="宋体"/>
          <w:color w:val="auto"/>
          <w:kern w:val="0"/>
          <w:sz w:val="24"/>
          <w:szCs w:val="24"/>
          <w:u w:val="single"/>
        </w:rPr>
        <w:t>年</w:t>
      </w:r>
      <w:r>
        <w:rPr>
          <w:rFonts w:hint="eastAsia" w:ascii="宋体" w:hAnsi="宋体" w:cs="宋体"/>
          <w:color w:val="auto"/>
          <w:kern w:val="0"/>
          <w:sz w:val="24"/>
          <w:szCs w:val="24"/>
          <w:u w:val="single"/>
          <w:lang w:val="en-US" w:eastAsia="zh-CN"/>
        </w:rPr>
        <w:t>1</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20</w:t>
      </w:r>
      <w:r>
        <w:rPr>
          <w:rFonts w:hint="eastAsia" w:ascii="宋体" w:hAnsi="宋体" w:cs="宋体"/>
          <w:color w:val="auto"/>
          <w:kern w:val="0"/>
          <w:sz w:val="24"/>
          <w:szCs w:val="24"/>
          <w:u w:val="single"/>
        </w:rPr>
        <w:t>日</w:t>
      </w:r>
      <w:r>
        <w:rPr>
          <w:rFonts w:hint="eastAsia" w:ascii="宋体" w:hAnsi="宋体" w:cs="宋体"/>
          <w:color w:val="auto"/>
          <w:kern w:val="0"/>
          <w:sz w:val="24"/>
          <w:szCs w:val="24"/>
          <w:u w:val="single"/>
          <w:lang w:val="en-US" w:eastAsia="zh-CN"/>
        </w:rPr>
        <w:t>15</w:t>
      </w:r>
      <w:r>
        <w:rPr>
          <w:rFonts w:hint="eastAsia"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0</w:t>
      </w:r>
      <w:r>
        <w:rPr>
          <w:rFonts w:hint="eastAsia" w:ascii="宋体" w:hAnsi="宋体" w:cs="宋体"/>
          <w:color w:val="auto"/>
          <w:kern w:val="0"/>
          <w:sz w:val="24"/>
          <w:szCs w:val="24"/>
          <w:u w:val="single"/>
        </w:rPr>
        <w:t>0</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2.开标地点：合肥市蜀山区习友路与茂荫路交口投资大厦2楼</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多功能厅</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六、投标截止时间</w:t>
      </w:r>
    </w:p>
    <w:p>
      <w:pPr>
        <w:autoSpaceDE w:val="0"/>
        <w:autoSpaceDN w:val="0"/>
        <w:adjustRightInd w:val="0"/>
        <w:spacing w:line="360" w:lineRule="auto"/>
        <w:ind w:firstLine="200"/>
        <w:jc w:val="left"/>
        <w:rPr>
          <w:rFonts w:hint="eastAsia" w:ascii="宋体" w:hAnsi="宋体" w:cs="宋体"/>
          <w:color w:val="auto"/>
          <w:kern w:val="0"/>
          <w:sz w:val="24"/>
          <w:szCs w:val="24"/>
          <w:u w:val="single"/>
          <w:lang w:val="en-US" w:eastAsia="zh-CN"/>
        </w:rPr>
      </w:pPr>
      <w:r>
        <w:rPr>
          <w:rFonts w:hint="eastAsia" w:ascii="宋体" w:hAnsi="宋体" w:cs="宋体"/>
          <w:color w:val="auto"/>
          <w:kern w:val="0"/>
          <w:sz w:val="24"/>
          <w:szCs w:val="24"/>
          <w:u w:val="single"/>
        </w:rPr>
        <w:t>2021年</w:t>
      </w:r>
      <w:r>
        <w:rPr>
          <w:rFonts w:hint="eastAsia" w:ascii="宋体" w:hAnsi="宋体" w:cs="宋体"/>
          <w:color w:val="auto"/>
          <w:kern w:val="0"/>
          <w:sz w:val="24"/>
          <w:szCs w:val="24"/>
          <w:u w:val="single"/>
          <w:lang w:val="en-US" w:eastAsia="zh-CN"/>
        </w:rPr>
        <w:t>1</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20</w:t>
      </w:r>
      <w:r>
        <w:rPr>
          <w:rFonts w:hint="eastAsia" w:ascii="宋体" w:hAnsi="宋体" w:cs="宋体"/>
          <w:color w:val="auto"/>
          <w:kern w:val="0"/>
          <w:sz w:val="24"/>
          <w:szCs w:val="24"/>
          <w:u w:val="single"/>
        </w:rPr>
        <w:t>日</w:t>
      </w:r>
      <w:r>
        <w:rPr>
          <w:rFonts w:hint="eastAsia" w:ascii="宋体" w:hAnsi="宋体" w:cs="宋体"/>
          <w:color w:val="auto"/>
          <w:kern w:val="0"/>
          <w:sz w:val="24"/>
          <w:szCs w:val="24"/>
          <w:u w:val="single"/>
          <w:lang w:val="en-US" w:eastAsia="zh-CN"/>
        </w:rPr>
        <w:t>15</w:t>
      </w:r>
      <w:r>
        <w:rPr>
          <w:rFonts w:hint="eastAsia"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00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七、联系方法</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招 标 人：合肥文旅博览集团有限公司</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地    址：合肥市蜀山区习友路与茂荫路交口投资大厦</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联 系 人：</w:t>
      </w:r>
      <w:r>
        <w:rPr>
          <w:rFonts w:hint="eastAsia" w:ascii="宋体" w:hAnsi="宋体" w:cs="宋体"/>
          <w:color w:val="auto"/>
          <w:kern w:val="0"/>
          <w:sz w:val="24"/>
          <w:szCs w:val="24"/>
          <w:lang w:val="en-US" w:eastAsia="zh-CN"/>
        </w:rPr>
        <w:t>汪</w:t>
      </w:r>
      <w:r>
        <w:rPr>
          <w:rFonts w:hint="eastAsia" w:ascii="宋体" w:hAnsi="宋体" w:cs="宋体"/>
          <w:color w:val="auto"/>
          <w:kern w:val="0"/>
          <w:sz w:val="24"/>
          <w:szCs w:val="24"/>
        </w:rPr>
        <w:t>工   电话：0551-63530687</w:t>
      </w: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pStyle w:val="2"/>
      </w:pPr>
    </w:p>
    <w:p>
      <w:pPr>
        <w:autoSpaceDE w:val="0"/>
        <w:autoSpaceDN w:val="0"/>
        <w:adjustRightInd w:val="0"/>
        <w:spacing w:line="360" w:lineRule="auto"/>
        <w:ind w:firstLine="3833" w:firstLineChars="1193"/>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outlineLvl w:val="0"/>
        <w:rPr>
          <w:rFonts w:ascii="宋体" w:hAnsi="宋体"/>
          <w:b/>
          <w:bCs/>
          <w:color w:val="000000" w:themeColor="text1"/>
          <w:sz w:val="32"/>
          <w:szCs w:val="32"/>
          <w14:textFill>
            <w14:solidFill>
              <w14:schemeClr w14:val="tx1"/>
            </w14:solidFill>
          </w14:textFill>
        </w:rPr>
      </w:pPr>
    </w:p>
    <w:p>
      <w:pPr>
        <w:autoSpaceDE w:val="0"/>
        <w:autoSpaceDN w:val="0"/>
        <w:adjustRightInd w:val="0"/>
        <w:spacing w:line="360" w:lineRule="auto"/>
        <w:jc w:val="center"/>
        <w:outlineLvl w:val="0"/>
        <w:rPr>
          <w:rFonts w:ascii="宋体" w:hAnsi="宋体"/>
          <w:bCs/>
          <w:color w:val="000000" w:themeColor="text1"/>
          <w:sz w:val="24"/>
          <w:szCs w:val="24"/>
          <w14:textFill>
            <w14:solidFill>
              <w14:schemeClr w14:val="tx1"/>
            </w14:solidFill>
          </w14:textFill>
        </w:rPr>
      </w:pPr>
      <w:bookmarkStart w:id="7" w:name="_Toc5822"/>
      <w:r>
        <w:rPr>
          <w:rFonts w:hint="eastAsia" w:ascii="宋体" w:hAnsi="宋体"/>
          <w:b/>
          <w:bCs/>
          <w:color w:val="000000" w:themeColor="text1"/>
          <w:sz w:val="32"/>
          <w:szCs w:val="32"/>
          <w14:textFill>
            <w14:solidFill>
              <w14:schemeClr w14:val="tx1"/>
            </w14:solidFill>
          </w14:textFill>
        </w:rPr>
        <w:t>第二章 投标人须</w:t>
      </w:r>
      <w:bookmarkEnd w:id="5"/>
      <w:r>
        <w:rPr>
          <w:rFonts w:hint="eastAsia" w:ascii="宋体" w:hAnsi="宋体"/>
          <w:b/>
          <w:bCs/>
          <w:color w:val="000000" w:themeColor="text1"/>
          <w:sz w:val="32"/>
          <w:szCs w:val="32"/>
          <w14:textFill>
            <w14:solidFill>
              <w14:schemeClr w14:val="tx1"/>
            </w14:solidFill>
          </w14:textFill>
        </w:rPr>
        <w:t>知</w:t>
      </w:r>
      <w:bookmarkEnd w:id="6"/>
      <w:r>
        <w:rPr>
          <w:rFonts w:hint="eastAsia" w:ascii="宋体" w:hAnsi="宋体"/>
          <w:b/>
          <w:bCs/>
          <w:color w:val="000000" w:themeColor="text1"/>
          <w:sz w:val="32"/>
          <w:szCs w:val="32"/>
          <w14:textFill>
            <w14:solidFill>
              <w14:schemeClr w14:val="tx1"/>
            </w14:solidFill>
          </w14:textFill>
        </w:rPr>
        <w:t>前附表</w:t>
      </w:r>
      <w:bookmarkEnd w:id="7"/>
    </w:p>
    <w:tbl>
      <w:tblPr>
        <w:tblStyle w:val="5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559"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7077" w:type="dxa"/>
            <w:vAlign w:val="center"/>
          </w:tcPr>
          <w:p>
            <w:pPr>
              <w:pStyle w:val="75"/>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65"/>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55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7077" w:type="dxa"/>
            <w:vAlign w:val="center"/>
          </w:tcPr>
          <w:p>
            <w:pPr>
              <w:pStyle w:val="75"/>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p>
        </w:tc>
        <w:tc>
          <w:tcPr>
            <w:tcW w:w="155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委托人</w:t>
            </w:r>
          </w:p>
        </w:tc>
        <w:tc>
          <w:tcPr>
            <w:tcW w:w="7077" w:type="dxa"/>
            <w:vAlign w:val="center"/>
          </w:tcPr>
          <w:p>
            <w:pPr>
              <w:pStyle w:val="75"/>
              <w:widowControl w:val="0"/>
              <w:spacing w:before="0" w:beforeAutospacing="0" w:after="0" w:afterAutospacing="0"/>
              <w:jc w:val="both"/>
              <w:rPr>
                <w:b w:val="0"/>
                <w:bCs w:val="0"/>
                <w:color w:val="000000" w:themeColor="text1"/>
                <w:sz w:val="24"/>
                <w:szCs w:val="18"/>
                <w14:textFill>
                  <w14:solidFill>
                    <w14:schemeClr w14:val="tx1"/>
                  </w14:solidFill>
                </w14:textFill>
              </w:rPr>
            </w:pPr>
            <w:r>
              <w:rPr>
                <w:rFonts w:hint="eastAsia"/>
                <w:b w:val="0"/>
                <w:bCs w:val="0"/>
                <w:color w:val="000000" w:themeColor="text1"/>
                <w:sz w:val="24"/>
                <w:szCs w:val="18"/>
                <w14:textFill>
                  <w14:solidFill>
                    <w14:schemeClr w14:val="tx1"/>
                  </w14:solidFill>
                </w14:textFill>
              </w:rPr>
              <w:t>合肥体育产业投资有限公司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077" w:type="dxa"/>
            <w:vAlign w:val="center"/>
          </w:tcPr>
          <w:p>
            <w:pPr>
              <w:tabs>
                <w:tab w:val="left" w:pos="2410"/>
              </w:tabs>
              <w:autoSpaceDE w:val="0"/>
              <w:autoSpaceDN w:val="0"/>
              <w:adjustRightInd w:val="0"/>
              <w:snapToGrid w:val="0"/>
              <w:spacing w:line="360" w:lineRule="auto"/>
              <w:rPr>
                <w:rFonts w:ascii="宋体" w:hAnsi="宋体"/>
                <w:color w:val="000000" w:themeColor="text1"/>
                <w:kern w:val="0"/>
                <w:sz w:val="24"/>
                <w:szCs w:val="18"/>
                <w14:textFill>
                  <w14:solidFill>
                    <w14:schemeClr w14:val="tx1"/>
                  </w14:solidFill>
                </w14:textFill>
              </w:rPr>
            </w:pPr>
            <w:r>
              <w:rPr>
                <w:rFonts w:hint="eastAsia" w:ascii="宋体" w:hAnsi="宋体"/>
                <w:color w:val="000000" w:themeColor="text1"/>
                <w:kern w:val="0"/>
                <w:sz w:val="24"/>
                <w:szCs w:val="18"/>
                <w14:textFill>
                  <w14:solidFill>
                    <w14:schemeClr w14:val="tx1"/>
                  </w14:solidFill>
                </w14:textFill>
              </w:rPr>
              <w:t>合肥体育中心游泳馆及天鹅湖全民健身中心游泳馆202</w:t>
            </w:r>
            <w:r>
              <w:rPr>
                <w:rFonts w:hint="eastAsia" w:ascii="宋体" w:hAnsi="宋体"/>
                <w:color w:val="000000" w:themeColor="text1"/>
                <w:kern w:val="0"/>
                <w:sz w:val="24"/>
                <w:szCs w:val="18"/>
                <w:lang w:val="en-US" w:eastAsia="zh-CN"/>
                <w14:textFill>
                  <w14:solidFill>
                    <w14:schemeClr w14:val="tx1"/>
                  </w14:solidFill>
                </w14:textFill>
              </w:rPr>
              <w:t>2</w:t>
            </w:r>
            <w:r>
              <w:rPr>
                <w:rFonts w:hint="eastAsia" w:ascii="宋体" w:hAnsi="宋体"/>
                <w:color w:val="000000" w:themeColor="text1"/>
                <w:kern w:val="0"/>
                <w:sz w:val="24"/>
                <w:szCs w:val="18"/>
                <w14:textFill>
                  <w14:solidFill>
                    <w14:schemeClr w14:val="tx1"/>
                  </w14:solidFill>
                </w14:textFill>
              </w:rPr>
              <w:t>年度水处理药剂及水质养护服务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7077" w:type="dxa"/>
            <w:vAlign w:val="center"/>
          </w:tcPr>
          <w:p>
            <w:pPr>
              <w:autoSpaceDE w:val="0"/>
              <w:autoSpaceDN w:val="0"/>
              <w:adjustRightInd w:val="0"/>
              <w:spacing w:line="430" w:lineRule="exact"/>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2021WLBLZB00</w:t>
            </w:r>
            <w:r>
              <w:rPr>
                <w:rFonts w:hint="eastAsia" w:ascii="宋体" w:hAnsi="宋体"/>
                <w:bCs/>
                <w:color w:val="000000" w:themeColor="text1"/>
                <w:sz w:val="24"/>
                <w:lang w:val="en-US" w:eastAsia="zh-CN"/>
                <w14:textFill>
                  <w14:solidFill>
                    <w14:schemeClr w14:val="tx1"/>
                  </w14:solidFill>
                </w14:textFill>
              </w:rPr>
              <w:t>101</w:t>
            </w:r>
            <w:r>
              <w:rPr>
                <w:rFonts w:hint="eastAsia" w:ascii="宋体" w:hAnsi="宋体"/>
                <w:bCs/>
                <w:color w:val="000000" w:themeColor="text1"/>
                <w:sz w:val="24"/>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项目性质</w:t>
            </w:r>
          </w:p>
        </w:tc>
        <w:tc>
          <w:tcPr>
            <w:tcW w:w="7077" w:type="dxa"/>
            <w:vAlign w:val="center"/>
          </w:tcPr>
          <w:p>
            <w:pPr>
              <w:pStyle w:val="75"/>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货物</w:t>
            </w:r>
            <w:r>
              <w:rPr>
                <w:rFonts w:hint="eastAsia"/>
                <w:b w:val="0"/>
                <w:bCs w:val="0"/>
                <w:color w:val="000000" w:themeColor="text1"/>
                <w:sz w:val="24"/>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w:t>
            </w:r>
          </w:p>
        </w:tc>
        <w:tc>
          <w:tcPr>
            <w:tcW w:w="155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资金来源</w:t>
            </w:r>
          </w:p>
        </w:tc>
        <w:tc>
          <w:tcPr>
            <w:tcW w:w="7077" w:type="dxa"/>
            <w:vAlign w:val="center"/>
          </w:tcPr>
          <w:p>
            <w:pPr>
              <w:pStyle w:val="75"/>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 xml:space="preserve">□财政投资    </w:t>
            </w:r>
            <w:r>
              <w:rPr>
                <w:rFonts w:hint="eastAsia"/>
                <w:b w:val="0"/>
                <w:bCs w:val="0"/>
                <w:color w:val="000000" w:themeColor="text1"/>
                <w:sz w:val="24"/>
                <w14:textFill>
                  <w14:solidFill>
                    <w14:schemeClr w14:val="tx1"/>
                  </w14:solidFill>
                </w14:textFill>
              </w:rPr>
              <w:sym w:font="Wingdings" w:char="F0FE"/>
            </w:r>
            <w:r>
              <w:rPr>
                <w:rFonts w:hint="eastAsia"/>
                <w:b w:val="0"/>
                <w:bCs w:val="0"/>
                <w:color w:val="000000" w:themeColor="text1"/>
                <w:sz w:val="24"/>
                <w14:textFill>
                  <w14:solidFill>
                    <w14:schemeClr w14:val="tx1"/>
                  </w14:solidFill>
                </w14:textFill>
              </w:rPr>
              <w:t>委托人</w:t>
            </w:r>
            <w:r>
              <w:rPr>
                <w:rFonts w:hint="eastAsia"/>
                <w:b w:val="0"/>
                <w:color w:val="000000" w:themeColor="text1"/>
                <w:sz w:val="24"/>
                <w14:textFill>
                  <w14:solidFill>
                    <w14:schemeClr w14:val="tx1"/>
                  </w14:solidFill>
                </w14:textFill>
              </w:rPr>
              <w:t xml:space="preserve">自筹    </w:t>
            </w:r>
            <w:r>
              <w:rPr>
                <w:rFonts w:hint="eastAsia"/>
                <w:b w:val="0"/>
                <w:bCs w:val="0"/>
                <w:color w:val="000000" w:themeColor="text1"/>
                <w:sz w:val="24"/>
                <w14:textFill>
                  <w14:solidFill>
                    <w14:schemeClr w14:val="tx1"/>
                  </w14:solidFill>
                </w14:textFill>
              </w:rPr>
              <w:t>□</w:t>
            </w:r>
            <w:r>
              <w:rPr>
                <w:rFonts w:hint="eastAsia"/>
                <w:b w:val="0"/>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w:t>
            </w:r>
          </w:p>
        </w:tc>
        <w:tc>
          <w:tcPr>
            <w:tcW w:w="1559" w:type="dxa"/>
          </w:tcPr>
          <w:p>
            <w:pPr>
              <w:spacing w:line="500" w:lineRule="exact"/>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标段划分</w:t>
            </w:r>
          </w:p>
        </w:tc>
        <w:tc>
          <w:tcPr>
            <w:tcW w:w="7077" w:type="dxa"/>
            <w:vAlign w:val="center"/>
          </w:tcPr>
          <w:p>
            <w:pPr>
              <w:spacing w:line="500" w:lineRule="exact"/>
              <w:ind w:left="841" w:hanging="841"/>
              <w:rPr>
                <w:rFonts w:ascii="宋体" w:hAnsi="宋体"/>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sym w:font="Wingdings" w:char="F0FE"/>
            </w:r>
            <w:r>
              <w:rPr>
                <w:rFonts w:hint="eastAsia" w:ascii="宋体" w:hAnsi="宋体"/>
                <w:color w:val="000000" w:themeColor="text1"/>
                <w:sz w:val="24"/>
                <w14:textFill>
                  <w14:solidFill>
                    <w14:schemeClr w14:val="tx1"/>
                  </w14:solidFill>
                </w14:textFill>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09" w:type="dxa"/>
            <w:vAlign w:val="center"/>
          </w:tcPr>
          <w:p>
            <w:pPr>
              <w:spacing w:line="500" w:lineRule="exact"/>
              <w:ind w:right="102"/>
              <w:jc w:val="center"/>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8</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7077" w:type="dxa"/>
          </w:tcPr>
          <w:p>
            <w:pPr>
              <w:spacing w:line="360" w:lineRule="auto"/>
              <w:rPr>
                <w:rFonts w:ascii="宋体" w:hAnsi="宋体"/>
                <w:bCs/>
                <w:color w:val="auto"/>
                <w:sz w:val="24"/>
              </w:rPr>
            </w:pPr>
            <w:r>
              <w:rPr>
                <w:rFonts w:hint="eastAsia" w:ascii="宋体" w:hAnsi="宋体"/>
                <w:bCs/>
                <w:color w:val="auto"/>
                <w:sz w:val="24"/>
              </w:rPr>
              <w:t>合同签订后30个工作日内，委托人向中标人支付合同金额40%进度款，在202</w:t>
            </w:r>
            <w:r>
              <w:rPr>
                <w:rFonts w:hint="eastAsia" w:ascii="宋体" w:hAnsi="宋体"/>
                <w:bCs/>
                <w:color w:val="auto"/>
                <w:sz w:val="24"/>
                <w:lang w:val="en-US" w:eastAsia="zh-CN"/>
              </w:rPr>
              <w:t>2</w:t>
            </w:r>
            <w:r>
              <w:rPr>
                <w:rFonts w:hint="eastAsia" w:ascii="宋体" w:hAnsi="宋体"/>
                <w:bCs/>
                <w:color w:val="auto"/>
                <w:sz w:val="24"/>
              </w:rPr>
              <w:t>年7月31日前支付合同金额的40%，</w:t>
            </w:r>
            <w:r>
              <w:rPr>
                <w:rFonts w:hint="eastAsia" w:ascii="宋体" w:hAnsi="宋体"/>
                <w:bCs/>
                <w:color w:val="auto"/>
                <w:sz w:val="24"/>
              </w:rPr>
              <w:t>余款20%在合同</w:t>
            </w:r>
            <w:r>
              <w:rPr>
                <w:rFonts w:hint="eastAsia" w:ascii="宋体" w:hAnsi="宋体"/>
                <w:bCs/>
                <w:color w:val="auto"/>
                <w:sz w:val="24"/>
                <w:lang w:val="en-US" w:eastAsia="zh-CN"/>
              </w:rPr>
              <w:t>期限届满且经委托人确认无任何未解决问题</w:t>
            </w:r>
            <w:r>
              <w:rPr>
                <w:rFonts w:hint="eastAsia" w:ascii="宋体" w:hAnsi="宋体"/>
                <w:bCs/>
                <w:color w:val="auto"/>
                <w:sz w:val="24"/>
              </w:rPr>
              <w:t>后30日内支付完毕。</w:t>
            </w:r>
          </w:p>
          <w:p>
            <w:pPr>
              <w:spacing w:line="360" w:lineRule="auto"/>
              <w:rPr>
                <w:rFonts w:ascii="宋体" w:hAnsi="宋体"/>
                <w:bCs/>
                <w:color w:val="auto"/>
                <w:sz w:val="24"/>
              </w:rPr>
            </w:pPr>
            <w:r>
              <w:rPr>
                <w:rFonts w:hint="eastAsia" w:ascii="宋体" w:hAnsi="宋体"/>
                <w:bCs/>
                <w:color w:val="auto"/>
                <w:sz w:val="24"/>
              </w:rPr>
              <w:t>付款前中标人需向委托人交付等额的合法有效的增值税专用发票，否则委托人有权拒绝或者延迟付款，且不承担违约责任。</w:t>
            </w:r>
          </w:p>
          <w:p>
            <w:pPr>
              <w:spacing w:line="360" w:lineRule="auto"/>
              <w:jc w:val="left"/>
              <w:rPr>
                <w:rFonts w:ascii="宋体" w:hAnsi="宋体"/>
                <w:bCs/>
                <w:color w:val="auto"/>
                <w:sz w:val="24"/>
              </w:rPr>
            </w:pPr>
            <w:r>
              <w:rPr>
                <w:rFonts w:hint="eastAsia" w:ascii="宋体" w:hAnsi="宋体"/>
                <w:bCs/>
                <w:color w:val="auto"/>
                <w:sz w:val="24"/>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联合体投标</w:t>
            </w:r>
          </w:p>
        </w:tc>
        <w:tc>
          <w:tcPr>
            <w:tcW w:w="7077" w:type="dxa"/>
            <w:vAlign w:val="center"/>
          </w:tcPr>
          <w:p>
            <w:pPr>
              <w:spacing w:line="500" w:lineRule="exact"/>
              <w:rPr>
                <w:rFonts w:ascii="宋体" w:hAnsi="宋体"/>
                <w:color w:val="auto"/>
                <w:sz w:val="24"/>
              </w:rPr>
            </w:pPr>
            <w:r>
              <w:rPr>
                <w:rFonts w:hint="eastAsia" w:ascii="宋体" w:hAnsi="宋体"/>
                <w:color w:val="auto"/>
                <w:sz w:val="24"/>
              </w:rPr>
              <w:t>□</w:t>
            </w:r>
            <w:r>
              <w:rPr>
                <w:rFonts w:hint="eastAsia" w:ascii="宋体" w:hAnsi="宋体"/>
                <w:color w:val="auto"/>
                <w:sz w:val="24"/>
                <w:lang w:val="zh-CN"/>
              </w:rPr>
              <w:t xml:space="preserve">接受  </w:t>
            </w:r>
            <w:r>
              <w:rPr>
                <w:b/>
                <w:bCs/>
                <w:color w:val="auto"/>
                <w:sz w:val="24"/>
              </w:rPr>
              <w:sym w:font="Wingdings" w:char="F0FE"/>
            </w:r>
            <w:r>
              <w:rPr>
                <w:rFonts w:hint="eastAsia" w:ascii="宋体" w:hAnsi="宋体"/>
                <w:color w:val="auto"/>
                <w:sz w:val="24"/>
              </w:rPr>
              <w:t>不</w:t>
            </w:r>
            <w:r>
              <w:rPr>
                <w:rFonts w:hint="eastAsia" w:ascii="宋体" w:hAnsi="宋体"/>
                <w:color w:val="auto"/>
                <w:sz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投标有效期</w:t>
            </w:r>
          </w:p>
        </w:tc>
        <w:tc>
          <w:tcPr>
            <w:tcW w:w="7077" w:type="dxa"/>
            <w:vAlign w:val="center"/>
          </w:tcPr>
          <w:p>
            <w:pPr>
              <w:spacing w:line="500" w:lineRule="exact"/>
              <w:rPr>
                <w:rFonts w:ascii="宋体" w:hAnsi="宋体"/>
                <w:color w:val="auto"/>
                <w:sz w:val="24"/>
              </w:rPr>
            </w:pPr>
            <w:r>
              <w:rPr>
                <w:rFonts w:ascii="宋体" w:hAnsi="宋体"/>
                <w:color w:val="auto"/>
                <w:sz w:val="24"/>
              </w:rPr>
              <w:t>3</w:t>
            </w:r>
            <w:r>
              <w:rPr>
                <w:rFonts w:hint="eastAsia" w:ascii="宋体" w:hAnsi="宋体"/>
                <w:color w:val="auto"/>
                <w:sz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供货地点</w:t>
            </w:r>
          </w:p>
        </w:tc>
        <w:tc>
          <w:tcPr>
            <w:tcW w:w="7077" w:type="dxa"/>
            <w:vAlign w:val="center"/>
          </w:tcPr>
          <w:p>
            <w:pPr>
              <w:spacing w:line="500" w:lineRule="exact"/>
              <w:rPr>
                <w:rFonts w:ascii="宋体" w:hAnsi="宋体"/>
                <w:color w:val="auto"/>
                <w:kern w:val="0"/>
                <w:sz w:val="24"/>
              </w:rPr>
            </w:pPr>
            <w:r>
              <w:rPr>
                <w:rFonts w:hint="eastAsia" w:ascii="宋体" w:hAnsi="宋体"/>
                <w:color w:val="auto"/>
                <w:kern w:val="0"/>
                <w:sz w:val="24"/>
              </w:rPr>
              <w:t>合肥体育中心游泳馆和天鹅湖全民健身中心游泳馆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供货期限</w:t>
            </w:r>
          </w:p>
        </w:tc>
        <w:tc>
          <w:tcPr>
            <w:tcW w:w="7077" w:type="dxa"/>
            <w:vAlign w:val="center"/>
          </w:tcPr>
          <w:p>
            <w:pPr>
              <w:autoSpaceDE w:val="0"/>
              <w:autoSpaceDN w:val="0"/>
              <w:adjustRightInd w:val="0"/>
              <w:spacing w:line="440" w:lineRule="exact"/>
              <w:jc w:val="left"/>
              <w:rPr>
                <w:rFonts w:hint="eastAsia" w:ascii="宋体" w:hAnsi="宋体" w:eastAsia="宋体" w:cs="宋体"/>
                <w:b/>
                <w:color w:val="auto"/>
                <w:kern w:val="0"/>
                <w:sz w:val="24"/>
                <w:lang w:eastAsia="zh-CN"/>
              </w:rPr>
            </w:pPr>
            <w:r>
              <w:rPr>
                <w:rFonts w:hint="eastAsia" w:ascii="宋体" w:hAnsi="宋体"/>
                <w:color w:val="auto"/>
                <w:sz w:val="24"/>
              </w:rPr>
              <w:t>合肥体育中心游泳馆</w:t>
            </w:r>
            <w:r>
              <w:rPr>
                <w:rFonts w:hint="eastAsia" w:ascii="宋体" w:hAnsi="宋体"/>
                <w:color w:val="auto"/>
                <w:sz w:val="24"/>
                <w:lang w:eastAsia="zh-CN"/>
              </w:rPr>
              <w:t>、</w:t>
            </w:r>
            <w:r>
              <w:rPr>
                <w:rFonts w:hint="eastAsia" w:ascii="宋体" w:hAnsi="宋体"/>
                <w:color w:val="auto"/>
                <w:sz w:val="24"/>
              </w:rPr>
              <w:t>天鹅湖全民健身中心游泳馆：自合同签订之日起一年</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踏勘现场</w:t>
            </w:r>
          </w:p>
        </w:tc>
        <w:tc>
          <w:tcPr>
            <w:tcW w:w="7077" w:type="dxa"/>
            <w:vAlign w:val="center"/>
          </w:tcPr>
          <w:p>
            <w:pPr>
              <w:spacing w:line="500" w:lineRule="exact"/>
              <w:rPr>
                <w:rFonts w:ascii="宋体" w:hAnsi="宋体"/>
                <w:color w:val="000000" w:themeColor="text1"/>
                <w:sz w:val="24"/>
                <w:lang w:val="zh-CN"/>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自行踏勘  </w:t>
            </w:r>
            <w:r>
              <w:rPr>
                <w:rFonts w:hint="eastAsia" w:ascii="宋体" w:hAnsi="宋体"/>
                <w:color w:val="000000" w:themeColor="text1"/>
                <w:sz w:val="24"/>
                <w14:textFill>
                  <w14:solidFill>
                    <w14:schemeClr w14:val="tx1"/>
                  </w14:solidFill>
                </w14:textFill>
              </w:rPr>
              <w:t>□招标人</w:t>
            </w:r>
            <w:r>
              <w:rPr>
                <w:rFonts w:hint="eastAsia" w:ascii="宋体" w:hAnsi="宋体"/>
                <w:color w:val="000000" w:themeColor="text1"/>
                <w:sz w:val="24"/>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投标文件</w:t>
            </w:r>
          </w:p>
        </w:tc>
        <w:tc>
          <w:tcPr>
            <w:tcW w:w="7077" w:type="dxa"/>
            <w:vAlign w:val="center"/>
          </w:tcPr>
          <w:p>
            <w:pPr>
              <w:spacing w:line="500" w:lineRule="exact"/>
              <w:rPr>
                <w:b/>
                <w:bCs/>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p>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及地点</w:t>
            </w:r>
          </w:p>
        </w:tc>
        <w:tc>
          <w:tcPr>
            <w:tcW w:w="7077" w:type="dxa"/>
            <w:vAlign w:val="center"/>
          </w:tcPr>
          <w:p>
            <w:pPr>
              <w:spacing w:line="500" w:lineRule="exact"/>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开标时间：</w:t>
            </w:r>
            <w:r>
              <w:rPr>
                <w:rFonts w:hint="eastAsia" w:ascii="宋体" w:hAnsi="宋体"/>
                <w:color w:val="000000" w:themeColor="text1"/>
                <w:sz w:val="24"/>
                <w:lang w:val="zh-CN"/>
                <w14:textFill>
                  <w14:solidFill>
                    <w14:schemeClr w14:val="tx1"/>
                  </w14:solidFill>
                </w14:textFill>
              </w:rPr>
              <w:t>详见招标公告</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开标地点：</w:t>
            </w:r>
            <w:r>
              <w:rPr>
                <w:rFonts w:hint="eastAsia" w:ascii="宋体" w:hAnsi="宋体"/>
                <w:color w:val="000000" w:themeColor="text1"/>
                <w:sz w:val="24"/>
                <w:lang w:val="zh-CN"/>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评标办法</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综合评标法。详见招标文件第五章评标办法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w:t>
            </w:r>
          </w:p>
        </w:tc>
        <w:tc>
          <w:tcPr>
            <w:tcW w:w="1559" w:type="dxa"/>
            <w:vAlign w:val="center"/>
          </w:tcPr>
          <w:p>
            <w:pPr>
              <w:spacing w:line="50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u w:color="FFFFFF"/>
                <w14:textFill>
                  <w14:solidFill>
                    <w14:schemeClr w14:val="tx1"/>
                  </w14:solidFill>
                </w14:textFill>
              </w:rPr>
              <w:t>踏勘</w:t>
            </w:r>
            <w:r>
              <w:rPr>
                <w:rFonts w:hint="eastAsia" w:ascii="宋体" w:hAnsi="宋体"/>
                <w:bCs/>
                <w:color w:val="000000" w:themeColor="text1"/>
                <w:sz w:val="24"/>
                <w14:textFill>
                  <w14:solidFill>
                    <w14:schemeClr w14:val="tx1"/>
                  </w14:solidFill>
                </w14:textFill>
              </w:rPr>
              <w:t>现场</w:t>
            </w:r>
          </w:p>
        </w:tc>
        <w:tc>
          <w:tcPr>
            <w:tcW w:w="7077" w:type="dxa"/>
            <w:vAlign w:val="center"/>
          </w:tcPr>
          <w:p>
            <w:pPr>
              <w:spacing w:line="500" w:lineRule="exact"/>
              <w:rPr>
                <w:rFonts w:ascii="宋体" w:hAnsi="宋体"/>
                <w:color w:val="000000" w:themeColor="text1"/>
                <w:sz w:val="24"/>
                <w:lang w:val="zh-CN"/>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自行</w:t>
            </w:r>
            <w:r>
              <w:rPr>
                <w:rFonts w:hint="eastAsia" w:ascii="宋体" w:hAnsi="宋体"/>
                <w:bCs/>
                <w:color w:val="000000" w:themeColor="text1"/>
                <w:sz w:val="24"/>
                <w:u w:color="FFFFFF"/>
                <w14:textFill>
                  <w14:solidFill>
                    <w14:schemeClr w14:val="tx1"/>
                  </w14:solidFill>
                </w14:textFill>
              </w:rPr>
              <w:t>踏勘</w:t>
            </w:r>
            <w:r>
              <w:rPr>
                <w:rFonts w:hint="eastAsia" w:ascii="宋体" w:hAnsi="宋体"/>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□招标人</w:t>
            </w:r>
            <w:r>
              <w:rPr>
                <w:rFonts w:hint="eastAsia" w:ascii="宋体" w:hAnsi="宋体"/>
                <w:color w:val="000000" w:themeColor="text1"/>
                <w:sz w:val="24"/>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投标保证金金额</w:t>
            </w:r>
          </w:p>
        </w:tc>
        <w:tc>
          <w:tcPr>
            <w:tcW w:w="7077" w:type="dxa"/>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人民币大写：</w:t>
            </w:r>
            <w:r>
              <w:rPr>
                <w:rFonts w:hint="eastAsia" w:ascii="宋体" w:hAnsi="宋体"/>
                <w:color w:val="000000" w:themeColor="text1"/>
                <w:sz w:val="24"/>
                <w:szCs w:val="24"/>
                <w:u w:val="single"/>
                <w:lang w:val="en-US" w:eastAsia="zh-CN"/>
                <w14:textFill>
                  <w14:solidFill>
                    <w14:schemeClr w14:val="tx1"/>
                  </w14:solidFill>
                </w14:textFill>
              </w:rPr>
              <w:t>肆仟</w:t>
            </w:r>
            <w:r>
              <w:rPr>
                <w:rFonts w:hint="eastAsia" w:ascii="宋体" w:hAnsi="宋体"/>
                <w:color w:val="000000" w:themeColor="text1"/>
                <w:sz w:val="24"/>
                <w:szCs w:val="24"/>
                <w:u w:val="single"/>
                <w14:textFill>
                  <w14:solidFill>
                    <w14:schemeClr w14:val="tx1"/>
                  </w14:solidFill>
                </w14:textFill>
              </w:rPr>
              <w:t>元整（￥</w:t>
            </w:r>
            <w:r>
              <w:rPr>
                <w:rFonts w:hint="eastAsia" w:ascii="宋体" w:hAnsi="宋体"/>
                <w:color w:val="000000" w:themeColor="text1"/>
                <w:sz w:val="24"/>
                <w:szCs w:val="24"/>
                <w:u w:val="single"/>
                <w:lang w:val="en-US" w:eastAsia="zh-CN"/>
                <w14:textFill>
                  <w14:solidFill>
                    <w14:schemeClr w14:val="tx1"/>
                  </w14:solidFill>
                </w14:textFill>
              </w:rPr>
              <w:t>4</w:t>
            </w:r>
            <w:r>
              <w:rPr>
                <w:rFonts w:hint="eastAsia" w:ascii="宋体" w:hAnsi="宋体"/>
                <w:color w:val="000000" w:themeColor="text1"/>
                <w:sz w:val="24"/>
                <w:szCs w:val="24"/>
                <w:u w:val="single"/>
                <w14:textFill>
                  <w14:solidFill>
                    <w14:schemeClr w14:val="tx1"/>
                  </w14:solidFill>
                </w14:textFill>
              </w:rPr>
              <w:t>0</w:t>
            </w:r>
            <w:r>
              <w:rPr>
                <w:rFonts w:hint="eastAsia" w:ascii="宋体" w:hAnsi="宋体"/>
                <w:color w:val="000000" w:themeColor="text1"/>
                <w:sz w:val="24"/>
                <w:szCs w:val="24"/>
                <w:u w:val="single"/>
                <w:lang w:val="en-US" w:eastAsia="zh-CN"/>
                <w14:textFill>
                  <w14:solidFill>
                    <w14:schemeClr w14:val="tx1"/>
                  </w14:solidFill>
                </w14:textFill>
              </w:rPr>
              <w:t>0</w:t>
            </w:r>
            <w:r>
              <w:rPr>
                <w:rFonts w:hint="eastAsia" w:ascii="宋体" w:hAnsi="宋体"/>
                <w:color w:val="000000" w:themeColor="text1"/>
                <w:sz w:val="24"/>
                <w:szCs w:val="24"/>
                <w:u w:val="single"/>
                <w14:textFill>
                  <w14:solidFill>
                    <w14:schemeClr w14:val="tx1"/>
                  </w14:solidFill>
                </w14:textFill>
              </w:rPr>
              <w:t>0.00），</w:t>
            </w:r>
            <w:r>
              <w:rPr>
                <w:rFonts w:hint="eastAsia" w:ascii="宋体" w:hAnsi="宋体"/>
                <w:color w:val="000000" w:themeColor="text1"/>
                <w:sz w:val="24"/>
                <w:szCs w:val="24"/>
                <w14:textFill>
                  <w14:solidFill>
                    <w14:schemeClr w14:val="tx1"/>
                  </w14:solidFill>
                </w14:textFill>
              </w:rPr>
              <w:t>投标保证金应当在报名截止时间前足额金额转入本次招标公告指定账号（项目多标的，应向所投标的对应账号交纳），且应当从投标人本单位账号转出。</w:t>
            </w:r>
          </w:p>
          <w:p>
            <w:pPr>
              <w:widowControl/>
              <w:jc w:val="left"/>
              <w:rPr>
                <w:color w:val="000000" w:themeColor="text1"/>
                <w:spacing w:val="-5"/>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投标保证金交纳账号</w:t>
            </w:r>
          </w:p>
        </w:tc>
        <w:tc>
          <w:tcPr>
            <w:tcW w:w="7077" w:type="dxa"/>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单位名称：合肥文旅博览集团有限公司</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开户银行账号：1302010509200182305</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开户银行：中国工商银行合肥望江路支行</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（1）转帐时请备注“××项目投标保证金，并将转账凭证扫描件发送至120156961@qq.com邮箱；</w:t>
            </w:r>
          </w:p>
          <w:p>
            <w:pPr>
              <w:spacing w:line="360" w:lineRule="auto"/>
              <w:rPr>
                <w:color w:val="000000" w:themeColor="text1"/>
                <w:spacing w:val="-5"/>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w:t>
            </w:r>
          </w:p>
        </w:tc>
        <w:tc>
          <w:tcPr>
            <w:tcW w:w="1559" w:type="dxa"/>
            <w:vAlign w:val="center"/>
          </w:tcPr>
          <w:p>
            <w:pPr>
              <w:spacing w:line="500" w:lineRule="exact"/>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履约保证金</w:t>
            </w:r>
          </w:p>
        </w:tc>
        <w:tc>
          <w:tcPr>
            <w:tcW w:w="7077" w:type="dxa"/>
            <w:vAlign w:val="center"/>
          </w:tcPr>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1.履约保证金数额：中标价的</w:t>
            </w:r>
            <w:r>
              <w:rPr>
                <w:rFonts w:hint="eastAsia" w:ascii="宋体" w:hAnsi="宋体"/>
                <w:color w:val="000000" w:themeColor="text1"/>
                <w:sz w:val="24"/>
                <w:szCs w:val="24"/>
                <w:u w:val="single"/>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2.收受方式为：□现金保证 □现金支票 □银行汇票</w:t>
            </w:r>
          </w:p>
          <w:p>
            <w:pPr>
              <w:adjustRightInd w:val="0"/>
              <w:snapToGrid w:val="0"/>
              <w:spacing w:line="360" w:lineRule="auto"/>
              <w:ind w:firstLine="840" w:firstLineChars="3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□银行保函</w:t>
            </w:r>
            <w:r>
              <w:rPr>
                <w:rFonts w:hint="eastAsia" w:ascii="MS Mincho" w:hAnsi="MS Mincho" w:eastAsia="MS Mincho" w:cs="MS Mincho"/>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银行转账 □工程担保  □保证保险</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3.收受人为:□招标人、</w:t>
            </w:r>
            <w:r>
              <w:rPr>
                <w:rFonts w:ascii="宋体" w:hAnsi="宋体"/>
                <w:color w:val="000000" w:themeColor="text1"/>
                <w:sz w:val="24"/>
                <w:szCs w:val="24"/>
                <w14:textFill>
                  <w14:solidFill>
                    <w14:schemeClr w14:val="tx1"/>
                  </w14:solidFill>
                </w14:textFill>
              </w:rPr>
              <w:sym w:font="Wingdings" w:char="F0FE"/>
            </w:r>
            <w:r>
              <w:rPr>
                <w:rFonts w:hint="eastAsia" w:ascii="宋体" w:hAnsi="宋体"/>
                <w:color w:val="000000" w:themeColor="text1"/>
                <w:sz w:val="24"/>
                <w:szCs w:val="24"/>
                <w14:textFill>
                  <w14:solidFill>
                    <w14:schemeClr w14:val="tx1"/>
                  </w14:solidFill>
                </w14:textFill>
              </w:rPr>
              <w:t>委托人</w:t>
            </w:r>
          </w:p>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4.提交时限：合同签订前按规定提交履约保证金，若中标人在规定时限内未提交保证金的，招标人将书面通知中标人，</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日内不能办理的，招标人将有权取消其中标资格。</w:t>
            </w:r>
          </w:p>
          <w:p>
            <w:pPr>
              <w:adjustRightInd w:val="0"/>
              <w:snapToGrid w:val="0"/>
              <w:spacing w:line="44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5.退还：</w:t>
            </w:r>
            <w:r>
              <w:rPr>
                <w:rFonts w:hint="eastAsia" w:ascii="宋体" w:hAnsi="宋体"/>
                <w:color w:val="000000" w:themeColor="text1"/>
                <w:sz w:val="24"/>
                <w:szCs w:val="24"/>
                <w:u w:val="single"/>
                <w14:textFill>
                  <w14:solidFill>
                    <w14:schemeClr w14:val="tx1"/>
                  </w14:solidFill>
                </w14:textFill>
              </w:rPr>
              <w:t>合同履行完成后30日内一次性无息退还。</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p>
          <w:p>
            <w:pPr>
              <w:adjustRightInd w:val="0"/>
              <w:snapToGrid w:val="0"/>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6.如采用银行保函，银行保函由合肥本地银行或在合肥具有分支机构的银行出具的见索即付无条件保函。</w:t>
            </w:r>
          </w:p>
          <w:p>
            <w:pPr>
              <w:spacing w:line="44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7.如采用工程担保，工程担保由注册地在合肥市或在合肥具有分支机构的国有担保公司出具的无条件担保。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业绩要求</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本招标文件中要求的业绩须为:</w:t>
            </w:r>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sym w:font="Wingdings 2" w:char="0052"/>
            </w:r>
            <w:r>
              <w:rPr>
                <w:rFonts w:hint="eastAsia" w:ascii="宋体" w:hAnsi="宋体"/>
                <w:b/>
                <w:bCs/>
                <w:color w:val="000000" w:themeColor="text1"/>
                <w:sz w:val="24"/>
                <w:szCs w:val="24"/>
                <w14:textFill>
                  <w14:solidFill>
                    <w14:schemeClr w14:val="tx1"/>
                  </w14:solidFill>
                </w14:textFill>
              </w:rPr>
              <w:t>已完成的业绩：投标文件中提供业绩合同扫描件。</w:t>
            </w:r>
          </w:p>
          <w:p>
            <w:pPr>
              <w:spacing w:line="50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sym w:font="Wingdings 2" w:char="00A3"/>
            </w:r>
            <w:r>
              <w:rPr>
                <w:rFonts w:hint="eastAsia" w:ascii="宋体" w:hAnsi="宋体"/>
                <w:b/>
                <w:bCs/>
                <w:color w:val="000000" w:themeColor="text1"/>
                <w:sz w:val="24"/>
                <w:szCs w:val="24"/>
                <w14:textFill>
                  <w14:solidFill>
                    <w14:schemeClr w14:val="tx1"/>
                  </w14:solidFill>
                </w14:textFill>
              </w:rPr>
              <w:t>正在履约或已完成的业绩均可：投标文件中提供业绩合同扫描件。</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备注：已签订合同但尚未实施的业绩不予认可。即截至投标截止时间，项目如存在目前尚未开始履约、人员进场但尚未实质性开展、处于暂停等情况的，该业绩不予认可。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w:t>
            </w:r>
          </w:p>
        </w:tc>
        <w:tc>
          <w:tcPr>
            <w:tcW w:w="1559"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本地化服务</w:t>
            </w:r>
          </w:p>
        </w:tc>
        <w:tc>
          <w:tcPr>
            <w:tcW w:w="7077" w:type="dxa"/>
            <w:vAlign w:val="center"/>
          </w:tcPr>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本项目是否要求本地化服务能力：</w:t>
            </w:r>
            <w:r>
              <w:rPr>
                <w:rFonts w:hint="eastAsia" w:ascii="宋体" w:hAnsi="宋体"/>
                <w:b/>
                <w:color w:val="000000" w:themeColor="text1"/>
                <w:sz w:val="24"/>
                <w14:textFill>
                  <w14:solidFill>
                    <w14:schemeClr w14:val="tx1"/>
                  </w14:solidFill>
                </w14:textFill>
              </w:rPr>
              <w:sym w:font="Wingdings" w:char="F0FE"/>
            </w:r>
            <w:r>
              <w:rPr>
                <w:rFonts w:hint="eastAsia" w:ascii="宋体" w:hAnsi="宋体"/>
                <w:b/>
                <w:color w:val="000000" w:themeColor="text1"/>
                <w:sz w:val="24"/>
                <w14:textFill>
                  <w14:solidFill>
                    <w14:schemeClr w14:val="tx1"/>
                  </w14:solidFill>
                </w14:textFill>
              </w:rPr>
              <w:t>要求   □不要求</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本地化服务的能力是指具有下列条件之一：</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1.在本地具有固定的办公场所及人员；</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2.投标人在本地注册成立或者本地有分支机构的；</w:t>
            </w:r>
          </w:p>
          <w:p>
            <w:pPr>
              <w:spacing w:line="500" w:lineRule="exact"/>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3.承诺中标即设立本地化服务机构。</w:t>
            </w:r>
          </w:p>
        </w:tc>
      </w:tr>
    </w:tbl>
    <w:p>
      <w:pPr>
        <w:rPr>
          <w:color w:val="000000" w:themeColor="text1"/>
          <w14:textFill>
            <w14:solidFill>
              <w14:schemeClr w14:val="tx1"/>
            </w14:solidFill>
          </w14:textFill>
        </w:rPr>
      </w:pPr>
      <w:bookmarkStart w:id="8" w:name="_Hlt509650027"/>
      <w:bookmarkEnd w:id="8"/>
      <w:bookmarkStart w:id="9" w:name="_Hlt519045778"/>
      <w:bookmarkEnd w:id="9"/>
      <w:bookmarkStart w:id="10" w:name="_Toc7187421"/>
      <w:bookmarkStart w:id="11" w:name="_Toc459990137"/>
      <w:bookmarkStart w:id="12" w:name="_Toc508363589"/>
    </w:p>
    <w:p>
      <w:pPr>
        <w:pStyle w:val="5"/>
        <w:spacing w:before="0" w:line="500" w:lineRule="exact"/>
        <w:jc w:val="center"/>
        <w:rPr>
          <w:rFonts w:ascii="宋体" w:hAnsi="宋体"/>
          <w:color w:val="000000" w:themeColor="text1"/>
          <w14:textFill>
            <w14:solidFill>
              <w14:schemeClr w14:val="tx1"/>
            </w14:solidFill>
          </w14:textFill>
        </w:rPr>
      </w:pPr>
    </w:p>
    <w:p>
      <w:pPr>
        <w:pStyle w:val="5"/>
        <w:spacing w:before="0" w:line="500" w:lineRule="exact"/>
        <w:jc w:val="center"/>
        <w:rPr>
          <w:rFonts w:ascii="宋体" w:hAnsi="宋体"/>
          <w:color w:val="000000" w:themeColor="text1"/>
          <w14:textFill>
            <w14:solidFill>
              <w14:schemeClr w14:val="tx1"/>
            </w14:solidFill>
          </w14:textFill>
        </w:rPr>
      </w:pPr>
    </w:p>
    <w:p>
      <w:pPr>
        <w:pStyle w:val="5"/>
        <w:spacing w:before="0" w:line="500" w:lineRule="exact"/>
        <w:jc w:val="center"/>
        <w:rPr>
          <w:rFonts w:ascii="宋体" w:hAnsi="宋体"/>
          <w:color w:val="000000" w:themeColor="text1"/>
          <w14:textFill>
            <w14:solidFill>
              <w14:schemeClr w14:val="tx1"/>
            </w14:solidFill>
          </w14:textFill>
        </w:rPr>
      </w:pPr>
    </w:p>
    <w:p>
      <w:pPr>
        <w:pStyle w:val="5"/>
        <w:spacing w:before="0" w:line="500" w:lineRule="exact"/>
        <w:jc w:val="center"/>
        <w:rPr>
          <w:rFonts w:ascii="宋体" w:hAnsi="宋体"/>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spacing w:before="0" w:line="500" w:lineRule="exact"/>
        <w:rPr>
          <w:rFonts w:ascii="宋体" w:hAnsi="宋体"/>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spacing w:before="0" w:line="500" w:lineRule="exact"/>
        <w:jc w:val="center"/>
        <w:rPr>
          <w:rFonts w:ascii="宋体" w:hAnsi="宋体"/>
          <w:color w:val="000000" w:themeColor="text1"/>
          <w14:textFill>
            <w14:solidFill>
              <w14:schemeClr w14:val="tx1"/>
            </w14:solidFill>
          </w14:textFill>
        </w:rPr>
      </w:pPr>
      <w:bookmarkStart w:id="13" w:name="_Toc25871"/>
      <w:r>
        <w:rPr>
          <w:rFonts w:hint="eastAsia" w:ascii="宋体" w:hAnsi="宋体"/>
          <w:color w:val="000000" w:themeColor="text1"/>
          <w14:textFill>
            <w14:solidFill>
              <w14:schemeClr w14:val="tx1"/>
            </w14:solidFill>
          </w14:textFill>
        </w:rPr>
        <w:t>第三章 投标人须知</w:t>
      </w:r>
      <w:bookmarkEnd w:id="10"/>
      <w:bookmarkEnd w:id="13"/>
      <w:bookmarkStart w:id="14" w:name="_Toc459990138"/>
    </w:p>
    <w:bookmarkEnd w:id="11"/>
    <w:bookmarkEnd w:id="12"/>
    <w:bookmarkEnd w:id="14"/>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5" w:name="_Hlt204508754"/>
      <w:bookmarkEnd w:id="15"/>
      <w:bookmarkStart w:id="16" w:name="_Hlt509650351"/>
      <w:bookmarkEnd w:id="16"/>
      <w:bookmarkStart w:id="17" w:name="_Hlt516969057"/>
      <w:bookmarkEnd w:id="17"/>
      <w:bookmarkStart w:id="18" w:name="_Toc51505239"/>
      <w:bookmarkStart w:id="19" w:name="_Toc22888330"/>
      <w:bookmarkStart w:id="20" w:name="_Toc23746"/>
      <w:bookmarkStart w:id="21" w:name="_Toc25480"/>
      <w:bookmarkStart w:id="22" w:name="_Toc19733"/>
      <w:bookmarkStart w:id="23" w:name="_Toc27068"/>
      <w:bookmarkStart w:id="24" w:name="_Toc508363595"/>
      <w:r>
        <w:rPr>
          <w:rFonts w:hint="eastAsia" w:ascii="宋体" w:hAnsi="宋体"/>
          <w:b/>
          <w:bCs/>
          <w:color w:val="000000" w:themeColor="text1"/>
          <w:sz w:val="28"/>
          <w:szCs w:val="32"/>
          <w14:textFill>
            <w14:solidFill>
              <w14:schemeClr w14:val="tx1"/>
            </w14:solidFill>
          </w14:textFill>
        </w:rPr>
        <w:t>一．投标文件的编制</w:t>
      </w:r>
      <w:bookmarkEnd w:id="18"/>
      <w:bookmarkEnd w:id="19"/>
      <w:bookmarkEnd w:id="20"/>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360" w:lineRule="auto"/>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25" w:name="_Toc51505240"/>
      <w:bookmarkStart w:id="26" w:name="_Toc22888331"/>
      <w:bookmarkStart w:id="27" w:name="_Toc5344"/>
      <w:bookmarkStart w:id="28" w:name="_Toc19773335"/>
      <w:r>
        <w:rPr>
          <w:rFonts w:hint="eastAsia" w:ascii="宋体" w:hAnsi="宋体"/>
          <w:b/>
          <w:bCs/>
          <w:color w:val="000000" w:themeColor="text1"/>
          <w:sz w:val="28"/>
          <w:szCs w:val="32"/>
          <w14:textFill>
            <w14:solidFill>
              <w14:schemeClr w14:val="tx1"/>
            </w14:solidFill>
          </w14:textFill>
        </w:rPr>
        <w:t>二．投标保证金的缴纳</w:t>
      </w:r>
      <w:bookmarkEnd w:id="25"/>
      <w:bookmarkEnd w:id="26"/>
      <w:bookmarkEnd w:id="27"/>
      <w:bookmarkEnd w:id="28"/>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开标后，文旅博览集团将从投标保证金查询系统中查询投标保证金信息，并提交评标委员会评审。</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 xml:space="preserve"> 投标保证金可采取下列形式：</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2.1本地转帐。</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4未按要求提交投标保证金的投标，将被视为非响应性投标而导致投标无效。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6有下列情形之一的，招标人不予退还投标保证金，如果该投标保证金不足以弥补因投标人过错而给招标人造成的损失，招标人有权要求投标人继续赔偿：</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6.1投标人在规定的投标有效期内撤回或修改其投标；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6.3弄虚作假或与其他投标人串通骗取中标；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6.4因中标人过错被取消中标资格的其他情况；</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6.5其它法律、规章规定或损害招标人利益的情形.</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7由于投标人行为导致招标人或合肥文旅博览集团有限公司损失的，相应损失由投标人承担，从投标保证金中扣除。投标保证金扣除后仍不足以弥补损失的，投标人应当对超过部分予以赔偿。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29" w:name="_Toc19773336"/>
      <w:bookmarkStart w:id="30" w:name="_Toc459990139"/>
      <w:bookmarkStart w:id="31" w:name="_Toc31055"/>
      <w:bookmarkStart w:id="32" w:name="_Toc22888332"/>
      <w:bookmarkStart w:id="33" w:name="_Toc7187423"/>
      <w:bookmarkStart w:id="34" w:name="_Toc51505241"/>
      <w:r>
        <w:rPr>
          <w:rFonts w:hint="eastAsia" w:ascii="宋体" w:hAnsi="宋体"/>
          <w:b/>
          <w:bCs/>
          <w:color w:val="000000" w:themeColor="text1"/>
          <w:sz w:val="28"/>
          <w:szCs w:val="32"/>
          <w14:textFill>
            <w14:solidFill>
              <w14:schemeClr w14:val="tx1"/>
            </w14:solidFill>
          </w14:textFill>
        </w:rPr>
        <w:t>三．投标文件的递交</w:t>
      </w:r>
      <w:bookmarkEnd w:id="29"/>
      <w:bookmarkEnd w:id="30"/>
      <w:bookmarkEnd w:id="31"/>
      <w:bookmarkEnd w:id="32"/>
      <w:bookmarkEnd w:id="33"/>
      <w:bookmarkEnd w:id="34"/>
      <w:bookmarkStart w:id="35" w:name="_Hlt509649414"/>
      <w:bookmarkEnd w:id="35"/>
    </w:p>
    <w:p>
      <w:pPr>
        <w:widowControl/>
        <w:spacing w:line="360" w:lineRule="auto"/>
        <w:rPr>
          <w:rFonts w:ascii="宋体" w:hAnsi="宋体" w:cs="宋体"/>
          <w:b/>
          <w:color w:val="000000" w:themeColor="text1"/>
          <w:kern w:val="0"/>
          <w:sz w:val="24"/>
          <w14:textFill>
            <w14:solidFill>
              <w14:schemeClr w14:val="tx1"/>
            </w14:solidFill>
          </w14:textFill>
        </w:rPr>
      </w:pPr>
      <w:bookmarkStart w:id="36" w:name="_Toc459990140"/>
      <w:bookmarkStart w:id="37" w:name="_Toc459990141"/>
      <w:bookmarkStart w:id="38"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1.1投标文件装订成册、密封，并在封面注明招标编号、投标项目等，同时在密封处加盖骑缝章；</w:t>
      </w:r>
    </w:p>
    <w:p>
      <w:pPr>
        <w:widowControl/>
        <w:spacing w:line="360" w:lineRule="auto"/>
        <w:jc w:val="left"/>
        <w:rPr>
          <w:rFonts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1.2投标文件要求：</w:t>
      </w:r>
      <w:r>
        <w:rPr>
          <w:rFonts w:hint="eastAsia" w:ascii="宋体" w:hAnsi="宋体" w:cs="宋体"/>
          <w:bCs/>
          <w:color w:val="000000" w:themeColor="text1"/>
          <w:kern w:val="0"/>
          <w:sz w:val="24"/>
          <w14:textFill>
            <w14:solidFill>
              <w14:schemeClr w14:val="tx1"/>
            </w14:solidFill>
          </w14:textFill>
        </w:rPr>
        <w:t>正、副本各一份。</w:t>
      </w:r>
    </w:p>
    <w:p>
      <w:pPr>
        <w:widowControl/>
        <w:spacing w:line="360" w:lineRule="auto"/>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 xml:space="preserve">    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39" w:name="_Toc9817"/>
      <w:bookmarkStart w:id="40" w:name="_Toc22888333"/>
      <w:bookmarkStart w:id="41" w:name="_Toc51505242"/>
      <w:bookmarkStart w:id="42" w:name="_Toc7187424"/>
      <w:bookmarkStart w:id="43" w:name="_Toc19773337"/>
      <w:r>
        <w:rPr>
          <w:rFonts w:hint="eastAsia" w:ascii="宋体" w:hAnsi="宋体"/>
          <w:b/>
          <w:bCs/>
          <w:color w:val="000000" w:themeColor="text1"/>
          <w:sz w:val="28"/>
          <w:szCs w:val="32"/>
          <w14:textFill>
            <w14:solidFill>
              <w14:schemeClr w14:val="tx1"/>
            </w14:solidFill>
          </w14:textFill>
        </w:rPr>
        <w:t>四．</w:t>
      </w:r>
      <w:bookmarkEnd w:id="36"/>
      <w:r>
        <w:rPr>
          <w:rFonts w:hint="eastAsia" w:ascii="宋体" w:hAnsi="宋体"/>
          <w:b/>
          <w:bCs/>
          <w:color w:val="000000" w:themeColor="text1"/>
          <w:sz w:val="28"/>
          <w:szCs w:val="32"/>
          <w14:textFill>
            <w14:solidFill>
              <w14:schemeClr w14:val="tx1"/>
            </w14:solidFill>
          </w14:textFill>
        </w:rPr>
        <w:t>开标、评标及定标</w:t>
      </w:r>
      <w:bookmarkEnd w:id="39"/>
      <w:bookmarkEnd w:id="40"/>
      <w:bookmarkEnd w:id="41"/>
      <w:bookmarkEnd w:id="42"/>
      <w:bookmarkEnd w:id="43"/>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投标人一名授权代表参加商务标的开标</w:t>
      </w:r>
      <w:r>
        <w:rPr>
          <w:rFonts w:hint="eastAsia" w:ascii="宋体" w:hAnsi="宋体" w:cs="宋体"/>
          <w:color w:val="000000" w:themeColor="text1"/>
          <w:kern w:val="0"/>
          <w:sz w:val="24"/>
          <w14:textFill>
            <w14:solidFill>
              <w14:schemeClr w14:val="tx1"/>
            </w14:solidFill>
          </w14:textFill>
        </w:rPr>
        <w:t>。（授权代表须出示身份证原件）</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文旅博览集团</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14:textFill>
            <w14:solidFill>
              <w14:schemeClr w14:val="tx1"/>
            </w14:solidFill>
          </w14:textFill>
        </w:rPr>
        <w:t>文旅博览集团将当众宣读</w:t>
      </w:r>
      <w:r>
        <w:rPr>
          <w:rFonts w:hint="eastAsia" w:ascii="宋体" w:hAnsi="宋体"/>
          <w:color w:val="000000" w:themeColor="text1"/>
          <w:sz w:val="24"/>
          <w:szCs w:val="24"/>
          <w14:textFill>
            <w14:solidFill>
              <w14:schemeClr w14:val="tx1"/>
            </w14:solidFill>
          </w14:textFill>
        </w:rPr>
        <w:t>投标人名称、投标价格以及文旅博览集团认为合适的其它详细内容。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2评标方法：</w:t>
      </w:r>
      <w:r>
        <w:rPr>
          <w:rFonts w:hint="eastAsia" w:ascii="宋体" w:hAnsi="宋体"/>
          <w:color w:val="000000" w:themeColor="text1"/>
          <w:sz w:val="24"/>
          <w14:textFill>
            <w14:solidFill>
              <w14:schemeClr w14:val="tx1"/>
            </w14:solidFill>
          </w14:textFill>
        </w:rPr>
        <w:t>本次项目评标采用综合评分法作为对投标人标书的比较方法。</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3.6.8评标委员会评议认为构成废标的其他情况；</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3.6.9投标人未按要求提交投标保证金的；</w:t>
      </w:r>
    </w:p>
    <w:p>
      <w:pPr>
        <w:spacing w:line="360" w:lineRule="auto"/>
        <w:ind w:firstLine="549"/>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3.6.10</w:t>
      </w:r>
      <w:r>
        <w:rPr>
          <w:rFonts w:hint="eastAsia" w:ascii="宋体" w:hAnsi="宋体"/>
          <w:color w:val="000000" w:themeColor="text1"/>
          <w:sz w:val="24"/>
          <w:szCs w:val="24"/>
          <w14:textFill>
            <w14:solidFill>
              <w14:schemeClr w14:val="tx1"/>
            </w14:solidFill>
          </w14:textFill>
        </w:rPr>
        <w:t>其他未实质性响应招标文件要求的。</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4.3原则上把合同授予实质上响应招标文件要求的排名最前的中标候选人或通过上条资格审查的中标候选人。 </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525" w:firstLineChars="218"/>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 xml:space="preserve"> 本招标文件所要求的证书、认证、资质，均应当是有权机构颁发，且在有效期内的。</w:t>
      </w:r>
    </w:p>
    <w:p>
      <w:pPr>
        <w:spacing w:line="360" w:lineRule="auto"/>
        <w:ind w:firstLine="562" w:firstLineChars="200"/>
        <w:jc w:val="center"/>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五.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1.与本次招标活动相关的信息，将在合肥文旅博览集团有限公司网(h</w:t>
      </w:r>
      <w:r>
        <w:rPr>
          <w:rFonts w:ascii="宋体" w:hAnsi="宋体"/>
          <w:color w:val="000000" w:themeColor="text1"/>
          <w:sz w:val="24"/>
          <w:szCs w:val="24"/>
          <w:u w:val="single"/>
          <w14:textFill>
            <w14:solidFill>
              <w14:schemeClr w14:val="tx1"/>
            </w14:solidFill>
          </w14:textFill>
        </w:rPr>
        <w:t>ttp://www.zwzcgl.com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44" w:name="_Toc22888334"/>
      <w:bookmarkStart w:id="45" w:name="_Toc7187425"/>
      <w:bookmarkStart w:id="46" w:name="_Toc19773338"/>
      <w:bookmarkStart w:id="47" w:name="_Toc20006"/>
      <w:bookmarkStart w:id="48" w:name="_Toc51505243"/>
      <w:r>
        <w:rPr>
          <w:rFonts w:hint="eastAsia" w:ascii="宋体" w:hAnsi="宋体"/>
          <w:b/>
          <w:bCs/>
          <w:color w:val="000000" w:themeColor="text1"/>
          <w:sz w:val="28"/>
          <w:szCs w:val="32"/>
          <w14:textFill>
            <w14:solidFill>
              <w14:schemeClr w14:val="tx1"/>
            </w14:solidFill>
          </w14:textFill>
        </w:rPr>
        <w:t>六．投标文件的澄清</w:t>
      </w:r>
      <w:bookmarkEnd w:id="44"/>
      <w:bookmarkEnd w:id="45"/>
      <w:bookmarkEnd w:id="46"/>
      <w:bookmarkEnd w:id="47"/>
      <w:bookmarkEnd w:id="48"/>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49" w:name="_Toc20524"/>
      <w:bookmarkStart w:id="50" w:name="_Toc7187426"/>
      <w:bookmarkStart w:id="51" w:name="_Toc22888335"/>
      <w:bookmarkStart w:id="52" w:name="_Toc51505244"/>
      <w:bookmarkStart w:id="53" w:name="_Toc19773339"/>
      <w:r>
        <w:rPr>
          <w:rFonts w:hint="eastAsia" w:ascii="宋体" w:hAnsi="宋体"/>
          <w:b/>
          <w:bCs/>
          <w:color w:val="000000" w:themeColor="text1"/>
          <w:sz w:val="28"/>
          <w:szCs w:val="32"/>
          <w14:textFill>
            <w14:solidFill>
              <w14:schemeClr w14:val="tx1"/>
            </w14:solidFill>
          </w14:textFill>
        </w:rPr>
        <w:t>七.中标通知书</w:t>
      </w:r>
      <w:bookmarkEnd w:id="49"/>
      <w:bookmarkEnd w:id="50"/>
      <w:bookmarkEnd w:id="51"/>
      <w:bookmarkEnd w:id="52"/>
      <w:bookmarkEnd w:id="53"/>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文旅博览集团将以中标通知书形式通知中标人，其投标已被接受。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文旅博览集团对未中标的投标人不做未中标原因的解释。</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000000" w:themeColor="text1"/>
          <w:sz w:val="24"/>
          <w:szCs w:val="18"/>
          <w14:textFill>
            <w14:solidFill>
              <w14:schemeClr w14:val="tx1"/>
            </w14:solidFill>
          </w14:textFill>
        </w:rPr>
        <w:t>合肥市蜀山区习友路与茂荫路交口投资大厦2楼招标采购部</w:t>
      </w:r>
      <w:r>
        <w:rPr>
          <w:rFonts w:hint="eastAsia" w:ascii="宋体" w:hAnsi="宋体"/>
          <w:color w:val="000000" w:themeColor="text1"/>
          <w:sz w:val="24"/>
          <w14:textFill>
            <w14:solidFill>
              <w14:schemeClr w14:val="tx1"/>
            </w14:solidFill>
          </w14:textFill>
        </w:rPr>
        <w:t>）。</w:t>
      </w:r>
      <w:bookmarkEnd w:id="37"/>
      <w:bookmarkEnd w:id="38"/>
    </w:p>
    <w:p>
      <w:pPr>
        <w:keepNext/>
        <w:keepLines/>
        <w:spacing w:before="260" w:after="260" w:line="360" w:lineRule="auto"/>
        <w:ind w:firstLine="628"/>
        <w:jc w:val="center"/>
        <w:outlineLvl w:val="2"/>
        <w:rPr>
          <w:rFonts w:ascii="宋体" w:hAnsi="宋体"/>
          <w:b/>
          <w:bCs/>
          <w:color w:val="000000" w:themeColor="text1"/>
          <w:sz w:val="28"/>
          <w:szCs w:val="32"/>
          <w14:textFill>
            <w14:solidFill>
              <w14:schemeClr w14:val="tx1"/>
            </w14:solidFill>
          </w14:textFill>
        </w:rPr>
      </w:pPr>
      <w:bookmarkStart w:id="54" w:name="_Toc2884"/>
      <w:bookmarkStart w:id="55" w:name="_Toc7187427"/>
      <w:bookmarkStart w:id="56" w:name="_Toc19773340"/>
      <w:bookmarkStart w:id="57" w:name="_Toc51505245"/>
      <w:bookmarkStart w:id="58" w:name="_Toc22888336"/>
      <w:r>
        <w:rPr>
          <w:rFonts w:hint="eastAsia" w:ascii="宋体" w:hAnsi="宋体"/>
          <w:b/>
          <w:bCs/>
          <w:color w:val="000000" w:themeColor="text1"/>
          <w:sz w:val="28"/>
          <w:szCs w:val="32"/>
          <w14:textFill>
            <w14:solidFill>
              <w14:schemeClr w14:val="tx1"/>
            </w14:solidFill>
          </w14:textFill>
        </w:rPr>
        <w:t>八.异议处理</w:t>
      </w:r>
      <w:bookmarkEnd w:id="54"/>
      <w:bookmarkEnd w:id="55"/>
      <w:bookmarkEnd w:id="56"/>
      <w:bookmarkEnd w:id="57"/>
      <w:bookmarkEnd w:id="58"/>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59" w:name="_Toc19773341"/>
      <w:bookmarkStart w:id="60" w:name="_Toc22888337"/>
      <w:bookmarkStart w:id="61" w:name="_Toc20014"/>
      <w:bookmarkStart w:id="62" w:name="_Toc7187428"/>
      <w:bookmarkStart w:id="63" w:name="_Toc51505246"/>
      <w:r>
        <w:rPr>
          <w:rFonts w:hint="eastAsia" w:ascii="宋体" w:hAnsi="宋体"/>
          <w:b/>
          <w:bCs/>
          <w:color w:val="000000" w:themeColor="text1"/>
          <w:sz w:val="28"/>
          <w:szCs w:val="32"/>
          <w14:textFill>
            <w14:solidFill>
              <w14:schemeClr w14:val="tx1"/>
            </w14:solidFill>
          </w14:textFill>
        </w:rPr>
        <w:t>九．签订合同</w:t>
      </w:r>
      <w:bookmarkEnd w:id="59"/>
      <w:bookmarkEnd w:id="60"/>
      <w:bookmarkEnd w:id="61"/>
      <w:bookmarkEnd w:id="62"/>
      <w:bookmarkEnd w:id="63"/>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1.履约保证金</w:t>
      </w:r>
    </w:p>
    <w:p>
      <w:pPr>
        <w:spacing w:line="360" w:lineRule="auto"/>
        <w:ind w:firstLine="549"/>
        <w:rPr>
          <w:rFonts w:ascii="宋体" w:hAnsi="宋体"/>
          <w:dstrike/>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1.1签订合同前，投标人应提交履约保证金。履约保证金金额、收受方式及收受人见投标人须知前附表规定。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1.2投标人须知前附表约定收取履约保证金或免收履约保证金的，从其规定。</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2.5中标人不与委托人签订合同的，招标人可单方面取消其中标资格，并追究其责任。</w:t>
      </w:r>
    </w:p>
    <w:p>
      <w:pPr>
        <w:pStyle w:val="78"/>
        <w:numPr>
          <w:ilvl w:val="1"/>
          <w:numId w:val="5"/>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合同履行完毕后，经委托人考核合格，双方可续签合同。</w:t>
      </w:r>
    </w:p>
    <w:p>
      <w:pPr>
        <w:spacing w:line="360" w:lineRule="auto"/>
        <w:rPr>
          <w:rFonts w:ascii="宋体" w:hAnsi="宋体"/>
          <w:color w:val="000000" w:themeColor="text1"/>
          <w:sz w:val="24"/>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pStyle w:val="5"/>
        <w:spacing w:line="500" w:lineRule="exact"/>
        <w:jc w:val="center"/>
        <w:rPr>
          <w:rFonts w:ascii="宋体" w:hAnsi="宋体"/>
          <w:color w:val="000000" w:themeColor="text1"/>
          <w:szCs w:val="36"/>
          <w14:textFill>
            <w14:solidFill>
              <w14:schemeClr w14:val="tx1"/>
            </w14:solidFill>
          </w14:textFill>
        </w:rPr>
      </w:pPr>
      <w:bookmarkStart w:id="64" w:name="_Toc16845"/>
      <w:r>
        <w:rPr>
          <w:rFonts w:hint="eastAsia" w:ascii="宋体" w:hAnsi="宋体"/>
          <w:color w:val="000000" w:themeColor="text1"/>
          <w14:textFill>
            <w14:solidFill>
              <w14:schemeClr w14:val="tx1"/>
            </w14:solidFill>
          </w14:textFill>
        </w:rPr>
        <w:t>第</w:t>
      </w:r>
      <w:bookmarkStart w:id="65" w:name="_Hlt240110027"/>
      <w:bookmarkEnd w:id="65"/>
      <w:r>
        <w:rPr>
          <w:rFonts w:hint="eastAsia" w:ascii="宋体" w:hAnsi="宋体"/>
          <w:color w:val="000000" w:themeColor="text1"/>
          <w14:textFill>
            <w14:solidFill>
              <w14:schemeClr w14:val="tx1"/>
            </w14:solidFill>
          </w14:textFill>
        </w:rPr>
        <w:t>四章</w:t>
      </w:r>
      <w:bookmarkStart w:id="66" w:name="_Hlt509716920"/>
      <w:bookmarkEnd w:id="66"/>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36"/>
          <w14:textFill>
            <w14:solidFill>
              <w14:schemeClr w14:val="tx1"/>
            </w14:solidFill>
          </w14:textFill>
        </w:rPr>
        <w:t>招标需求</w:t>
      </w:r>
      <w:bookmarkEnd w:id="21"/>
      <w:bookmarkEnd w:id="22"/>
      <w:bookmarkEnd w:id="23"/>
      <w:bookmarkEnd w:id="64"/>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ascii="宋体" w:hAnsi="宋体"/>
          <w:color w:val="000000" w:themeColor="text1"/>
          <w:sz w:val="24"/>
          <w:szCs w:val="28"/>
          <w14:textFill>
            <w14:solidFill>
              <w14:schemeClr w14:val="tx1"/>
            </w14:solidFill>
          </w14:textFill>
        </w:rPr>
        <w:t>税金并按委托人要求提供发票，费用含在本次投标总价中，中标后不作调整。</w:t>
      </w:r>
    </w:p>
    <w:p>
      <w:pPr>
        <w:spacing w:line="360" w:lineRule="auto"/>
        <w:ind w:firstLine="480" w:firstLineChars="200"/>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2.如对本招标文件有任何疑问或澄清要求，请按本招标文件“投标人须知前附表”中的约定方式联系文旅博览集团，或接受答疑截止时间前联系招标人。否则视同理解和接受。</w:t>
      </w:r>
    </w:p>
    <w:p>
      <w:pPr>
        <w:spacing w:line="360" w:lineRule="auto"/>
        <w:rPr>
          <w:color w:val="000000" w:themeColor="text1"/>
          <w14:textFill>
            <w14:solidFill>
              <w14:schemeClr w14:val="tx1"/>
            </w14:solidFill>
          </w14:textFill>
        </w:rPr>
      </w:pPr>
    </w:p>
    <w:p>
      <w:pPr>
        <w:pStyle w:val="78"/>
        <w:numPr>
          <w:ilvl w:val="0"/>
          <w:numId w:val="6"/>
        </w:numPr>
        <w:spacing w:line="360" w:lineRule="auto"/>
        <w:ind w:firstLineChars="0"/>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项目简介</w:t>
      </w:r>
    </w:p>
    <w:p>
      <w:pPr>
        <w:pStyle w:val="78"/>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肥体育中心建设标准可承办全国运动会及单项国际赛事的大型公共体育设施场馆，体育中心风格定位为开放式体育公园，是集体育运动和比赛、展览、办公、会议、餐饮、休闲为一体的综合性、智能化建筑体系。</w:t>
      </w:r>
    </w:p>
    <w:p>
      <w:pPr>
        <w:autoSpaceDE w:val="0"/>
        <w:autoSpaceDN w:val="0"/>
        <w:adjustRightInd w:val="0"/>
        <w:spacing w:line="360" w:lineRule="auto"/>
        <w:ind w:firstLine="354" w:firstLineChars="147"/>
        <w:jc w:val="left"/>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二、招标需求</w:t>
      </w:r>
    </w:p>
    <w:p>
      <w:pPr>
        <w:spacing w:line="360" w:lineRule="auto"/>
        <w:ind w:left="420" w:leftChars="20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2.1对合肥体育中心游泳馆【戏水池</w:t>
      </w:r>
      <w:r>
        <w:rPr>
          <w:rFonts w:ascii="宋体" w:hAnsi="宋体" w:cs="宋体"/>
          <w:color w:val="000000" w:themeColor="text1"/>
          <w:sz w:val="24"/>
          <w:szCs w:val="24"/>
          <w14:textFill>
            <w14:solidFill>
              <w14:schemeClr w14:val="tx1"/>
            </w14:solidFill>
          </w14:textFill>
        </w:rPr>
        <w:t>800</w:t>
      </w:r>
      <w:r>
        <w:rPr>
          <w:rFonts w:hint="eastAsia" w:ascii="MS Gothic" w:hAnsi="MS Gothic" w:eastAsia="MS Gothic" w:cs="MS Gothic"/>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、训练池</w:t>
      </w:r>
      <w:r>
        <w:rPr>
          <w:rFonts w:ascii="宋体" w:hAnsi="宋体" w:cs="宋体"/>
          <w:color w:val="000000" w:themeColor="text1"/>
          <w:sz w:val="24"/>
          <w:szCs w:val="24"/>
          <w14:textFill>
            <w14:solidFill>
              <w14:schemeClr w14:val="tx1"/>
            </w14:solidFill>
          </w14:textFill>
        </w:rPr>
        <w:t>1650</w:t>
      </w:r>
      <w:r>
        <w:rPr>
          <w:rFonts w:hint="eastAsia" w:ascii="MS Gothic" w:hAnsi="MS Gothic" w:eastAsia="MS Gothic" w:cs="MS Gothic"/>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、竞赛池</w:t>
      </w:r>
      <w:r>
        <w:rPr>
          <w:rFonts w:ascii="宋体" w:hAnsi="宋体" w:cs="宋体"/>
          <w:color w:val="000000" w:themeColor="text1"/>
          <w:sz w:val="24"/>
          <w:szCs w:val="24"/>
          <w14:textFill>
            <w14:solidFill>
              <w14:schemeClr w14:val="tx1"/>
            </w14:solidFill>
          </w14:textFill>
        </w:rPr>
        <w:t>3750</w:t>
      </w:r>
      <w:r>
        <w:rPr>
          <w:rFonts w:hint="eastAsia" w:ascii="MS Gothic" w:hAnsi="MS Gothic" w:eastAsia="MS Gothic" w:cs="MS Gothic"/>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、跳水池</w:t>
      </w:r>
      <w:r>
        <w:rPr>
          <w:rFonts w:ascii="宋体" w:hAnsi="宋体" w:cs="宋体"/>
          <w:color w:val="000000" w:themeColor="text1"/>
          <w:sz w:val="24"/>
          <w:szCs w:val="24"/>
          <w14:textFill>
            <w14:solidFill>
              <w14:schemeClr w14:val="tx1"/>
            </w14:solidFill>
          </w14:textFill>
        </w:rPr>
        <w:t>3750</w:t>
      </w:r>
      <w:r>
        <w:rPr>
          <w:rFonts w:hint="eastAsia" w:ascii="MS Gothic" w:hAnsi="MS Gothic" w:eastAsia="MS Gothic" w:cs="MS Gothic"/>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（泳池实际容量以现场勘测为准）】</w:t>
      </w:r>
      <w:r>
        <w:rPr>
          <w:rFonts w:ascii="宋体" w:hAnsi="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年度的水处理药剂、水质养护服务、自动投药设备的提供及维护（水处理药剂主要包括不限于二水二氯、杀菌剂、澄清剂、除藻剂、中和剂、</w:t>
      </w:r>
      <w:r>
        <w:rPr>
          <w:rFonts w:ascii="宋体" w:hAnsi="宋体" w:cs="宋体"/>
          <w:color w:val="000000" w:themeColor="text1"/>
          <w:sz w:val="24"/>
          <w:szCs w:val="24"/>
          <w14:textFill>
            <w14:solidFill>
              <w14:schemeClr w14:val="tx1"/>
            </w14:solidFill>
          </w14:textFill>
        </w:rPr>
        <w:t>PH</w:t>
      </w:r>
      <w:r>
        <w:rPr>
          <w:rFonts w:hint="eastAsia" w:ascii="宋体" w:hAnsi="宋体" w:cs="宋体"/>
          <w:color w:val="000000" w:themeColor="text1"/>
          <w:sz w:val="24"/>
          <w:szCs w:val="24"/>
          <w14:textFill>
            <w14:solidFill>
              <w14:schemeClr w14:val="tx1"/>
            </w14:solidFill>
          </w14:textFill>
        </w:rPr>
        <w:t>升高剂、</w:t>
      </w:r>
      <w:r>
        <w:rPr>
          <w:rFonts w:ascii="宋体" w:hAnsi="宋体" w:cs="宋体"/>
          <w:color w:val="000000" w:themeColor="text1"/>
          <w:sz w:val="24"/>
          <w:szCs w:val="24"/>
          <w14:textFill>
            <w14:solidFill>
              <w14:schemeClr w14:val="tx1"/>
            </w14:solidFill>
          </w14:textFill>
        </w:rPr>
        <w:t>PH</w:t>
      </w:r>
      <w:r>
        <w:rPr>
          <w:rFonts w:hint="eastAsia" w:ascii="宋体" w:hAnsi="宋体" w:cs="宋体"/>
          <w:color w:val="000000" w:themeColor="text1"/>
          <w:sz w:val="24"/>
          <w:szCs w:val="24"/>
          <w14:textFill>
            <w14:solidFill>
              <w14:schemeClr w14:val="tx1"/>
            </w14:solidFill>
          </w14:textFill>
        </w:rPr>
        <w:t>降低剂、三氯速溶片等）。</w:t>
      </w:r>
    </w:p>
    <w:p>
      <w:pPr>
        <w:spacing w:line="360" w:lineRule="auto"/>
        <w:ind w:left="420" w:leftChars="20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2.2天鹅湖全民健身中心游泳馆202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年度的水处理药剂、水质养护服务、自动投药设备的提供及维护（水处理药剂主要包括不限于二水二氯、杀菌剂、澄清剂、除藻剂、中和剂、PH升高剂、PH降低剂、三氯速溶片等）。</w:t>
      </w: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p>
    <w:p>
      <w:pPr>
        <w:spacing w:line="360" w:lineRule="auto"/>
        <w:ind w:firstLine="482" w:firstLineChars="200"/>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三、游泳池药剂项目清单</w:t>
      </w:r>
    </w:p>
    <w:tbl>
      <w:tblPr>
        <w:tblStyle w:val="50"/>
        <w:tblW w:w="9356" w:type="dxa"/>
        <w:tblInd w:w="-34" w:type="dxa"/>
        <w:tblLayout w:type="autofit"/>
        <w:tblCellMar>
          <w:top w:w="0" w:type="dxa"/>
          <w:left w:w="108" w:type="dxa"/>
          <w:bottom w:w="0" w:type="dxa"/>
          <w:right w:w="108" w:type="dxa"/>
        </w:tblCellMar>
      </w:tblPr>
      <w:tblGrid>
        <w:gridCol w:w="720"/>
        <w:gridCol w:w="2257"/>
        <w:gridCol w:w="2552"/>
        <w:gridCol w:w="1984"/>
        <w:gridCol w:w="1843"/>
      </w:tblGrid>
      <w:tr>
        <w:tblPrEx>
          <w:tblCellMar>
            <w:top w:w="0" w:type="dxa"/>
            <w:left w:w="108" w:type="dxa"/>
            <w:bottom w:w="0" w:type="dxa"/>
            <w:right w:w="108" w:type="dxa"/>
          </w:tblCellMar>
        </w:tblPrEx>
        <w:trPr>
          <w:trHeight w:val="499"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序号</w:t>
            </w:r>
          </w:p>
        </w:tc>
        <w:tc>
          <w:tcPr>
            <w:tcW w:w="225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图片</w:t>
            </w:r>
          </w:p>
        </w:tc>
        <w:tc>
          <w:tcPr>
            <w:tcW w:w="255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名称</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规格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xml:space="preserve"> 备 注</w:t>
            </w:r>
          </w:p>
        </w:tc>
      </w:tr>
      <w:tr>
        <w:tblPrEx>
          <w:tblCellMar>
            <w:top w:w="0" w:type="dxa"/>
            <w:left w:w="108" w:type="dxa"/>
            <w:bottom w:w="0" w:type="dxa"/>
            <w:right w:w="108" w:type="dxa"/>
          </w:tblCellMar>
        </w:tblPrEx>
        <w:trPr>
          <w:trHeight w:val="822"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color w:val="000000" w:themeColor="text1"/>
                <w14:textFill>
                  <w14:solidFill>
                    <w14:schemeClr w14:val="tx1"/>
                  </w14:solidFill>
                </w14:textFill>
              </w:rPr>
              <w:drawing>
                <wp:inline distT="0" distB="0" distL="0" distR="0">
                  <wp:extent cx="622300" cy="427990"/>
                  <wp:effectExtent l="0" t="0" r="6350" b="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8"/>
                          <a:stretch>
                            <a:fillRect/>
                          </a:stretch>
                        </pic:blipFill>
                        <pic:spPr>
                          <a:xfrm>
                            <a:off x="0" y="0"/>
                            <a:ext cx="624230" cy="429158"/>
                          </a:xfrm>
                          <a:prstGeom prst="rect">
                            <a:avLst/>
                          </a:prstGeom>
                          <a:noFill/>
                          <a:ln w="9525">
                            <a:noFill/>
                          </a:ln>
                        </pic:spPr>
                      </pic:pic>
                    </a:graphicData>
                  </a:graphic>
                </wp:inline>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次氯酸钙颗粒</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50KG/桶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834"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1312" behindDoc="0" locked="0" layoutInCell="1" allowOverlap="1">
                  <wp:simplePos x="0" y="0"/>
                  <wp:positionH relativeFrom="column">
                    <wp:posOffset>407670</wp:posOffset>
                  </wp:positionH>
                  <wp:positionV relativeFrom="paragraph">
                    <wp:posOffset>8255</wp:posOffset>
                  </wp:positionV>
                  <wp:extent cx="443865" cy="418465"/>
                  <wp:effectExtent l="0" t="0" r="0" b="63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stretch>
                            <a:fillRect/>
                          </a:stretch>
                        </pic:blipFill>
                        <pic:spPr>
                          <a:xfrm>
                            <a:off x="0" y="0"/>
                            <a:ext cx="443865" cy="418465"/>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次氯酸钠--液体</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25KG/桶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69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3</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0288" behindDoc="0" locked="0" layoutInCell="1" allowOverlap="1">
                  <wp:simplePos x="0" y="0"/>
                  <wp:positionH relativeFrom="column">
                    <wp:posOffset>375920</wp:posOffset>
                  </wp:positionH>
                  <wp:positionV relativeFrom="paragraph">
                    <wp:posOffset>54610</wp:posOffset>
                  </wp:positionV>
                  <wp:extent cx="611505" cy="314960"/>
                  <wp:effectExtent l="0" t="0" r="0" b="8890"/>
                  <wp:wrapNone/>
                  <wp:docPr id="11" name="图片 11" descr="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H+.jpg"/>
                          <pic:cNvPicPr>
                            <a:picLocks noChangeAspect="1"/>
                          </pic:cNvPicPr>
                        </pic:nvPicPr>
                        <pic:blipFill>
                          <a:blip r:embed="rId10"/>
                          <a:stretch>
                            <a:fillRect/>
                          </a:stretch>
                        </pic:blipFill>
                        <pic:spPr>
                          <a:xfrm>
                            <a:off x="0" y="0"/>
                            <a:ext cx="611505" cy="314960"/>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PH升高剂（碱性）</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25KG/桶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764"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4</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2336" behindDoc="0" locked="0" layoutInCell="1" allowOverlap="1">
                  <wp:simplePos x="0" y="0"/>
                  <wp:positionH relativeFrom="column">
                    <wp:posOffset>440055</wp:posOffset>
                  </wp:positionH>
                  <wp:positionV relativeFrom="paragraph">
                    <wp:posOffset>54610</wp:posOffset>
                  </wp:positionV>
                  <wp:extent cx="495300" cy="36703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495300" cy="367030"/>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PH降低剂（酸性）</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25KG/桶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682"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5</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5408" behindDoc="0" locked="0" layoutInCell="1" allowOverlap="1">
                  <wp:simplePos x="0" y="0"/>
                  <wp:positionH relativeFrom="column">
                    <wp:posOffset>375285</wp:posOffset>
                  </wp:positionH>
                  <wp:positionV relativeFrom="paragraph">
                    <wp:posOffset>-34925</wp:posOffset>
                  </wp:positionV>
                  <wp:extent cx="611505" cy="367030"/>
                  <wp:effectExtent l="0" t="0" r="0" b="0"/>
                  <wp:wrapNone/>
                  <wp:docPr id="3" name="图片 3" descr="臭氧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臭氧粉.jpg"/>
                          <pic:cNvPicPr>
                            <a:picLocks noChangeAspect="1"/>
                          </pic:cNvPicPr>
                        </pic:nvPicPr>
                        <pic:blipFill>
                          <a:blip r:embed="rId12"/>
                          <a:stretch>
                            <a:fillRect/>
                          </a:stretch>
                        </pic:blipFill>
                        <pic:spPr>
                          <a:xfrm>
                            <a:off x="0" y="0"/>
                            <a:ext cx="611505" cy="367030"/>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臭氧粉</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20KG/桶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68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6</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3360" behindDoc="0" locked="0" layoutInCell="1" allowOverlap="1">
                  <wp:simplePos x="0" y="0"/>
                  <wp:positionH relativeFrom="column">
                    <wp:posOffset>323215</wp:posOffset>
                  </wp:positionH>
                  <wp:positionV relativeFrom="paragraph">
                    <wp:posOffset>-13970</wp:posOffset>
                  </wp:positionV>
                  <wp:extent cx="641985" cy="353695"/>
                  <wp:effectExtent l="0" t="0" r="5715" b="8255"/>
                  <wp:wrapNone/>
                  <wp:docPr id="4" name="图片 4" descr="超级浓缩澄清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超级浓缩澄清剂.jpg"/>
                          <pic:cNvPicPr>
                            <a:picLocks noChangeAspect="1"/>
                          </pic:cNvPicPr>
                        </pic:nvPicPr>
                        <pic:blipFill>
                          <a:blip r:embed="rId13"/>
                          <a:stretch>
                            <a:fillRect/>
                          </a:stretch>
                        </pic:blipFill>
                        <pic:spPr>
                          <a:xfrm>
                            <a:off x="0" y="0"/>
                            <a:ext cx="641985" cy="353695"/>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超级浓缩澄清剂</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1KG/瓶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69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7</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4384" behindDoc="0" locked="0" layoutInCell="1" allowOverlap="1">
                  <wp:simplePos x="0" y="0"/>
                  <wp:positionH relativeFrom="column">
                    <wp:posOffset>343535</wp:posOffset>
                  </wp:positionH>
                  <wp:positionV relativeFrom="paragraph">
                    <wp:posOffset>10160</wp:posOffset>
                  </wp:positionV>
                  <wp:extent cx="591185" cy="373380"/>
                  <wp:effectExtent l="0" t="0" r="0" b="7620"/>
                  <wp:wrapNone/>
                  <wp:docPr id="2" name="图片 2" descr="C:\Documents and Settings\admin\Application Data\Tencent\Users\971476026\QQ\WinTemp\RichOle\LCQ}U937BR{2LD%AC~[2N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nts and Settings\admin\Application Data\Tencent\Users\971476026\QQ\WinTemp\RichOle\LCQ}U937BR{2LD%AC~[2N69.jpg"/>
                          <pic:cNvPicPr>
                            <a:picLocks noChangeAspect="1"/>
                          </pic:cNvPicPr>
                        </pic:nvPicPr>
                        <pic:blipFill>
                          <a:blip r:embed="rId14"/>
                          <a:stretch>
                            <a:fillRect/>
                          </a:stretch>
                        </pic:blipFill>
                        <pic:spPr>
                          <a:xfrm>
                            <a:off x="0" y="0"/>
                            <a:ext cx="591185" cy="373380"/>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氯中和剂</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1KG/瓶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70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8</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6432" behindDoc="0" locked="0" layoutInCell="1" allowOverlap="1">
                  <wp:simplePos x="0" y="0"/>
                  <wp:positionH relativeFrom="column">
                    <wp:posOffset>425450</wp:posOffset>
                  </wp:positionH>
                  <wp:positionV relativeFrom="paragraph">
                    <wp:posOffset>3175</wp:posOffset>
                  </wp:positionV>
                  <wp:extent cx="466725" cy="443865"/>
                  <wp:effectExtent l="0" t="0" r="952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466725" cy="443865"/>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除藻剂</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1KG/瓶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70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9</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7456" behindDoc="0" locked="0" layoutInCell="1" allowOverlap="1">
                  <wp:simplePos x="0" y="0"/>
                  <wp:positionH relativeFrom="column">
                    <wp:posOffset>447675</wp:posOffset>
                  </wp:positionH>
                  <wp:positionV relativeFrom="paragraph">
                    <wp:posOffset>5080</wp:posOffset>
                  </wp:positionV>
                  <wp:extent cx="384810" cy="418465"/>
                  <wp:effectExtent l="0" t="0" r="0" b="63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384810" cy="418465"/>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尿素去除剂</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1KG/瓶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804"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10</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8480" behindDoc="0" locked="0" layoutInCell="1" allowOverlap="1">
                  <wp:simplePos x="0" y="0"/>
                  <wp:positionH relativeFrom="column">
                    <wp:posOffset>386715</wp:posOffset>
                  </wp:positionH>
                  <wp:positionV relativeFrom="paragraph">
                    <wp:posOffset>90805</wp:posOffset>
                  </wp:positionV>
                  <wp:extent cx="494665" cy="353695"/>
                  <wp:effectExtent l="0" t="0" r="635" b="825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494665" cy="353695"/>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百灵达测试药片</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250片/盒</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713"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11</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69504" behindDoc="0" locked="0" layoutInCell="1" allowOverlap="1">
                  <wp:simplePos x="0" y="0"/>
                  <wp:positionH relativeFrom="column">
                    <wp:posOffset>388620</wp:posOffset>
                  </wp:positionH>
                  <wp:positionV relativeFrom="paragraph">
                    <wp:posOffset>59055</wp:posOffset>
                  </wp:positionV>
                  <wp:extent cx="598805" cy="392430"/>
                  <wp:effectExtent l="0" t="0" r="0" b="762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598805" cy="392430"/>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彩虹二合一测试盒</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余氯、PH值</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r>
        <w:tblPrEx>
          <w:tblCellMar>
            <w:top w:w="0" w:type="dxa"/>
            <w:left w:w="108" w:type="dxa"/>
            <w:bottom w:w="0" w:type="dxa"/>
            <w:right w:w="108" w:type="dxa"/>
          </w:tblCellMar>
        </w:tblPrEx>
        <w:trPr>
          <w:trHeight w:val="76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12</w:t>
            </w:r>
          </w:p>
        </w:tc>
        <w:tc>
          <w:tcPr>
            <w:tcW w:w="225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drawing>
                <wp:anchor distT="0" distB="0" distL="114300" distR="114300" simplePos="0" relativeHeight="251671552" behindDoc="0" locked="0" layoutInCell="1" allowOverlap="1">
                  <wp:simplePos x="0" y="0"/>
                  <wp:positionH relativeFrom="column">
                    <wp:posOffset>749300</wp:posOffset>
                  </wp:positionH>
                  <wp:positionV relativeFrom="paragraph">
                    <wp:posOffset>51435</wp:posOffset>
                  </wp:positionV>
                  <wp:extent cx="276860" cy="353695"/>
                  <wp:effectExtent l="0" t="0" r="8890" b="8255"/>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9"/>
                          <a:stretch>
                            <a:fillRect/>
                          </a:stretch>
                        </pic:blipFill>
                        <pic:spPr>
                          <a:xfrm>
                            <a:off x="0" y="0"/>
                            <a:ext cx="276860" cy="353695"/>
                          </a:xfrm>
                          <a:prstGeom prst="rect">
                            <a:avLst/>
                          </a:prstGeom>
                          <a:noFill/>
                          <a:ln w="9525">
                            <a:noFill/>
                          </a:ln>
                        </pic:spPr>
                      </pic:pic>
                    </a:graphicData>
                  </a:graphic>
                </wp:anchor>
              </w:drawing>
            </w:r>
            <w:r>
              <w:rPr>
                <w:rFonts w:ascii="宋体" w:hAnsi="宋体" w:cs="宋体"/>
                <w:color w:val="000000" w:themeColor="text1"/>
                <w:kern w:val="0"/>
                <w:sz w:val="22"/>
                <w14:textFill>
                  <w14:solidFill>
                    <w14:schemeClr w14:val="tx1"/>
                  </w14:solidFill>
                </w14:textFill>
              </w:rPr>
              <w:drawing>
                <wp:anchor distT="0" distB="0" distL="114300" distR="114300" simplePos="0" relativeHeight="251670528" behindDoc="0" locked="0" layoutInCell="1" allowOverlap="1">
                  <wp:simplePos x="0" y="0"/>
                  <wp:positionH relativeFrom="column">
                    <wp:posOffset>278765</wp:posOffset>
                  </wp:positionH>
                  <wp:positionV relativeFrom="paragraph">
                    <wp:posOffset>43815</wp:posOffset>
                  </wp:positionV>
                  <wp:extent cx="328295" cy="353695"/>
                  <wp:effectExtent l="0" t="0" r="0" b="825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0"/>
                          <a:stretch>
                            <a:fillRect/>
                          </a:stretch>
                        </pic:blipFill>
                        <pic:spPr>
                          <a:xfrm>
                            <a:off x="0" y="0"/>
                            <a:ext cx="328295" cy="353695"/>
                          </a:xfrm>
                          <a:prstGeom prst="rect">
                            <a:avLst/>
                          </a:prstGeom>
                          <a:noFill/>
                          <a:ln w="9525">
                            <a:noFill/>
                          </a:ln>
                        </pic:spPr>
                      </pic:pic>
                    </a:graphicData>
                  </a:graphic>
                </wp:anchor>
              </w:drawing>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二合一测试盒补充液</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250ML/瓶</w:t>
            </w:r>
          </w:p>
        </w:tc>
        <w:tc>
          <w:tcPr>
            <w:tcW w:w="1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　</w:t>
            </w:r>
          </w:p>
        </w:tc>
      </w:tr>
    </w:tbl>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四、</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1"/>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须报全年药剂的投标总价，投标总价作为定标的依据。投标总价包括但不限于全年药剂产品（主要及辅助材料）的购买费、包装费、人工费、运输、装卸、加工（含加工过程中的主要及辅助材料损耗）、验收、维保、培训、利润、税金等完成招标需求全部内容全部费用。投标报价总价不得高于项目概算。</w:t>
      </w:r>
    </w:p>
    <w:p>
      <w:pPr>
        <w:spacing w:line="360" w:lineRule="auto"/>
        <w:ind w:firstLine="481"/>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五、服务要求</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1．提供泳池药剂在线水质监测设备及自动投药系统，确保泳池药剂为自动投加，自动检测（水处理药剂主要包括但不限于二水二氯、杀菌剂、澄清剂、除藻剂、中和剂、PH升高剂、PH降低剂、三氯速溶片等）；</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2．提供每次供货清单，由专人签字确认保管；</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3．专人服务，定期提供游泳馆水质检测分析工作（一周一次）；</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4．协助设备维护及水质相关问题的处理工作，提供有效处理方案；</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5．负责对游泳馆水质管理员进行水质养护专业技术培训，及日常工作对接、配合工作；</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6．协助卫生主管部门水质检查准备工作；</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7．配合参与其他与游泳馆水质相关的工作。</w:t>
      </w:r>
    </w:p>
    <w:p>
      <w:pPr>
        <w:tabs>
          <w:tab w:val="left" w:pos="0"/>
        </w:tabs>
        <w:spacing w:before="120" w:beforeLines="50" w:line="360" w:lineRule="auto"/>
        <w:ind w:left="-718" w:leftChars="-342" w:right="-82" w:rightChars="-39" w:firstLine="1323" w:firstLineChars="549"/>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b/>
          <w:bCs/>
          <w:color w:val="000000" w:themeColor="text1"/>
          <w:sz w:val="24"/>
          <w14:textFill>
            <w14:solidFill>
              <w14:schemeClr w14:val="tx1"/>
            </w14:solidFill>
          </w14:textFill>
        </w:rPr>
        <w:t>六、产品的质量及验收标准</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1．中标人向委托人供应的产品,其品种、规格、质量符合国家相关质量标准规范要求。</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2．中标人供应的产品范围内,国家相关质量监督管理等部门或顾客如对中标人所供的产品存有疑义的,中标人负有证明该产品符合国家标准并配合委托人澄清事实妥善处理的义务。</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3．中标人向委托人提供游泳池水质处理所需的所有药剂为合格正品。</w:t>
      </w:r>
    </w:p>
    <w:p>
      <w:pPr>
        <w:spacing w:line="360" w:lineRule="auto"/>
        <w:ind w:firstLine="48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4．中标人承包合肥市体育中心游泳馆训练池、跳水池、比赛池三个泳池合作期间水质养护用药费用，不得超过中标价，超出部分由中标人自行承担。</w:t>
      </w:r>
    </w:p>
    <w:p>
      <w:pPr>
        <w:spacing w:line="360" w:lineRule="auto"/>
        <w:ind w:firstLine="481"/>
        <w:rPr>
          <w:rFonts w:ascii="宋体" w:hAnsi="宋体"/>
          <w:bCs/>
          <w:color w:val="000000" w:themeColor="text1"/>
          <w:sz w:val="24"/>
          <w14:textFill>
            <w14:solidFill>
              <w14:schemeClr w14:val="tx1"/>
            </w14:solidFill>
          </w14:textFill>
        </w:rPr>
      </w:pPr>
    </w:p>
    <w:p>
      <w:pPr>
        <w:spacing w:line="360" w:lineRule="auto"/>
        <w:ind w:firstLine="481"/>
        <w:rPr>
          <w:rFonts w:ascii="宋体" w:hAnsi="宋体"/>
          <w:bCs/>
          <w:color w:val="000000" w:themeColor="text1"/>
          <w:sz w:val="24"/>
          <w14:textFill>
            <w14:solidFill>
              <w14:schemeClr w14:val="tx1"/>
            </w14:solidFill>
          </w14:textFill>
        </w:rPr>
      </w:pPr>
    </w:p>
    <w:p>
      <w:pPr>
        <w:spacing w:line="360" w:lineRule="auto"/>
        <w:ind w:firstLine="481"/>
        <w:rPr>
          <w:rFonts w:ascii="宋体" w:hAnsi="宋体"/>
          <w:bCs/>
          <w:color w:val="000000" w:themeColor="text1"/>
          <w:sz w:val="24"/>
          <w14:textFill>
            <w14:solidFill>
              <w14:schemeClr w14:val="tx1"/>
            </w14:solidFill>
          </w14:textFill>
        </w:rPr>
      </w:pPr>
    </w:p>
    <w:p>
      <w:pPr>
        <w:spacing w:line="360" w:lineRule="auto"/>
        <w:ind w:firstLine="481"/>
        <w:rPr>
          <w:rFonts w:ascii="宋体" w:hAnsi="宋体"/>
          <w:bCs/>
          <w:color w:val="000000" w:themeColor="text1"/>
          <w:sz w:val="24"/>
          <w14:textFill>
            <w14:solidFill>
              <w14:schemeClr w14:val="tx1"/>
            </w14:solidFill>
          </w14:textFill>
        </w:rPr>
      </w:pPr>
    </w:p>
    <w:p>
      <w:pPr>
        <w:spacing w:line="360" w:lineRule="auto"/>
        <w:ind w:firstLine="481"/>
        <w:rPr>
          <w:rFonts w:ascii="宋体" w:hAnsi="宋体"/>
          <w:bCs/>
          <w:color w:val="000000" w:themeColor="text1"/>
          <w:sz w:val="24"/>
          <w14:textFill>
            <w14:solidFill>
              <w14:schemeClr w14:val="tx1"/>
            </w14:solidFill>
          </w14:textFill>
        </w:rPr>
      </w:pPr>
    </w:p>
    <w:p>
      <w:pPr>
        <w:spacing w:line="360" w:lineRule="auto"/>
        <w:ind w:firstLine="481"/>
        <w:rPr>
          <w:rFonts w:ascii="宋体" w:hAnsi="宋体"/>
          <w:bCs/>
          <w:color w:val="000000" w:themeColor="text1"/>
          <w:sz w:val="24"/>
          <w14:textFill>
            <w14:solidFill>
              <w14:schemeClr w14:val="tx1"/>
            </w14:solidFill>
          </w14:textFill>
        </w:rPr>
      </w:pPr>
    </w:p>
    <w:p>
      <w:pPr>
        <w:spacing w:line="360" w:lineRule="auto"/>
        <w:ind w:firstLine="481"/>
        <w:rPr>
          <w:rFonts w:ascii="宋体" w:hAnsi="宋体"/>
          <w:bCs/>
          <w:color w:val="000000" w:themeColor="text1"/>
          <w:sz w:val="24"/>
          <w14:textFill>
            <w14:solidFill>
              <w14:schemeClr w14:val="tx1"/>
            </w14:solidFill>
          </w14:textFill>
        </w:rPr>
      </w:pPr>
    </w:p>
    <w:p>
      <w:pPr>
        <w:spacing w:line="360" w:lineRule="auto"/>
        <w:ind w:firstLine="481"/>
        <w:rPr>
          <w:rFonts w:ascii="宋体" w:hAnsi="宋体"/>
          <w:bCs/>
          <w:color w:val="000000" w:themeColor="text1"/>
          <w:sz w:val="24"/>
          <w14:textFill>
            <w14:solidFill>
              <w14:schemeClr w14:val="tx1"/>
            </w14:solidFill>
          </w14:textFill>
        </w:rPr>
      </w:pPr>
    </w:p>
    <w:p>
      <w:pPr>
        <w:spacing w:line="360" w:lineRule="auto"/>
        <w:ind w:firstLine="481"/>
        <w:rPr>
          <w:rFonts w:ascii="宋体" w:hAnsi="宋体"/>
          <w:bCs/>
          <w:color w:val="000000" w:themeColor="text1"/>
          <w:sz w:val="24"/>
          <w14:textFill>
            <w14:solidFill>
              <w14:schemeClr w14:val="tx1"/>
            </w14:solidFill>
          </w14:textFill>
        </w:rPr>
      </w:pPr>
    </w:p>
    <w:p>
      <w:pPr>
        <w:spacing w:line="360" w:lineRule="auto"/>
        <w:ind w:firstLine="481"/>
        <w:rPr>
          <w:rFonts w:ascii="宋体" w:hAnsi="宋体"/>
          <w:bCs/>
          <w:color w:val="000000" w:themeColor="text1"/>
          <w:sz w:val="24"/>
          <w14:textFill>
            <w14:solidFill>
              <w14:schemeClr w14:val="tx1"/>
            </w14:solidFill>
          </w14:textFill>
        </w:rPr>
      </w:pPr>
    </w:p>
    <w:p>
      <w:pPr>
        <w:rPr>
          <w:color w:val="000000" w:themeColor="text1"/>
          <w14:textFill>
            <w14:solidFill>
              <w14:schemeClr w14:val="tx1"/>
            </w14:solidFill>
          </w14:textFill>
        </w:rPr>
      </w:pPr>
      <w:bookmarkStart w:id="67" w:name="_Toc7187430"/>
    </w:p>
    <w:p>
      <w:pPr>
        <w:pStyle w:val="5"/>
        <w:spacing w:line="500" w:lineRule="exact"/>
        <w:jc w:val="center"/>
        <w:rPr>
          <w:rFonts w:ascii="宋体" w:hAnsi="宋体"/>
          <w:color w:val="000000" w:themeColor="text1"/>
          <w14:textFill>
            <w14:solidFill>
              <w14:schemeClr w14:val="tx1"/>
            </w14:solidFill>
          </w14:textFill>
        </w:rPr>
      </w:pPr>
      <w:bookmarkStart w:id="68" w:name="_Toc9997"/>
      <w:r>
        <w:rPr>
          <w:rFonts w:hint="eastAsia" w:ascii="宋体" w:hAnsi="宋体"/>
          <w:color w:val="000000" w:themeColor="text1"/>
          <w14:textFill>
            <w14:solidFill>
              <w14:schemeClr w14:val="tx1"/>
            </w14:solidFill>
          </w14:textFill>
        </w:rPr>
        <w:t>第五章 评标办法</w:t>
      </w:r>
      <w:bookmarkEnd w:id="24"/>
      <w:bookmarkEnd w:id="67"/>
      <w:bookmarkEnd w:id="68"/>
    </w:p>
    <w:p>
      <w:pPr>
        <w:adjustRightInd w:val="0"/>
        <w:snapToGrid w:val="0"/>
        <w:spacing w:line="360" w:lineRule="auto"/>
        <w:ind w:left="420" w:leftChars="200" w:right="-1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为了做好合肥体育中心游泳馆及天鹅湖全民健身中心游泳馆</w:t>
      </w:r>
      <w:r>
        <w:rPr>
          <w:rFonts w:hint="eastAsia" w:ascii="宋体" w:hAnsi="宋体"/>
          <w:color w:val="000000" w:themeColor="text1"/>
          <w:sz w:val="24"/>
          <w:lang w:eastAsia="zh-CN"/>
          <w14:textFill>
            <w14:solidFill>
              <w14:schemeClr w14:val="tx1"/>
            </w14:solidFill>
          </w14:textFill>
        </w:rPr>
        <w:t>2022</w:t>
      </w:r>
      <w:r>
        <w:rPr>
          <w:rFonts w:hint="eastAsia" w:ascii="宋体" w:hAnsi="宋体"/>
          <w:color w:val="000000" w:themeColor="text1"/>
          <w:sz w:val="24"/>
          <w14:textFill>
            <w14:solidFill>
              <w14:schemeClr w14:val="tx1"/>
            </w14:solidFill>
          </w14:textFill>
        </w:rPr>
        <w:t>年度水处理药剂及水质养护服务项目招标（项目编号：</w:t>
      </w:r>
      <w:r>
        <w:rPr>
          <w:rFonts w:hint="eastAsia" w:ascii="宋体" w:hAnsi="宋体"/>
          <w:bCs/>
          <w:color w:val="000000" w:themeColor="text1"/>
          <w:sz w:val="24"/>
          <w14:textFill>
            <w14:solidFill>
              <w14:schemeClr w14:val="tx1"/>
            </w14:solidFill>
          </w14:textFill>
        </w:rPr>
        <w:t>2021WLBLZB00</w:t>
      </w:r>
      <w:r>
        <w:rPr>
          <w:rFonts w:hint="eastAsia" w:ascii="宋体" w:hAnsi="宋体"/>
          <w:bCs/>
          <w:color w:val="000000" w:themeColor="text1"/>
          <w:sz w:val="24"/>
          <w:lang w:val="en-US" w:eastAsia="zh-CN"/>
          <w14:textFill>
            <w14:solidFill>
              <w14:schemeClr w14:val="tx1"/>
            </w14:solidFill>
          </w14:textFill>
        </w:rPr>
        <w:t>101</w:t>
      </w:r>
      <w:r>
        <w:rPr>
          <w:rFonts w:hint="eastAsia" w:ascii="宋体" w:hAnsi="宋体"/>
          <w:color w:val="000000" w:themeColor="text1"/>
          <w:sz w:val="24"/>
          <w14:textFill>
            <w14:solidFill>
              <w14:schemeClr w14:val="tx1"/>
            </w14:solidFill>
          </w14:textFill>
        </w:rPr>
        <w:t>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bookmarkStart w:id="69" w:name="_Toc220232391"/>
      <w:r>
        <w:rPr>
          <w:rFonts w:hint="eastAsia" w:ascii="宋体" w:hAnsi="宋体"/>
          <w:b/>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本次项目评标采用</w:t>
      </w:r>
      <w:r>
        <w:rPr>
          <w:rFonts w:hint="eastAsia" w:ascii="宋体" w:hAnsi="宋体"/>
          <w:color w:val="000000" w:themeColor="text1"/>
          <w:sz w:val="24"/>
          <w:szCs w:val="24"/>
          <w:u w:val="single"/>
          <w14:textFill>
            <w14:solidFill>
              <w14:schemeClr w14:val="tx1"/>
            </w14:solidFill>
          </w14:textFill>
        </w:rPr>
        <w:t>综合评分法</w:t>
      </w:r>
      <w:r>
        <w:rPr>
          <w:rFonts w:hint="eastAsia" w:ascii="宋体" w:hAnsi="宋体"/>
          <w:color w:val="000000" w:themeColor="text1"/>
          <w:sz w:val="24"/>
          <w:szCs w:val="24"/>
          <w14:textFill>
            <w14:solidFill>
              <w14:schemeClr w14:val="tx1"/>
            </w14:solidFill>
          </w14:textFill>
        </w:rPr>
        <w:t>作为对投标人标书的比较方法。</w:t>
      </w:r>
    </w:p>
    <w:p>
      <w:pPr>
        <w:adjustRightInd w:val="0"/>
        <w:snapToGrid w:val="0"/>
        <w:spacing w:line="360" w:lineRule="auto"/>
        <w:ind w:left="-61" w:leftChars="-29"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本项目将依法组建不少于</w:t>
      </w:r>
      <w:r>
        <w:rPr>
          <w:rFonts w:hint="eastAsia" w:ascii="宋体" w:hAnsi="宋体"/>
          <w:b/>
          <w:color w:val="000000" w:themeColor="text1"/>
          <w:sz w:val="24"/>
          <w:szCs w:val="24"/>
          <w:u w:val="single"/>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人的评标委员会，负责本项目的评标工作。</w:t>
      </w:r>
    </w:p>
    <w:p>
      <w:pPr>
        <w:adjustRightInd w:val="0"/>
        <w:snapToGrid w:val="0"/>
        <w:spacing w:line="360" w:lineRule="auto"/>
        <w:ind w:left="-61" w:leftChars="-29"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有效投标应符合以下原则：</w:t>
      </w:r>
    </w:p>
    <w:p>
      <w:pPr>
        <w:spacing w:line="360" w:lineRule="auto"/>
        <w:ind w:left="480" w:right="-1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5.4评标委员会依据招标文件认定的其他原则。</w:t>
      </w:r>
    </w:p>
    <w:p>
      <w:pPr>
        <w:adjustRightInd w:val="0"/>
        <w:snapToGrid w:val="0"/>
        <w:spacing w:line="360" w:lineRule="auto"/>
        <w:ind w:right="-10" w:firstLine="482" w:firstLineChars="200"/>
        <w:rPr>
          <w:rFonts w:ascii="宋体" w:hAnsi="宋体" w:cs="宋体-18030"/>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6.</w:t>
      </w:r>
      <w:r>
        <w:rPr>
          <w:rFonts w:hint="eastAsia" w:ascii="宋体" w:hAnsi="宋体" w:cs="宋体-18030"/>
          <w:color w:val="000000" w:themeColor="text1"/>
          <w:sz w:val="24"/>
          <w:szCs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8.评审程序</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本项目采用综合评分法进行评审，在最大限度地满足招标文件实质性要求前提下，按照招标文件中规定的各项因素进行综合评审。综合评分法的主要因素是：技术部分、商务部分以及相应的比重。</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评标委员会遵循规定评标原则，对投标人进行初审、详细评审、商务部分得分计算和确定中标候选人。</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5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pPr>
              <w:adjustRightInd w:val="0"/>
              <w:snapToGrid w:val="0"/>
              <w:spacing w:line="390" w:lineRule="exact"/>
              <w:ind w:right="-10"/>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720" w:type="dxa"/>
            <w:tcBorders>
              <w:bottom w:val="single" w:color="auto" w:sz="4" w:space="0"/>
            </w:tcBorders>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897" w:type="dxa"/>
            <w:tcBorders>
              <w:bottom w:val="single" w:color="auto" w:sz="4" w:space="0"/>
            </w:tcBorders>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720" w:type="dxa"/>
            <w:tcBorders>
              <w:bottom w:val="single" w:color="auto" w:sz="4" w:space="0"/>
            </w:tcBorders>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与营业执照一致</w:t>
            </w:r>
          </w:p>
        </w:tc>
        <w:tc>
          <w:tcPr>
            <w:tcW w:w="851" w:type="dxa"/>
            <w:tcBorders>
              <w:bottom w:val="single" w:color="auto" w:sz="4" w:space="0"/>
            </w:tcBorders>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720" w:type="dxa"/>
            <w:tcBorders>
              <w:bottom w:val="single" w:color="auto" w:sz="4" w:space="0"/>
            </w:tcBorders>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1897" w:type="dxa"/>
            <w:tcBorders>
              <w:bottom w:val="single" w:color="auto" w:sz="4" w:space="0"/>
            </w:tcBorders>
            <w:vAlign w:val="center"/>
          </w:tcPr>
          <w:p>
            <w:pPr>
              <w:spacing w:line="390" w:lineRule="exact"/>
              <w:ind w:right="-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390" w:lineRule="exact"/>
              <w:ind w:right="-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390" w:lineRule="exact"/>
              <w:ind w:right="-11"/>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390" w:lineRule="exact"/>
              <w:ind w:right="-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提供有效的营业执照（或事业单位法人证书）的扫描件，应完整的体现出营业执照（或事业单位法人证书）的全部内容。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trPr>
        <w:tc>
          <w:tcPr>
            <w:tcW w:w="720"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1897"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投标函</w:t>
            </w:r>
          </w:p>
        </w:tc>
        <w:tc>
          <w:tcPr>
            <w:tcW w:w="2835"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720"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1897"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投标授权书</w:t>
            </w:r>
          </w:p>
        </w:tc>
        <w:tc>
          <w:tcPr>
            <w:tcW w:w="2835"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720"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1897"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投标人信用记录证明材料</w:t>
            </w:r>
          </w:p>
        </w:tc>
        <w:tc>
          <w:tcPr>
            <w:tcW w:w="2835"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详见第七章响应文件格式“投标人信用承诺”。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720"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6</w:t>
            </w:r>
          </w:p>
        </w:tc>
        <w:tc>
          <w:tcPr>
            <w:tcW w:w="1897"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开标一览表</w:t>
            </w:r>
          </w:p>
        </w:tc>
        <w:tc>
          <w:tcPr>
            <w:tcW w:w="2835"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20"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w:t>
            </w:r>
          </w:p>
        </w:tc>
        <w:tc>
          <w:tcPr>
            <w:tcW w:w="1897"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投标报价</w:t>
            </w:r>
          </w:p>
        </w:tc>
        <w:tc>
          <w:tcPr>
            <w:tcW w:w="2835"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720"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p>
        </w:tc>
        <w:tc>
          <w:tcPr>
            <w:tcW w:w="1897" w:type="dxa"/>
            <w:vAlign w:val="center"/>
          </w:tcPr>
          <w:p>
            <w:pPr>
              <w:spacing w:line="390" w:lineRule="exact"/>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投标人资格</w:t>
            </w:r>
          </w:p>
        </w:tc>
        <w:tc>
          <w:tcPr>
            <w:tcW w:w="2835" w:type="dxa"/>
            <w:vAlign w:val="center"/>
          </w:tcPr>
          <w:p>
            <w:pPr>
              <w:spacing w:line="390" w:lineRule="exact"/>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符合招标文件要求</w:t>
            </w:r>
          </w:p>
        </w:tc>
        <w:tc>
          <w:tcPr>
            <w:tcW w:w="851" w:type="dxa"/>
            <w:vAlign w:val="center"/>
          </w:tcPr>
          <w:p>
            <w:pPr>
              <w:spacing w:line="390" w:lineRule="exact"/>
              <w:ind w:right="-10"/>
              <w:jc w:val="center"/>
              <w:rPr>
                <w:rFonts w:hint="eastAsia"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spacing w:line="390" w:lineRule="exact"/>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详见第一章投标邀请</w:t>
            </w:r>
          </w:p>
          <w:p>
            <w:pPr>
              <w:spacing w:line="390" w:lineRule="exact"/>
              <w:ind w:right="-1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20" w:type="dxa"/>
            <w:vAlign w:val="center"/>
          </w:tcPr>
          <w:p>
            <w:pPr>
              <w:adjustRightInd w:val="0"/>
              <w:snapToGrid w:val="0"/>
              <w:spacing w:line="390" w:lineRule="exact"/>
              <w:ind w:right="-10"/>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9</w:t>
            </w:r>
          </w:p>
        </w:tc>
        <w:tc>
          <w:tcPr>
            <w:tcW w:w="1897" w:type="dxa"/>
            <w:vAlign w:val="center"/>
          </w:tcPr>
          <w:p>
            <w:pPr>
              <w:autoSpaceDE w:val="0"/>
              <w:autoSpaceDN w:val="0"/>
              <w:adjustRightInd w:val="0"/>
              <w:spacing w:line="390" w:lineRule="exact"/>
              <w:ind w:firstLine="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投保保证金</w:t>
            </w:r>
          </w:p>
        </w:tc>
        <w:tc>
          <w:tcPr>
            <w:tcW w:w="2835" w:type="dxa"/>
            <w:vAlign w:val="center"/>
          </w:tcPr>
          <w:p>
            <w:pPr>
              <w:spacing w:line="390" w:lineRule="exact"/>
              <w:ind w:right="-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spacing w:line="390" w:lineRule="exact"/>
              <w:jc w:val="center"/>
              <w:outlineLvl w:val="1"/>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720" w:type="dxa"/>
            <w:vAlign w:val="center"/>
          </w:tcPr>
          <w:p>
            <w:pPr>
              <w:adjustRightInd w:val="0"/>
              <w:snapToGrid w:val="0"/>
              <w:spacing w:line="390" w:lineRule="exact"/>
              <w:ind w:right="-1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p>
        </w:tc>
        <w:tc>
          <w:tcPr>
            <w:tcW w:w="1897"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本地化服务</w:t>
            </w:r>
          </w:p>
        </w:tc>
        <w:tc>
          <w:tcPr>
            <w:tcW w:w="2835"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20" w:type="dxa"/>
            <w:vAlign w:val="center"/>
          </w:tcPr>
          <w:p>
            <w:pPr>
              <w:adjustRightInd w:val="0"/>
              <w:snapToGrid w:val="0"/>
              <w:spacing w:line="390" w:lineRule="exact"/>
              <w:ind w:right="-1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p>
        </w:tc>
        <w:tc>
          <w:tcPr>
            <w:tcW w:w="1897"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标书响应情况</w:t>
            </w:r>
          </w:p>
        </w:tc>
        <w:tc>
          <w:tcPr>
            <w:tcW w:w="2835"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付款响应、完工期响应、质保期响应</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Align w:val="center"/>
          </w:tcPr>
          <w:p>
            <w:pPr>
              <w:adjustRightInd w:val="0"/>
              <w:snapToGrid w:val="0"/>
              <w:spacing w:line="390" w:lineRule="exact"/>
              <w:ind w:right="-10"/>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p>
        </w:tc>
        <w:tc>
          <w:tcPr>
            <w:tcW w:w="1897"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标书规范性</w:t>
            </w:r>
          </w:p>
        </w:tc>
        <w:tc>
          <w:tcPr>
            <w:tcW w:w="2835"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trPr>
        <w:tc>
          <w:tcPr>
            <w:tcW w:w="720" w:type="dxa"/>
            <w:vAlign w:val="center"/>
          </w:tcPr>
          <w:p>
            <w:pPr>
              <w:adjustRightInd w:val="0"/>
              <w:snapToGrid w:val="0"/>
              <w:spacing w:line="390" w:lineRule="exact"/>
              <w:ind w:right="-10"/>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3</w:t>
            </w:r>
          </w:p>
        </w:tc>
        <w:tc>
          <w:tcPr>
            <w:tcW w:w="1897"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其他要求</w:t>
            </w:r>
          </w:p>
        </w:tc>
        <w:tc>
          <w:tcPr>
            <w:tcW w:w="2835" w:type="dxa"/>
            <w:vAlign w:val="center"/>
          </w:tcPr>
          <w:p>
            <w:pPr>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上述指标中未列出，但国家相关法律法规或谈判文件有明确规定的</w:t>
            </w:r>
          </w:p>
        </w:tc>
        <w:tc>
          <w:tcPr>
            <w:tcW w:w="851"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c>
          <w:tcPr>
            <w:tcW w:w="2858" w:type="dxa"/>
            <w:vAlign w:val="center"/>
          </w:tcPr>
          <w:p>
            <w:pPr>
              <w:adjustRightInd w:val="0"/>
              <w:snapToGrid w:val="0"/>
              <w:spacing w:line="390" w:lineRule="exact"/>
              <w:ind w:right="-10"/>
              <w:jc w:val="cente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90" w:lineRule="exact"/>
              <w:ind w:right="-1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adjustRightInd w:val="0"/>
              <w:snapToGrid w:val="0"/>
              <w:spacing w:line="390" w:lineRule="exact"/>
              <w:ind w:right="-1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详细评审</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w:t>
      </w:r>
      <w:r>
        <w:rPr>
          <w:rFonts w:ascii="宋体" w:hAnsi="宋体"/>
          <w:bCs/>
          <w:color w:val="000000" w:themeColor="text1"/>
          <w:sz w:val="24"/>
          <w:szCs w:val="24"/>
          <w14:textFill>
            <w14:solidFill>
              <w14:schemeClr w14:val="tx1"/>
            </w14:solidFill>
          </w14:textFill>
        </w:rPr>
        <w:t>.2.1</w:t>
      </w:r>
      <w:bookmarkStart w:id="70" w:name="_Hlk514734853"/>
      <w:r>
        <w:rPr>
          <w:rFonts w:hint="eastAsia" w:ascii="宋体" w:hAnsi="宋体"/>
          <w:bCs/>
          <w:color w:val="000000" w:themeColor="text1"/>
          <w:sz w:val="24"/>
          <w:szCs w:val="24"/>
          <w14:textFill>
            <w14:solidFill>
              <w14:schemeClr w14:val="tx1"/>
            </w14:solidFill>
          </w14:textFill>
        </w:rPr>
        <w:t>评标委员会将对所有通过初审的投标文件进行详细评审，具体如下：</w:t>
      </w:r>
      <w:bookmarkEnd w:id="70"/>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根据评分的细则，评委应对进入详细评审的所有投标文件进行评分，并分别填写打分表。</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将投标人每个分值项得分进行汇总求出平均值，得到该投标人的得分。投标人的各项得分均保留小数点后两位（小数点后第三位四舍五入）。</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8.2.2</w:t>
      </w:r>
      <w:r>
        <w:rPr>
          <w:rFonts w:hint="eastAsia" w:ascii="宋体" w:hAnsi="宋体"/>
          <w:color w:val="000000" w:themeColor="text1"/>
          <w:sz w:val="24"/>
          <w:szCs w:val="24"/>
          <w14:textFill>
            <w14:solidFill>
              <w14:schemeClr w14:val="tx1"/>
            </w14:solidFill>
          </w14:textFill>
        </w:rPr>
        <w:t>技术部分详细评审</w:t>
      </w:r>
      <w:r>
        <w:rPr>
          <w:rFonts w:hint="eastAsia" w:ascii="宋体" w:hAnsi="宋体"/>
          <w:bCs/>
          <w:color w:val="000000" w:themeColor="text1"/>
          <w:sz w:val="24"/>
          <w:szCs w:val="24"/>
          <w14:textFill>
            <w14:solidFill>
              <w14:schemeClr w14:val="tx1"/>
            </w14:solidFill>
          </w14:textFill>
        </w:rPr>
        <w:t>指标如下:(总分60分）</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8.2.2</w:t>
      </w:r>
      <w:r>
        <w:rPr>
          <w:rFonts w:hint="eastAsia" w:ascii="宋体" w:hAnsi="宋体"/>
          <w:color w:val="000000" w:themeColor="text1"/>
          <w:sz w:val="24"/>
          <w:szCs w:val="24"/>
          <w14:textFill>
            <w14:solidFill>
              <w14:schemeClr w14:val="tx1"/>
            </w14:solidFill>
          </w14:textFill>
        </w:rPr>
        <w:t>技术部分详细评审</w:t>
      </w:r>
      <w:bookmarkStart w:id="71" w:name="_Hlk514734883"/>
      <w:r>
        <w:rPr>
          <w:rFonts w:hint="eastAsia" w:ascii="宋体" w:hAnsi="宋体"/>
          <w:bCs/>
          <w:color w:val="000000" w:themeColor="text1"/>
          <w:sz w:val="24"/>
          <w:szCs w:val="24"/>
          <w14:textFill>
            <w14:solidFill>
              <w14:schemeClr w14:val="tx1"/>
            </w14:solidFill>
          </w14:textFill>
        </w:rPr>
        <w:t>指标如下：</w:t>
      </w:r>
      <w:bookmarkEnd w:id="71"/>
    </w:p>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p>
    <w:tbl>
      <w:tblPr>
        <w:tblStyle w:val="50"/>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08"/>
        <w:gridCol w:w="7230"/>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0097" w:type="dxa"/>
            <w:gridSpan w:val="4"/>
            <w:vAlign w:val="center"/>
          </w:tcPr>
          <w:p>
            <w:pPr>
              <w:adjustRightInd w:val="0"/>
              <w:snapToGrid w:val="0"/>
              <w:spacing w:line="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技术部分详细评审表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61" w:type="dxa"/>
            <w:vAlign w:val="center"/>
          </w:tcPr>
          <w:p>
            <w:pPr>
              <w:adjustRightInd w:val="0"/>
              <w:snapToGrid w:val="0"/>
              <w:spacing w:line="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808" w:type="dxa"/>
            <w:vAlign w:val="center"/>
          </w:tcPr>
          <w:p>
            <w:pPr>
              <w:adjustRightInd w:val="0"/>
              <w:snapToGrid w:val="0"/>
              <w:spacing w:line="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指标</w:t>
            </w:r>
          </w:p>
        </w:tc>
        <w:tc>
          <w:tcPr>
            <w:tcW w:w="7230" w:type="dxa"/>
            <w:vAlign w:val="center"/>
          </w:tcPr>
          <w:p>
            <w:pPr>
              <w:adjustRightInd w:val="0"/>
              <w:snapToGrid w:val="0"/>
              <w:spacing w:line="0" w:lineRule="atLeast"/>
              <w:ind w:firstLine="482" w:firstLineChars="20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指标描述</w:t>
            </w:r>
          </w:p>
        </w:tc>
        <w:tc>
          <w:tcPr>
            <w:tcW w:w="1298" w:type="dxa"/>
            <w:vAlign w:val="center"/>
          </w:tcPr>
          <w:p>
            <w:pPr>
              <w:adjustRightInd w:val="0"/>
              <w:snapToGrid w:val="0"/>
              <w:spacing w:line="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61"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808"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投标人综合实力</w:t>
            </w:r>
          </w:p>
        </w:tc>
        <w:tc>
          <w:tcPr>
            <w:tcW w:w="7230"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（1）投标人具有有效的经中国国家认证认可监督管理委员会认证机构颁发的：ISO9001质量管理体系认证证书、ISO14001环境管理体系认证证书、OHSAS18001或GB/T28001职业健康安全管理体系认证证书的，每提供一项，得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分，本子项满分</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分。</w:t>
            </w:r>
          </w:p>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备注：投标文件中提供证书扫描件和中国国家认证认可监督管理委员会官网查询截图作为评标依据，未提供的不得分。</w:t>
            </w:r>
          </w:p>
        </w:tc>
        <w:tc>
          <w:tcPr>
            <w:tcW w:w="1298"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lang w:val="en-US" w:eastAsia="zh-CN"/>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61"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808"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投标人业绩</w:t>
            </w:r>
          </w:p>
        </w:tc>
        <w:tc>
          <w:tcPr>
            <w:tcW w:w="7230" w:type="dxa"/>
          </w:tcPr>
          <w:p>
            <w:pPr>
              <w:spacing w:line="360" w:lineRule="auto"/>
              <w:ind w:right="-1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投标人自2015年1月1日（以合同签订时间为准）以来，具有游泳馆水处理药剂和水质养护供货业绩,且该业绩单项合同金额同时符合以下条件：</w:t>
            </w:r>
          </w:p>
          <w:p>
            <w:pPr>
              <w:spacing w:line="360" w:lineRule="auto"/>
              <w:ind w:right="-1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（1）15万元≤F＜20万元的相关业绩，每提供一份符合要求的业绩合同，得3分；</w:t>
            </w:r>
          </w:p>
          <w:p>
            <w:pPr>
              <w:spacing w:line="360" w:lineRule="auto"/>
              <w:ind w:right="-1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（2）F≥20万元，每提供一份符合要求的业绩合同，得5分。</w:t>
            </w:r>
          </w:p>
          <w:p>
            <w:pPr>
              <w:spacing w:line="360" w:lineRule="auto"/>
              <w:rPr>
                <w:rFonts w:ascii="宋体" w:hAnsi="宋体" w:cs="宋体"/>
                <w:color w:val="000000" w:themeColor="text1"/>
                <w:sz w:val="24"/>
                <w:szCs w:val="24"/>
                <w:shd w:val="clear" w:color="FFFFFF" w:fill="D9D9D9"/>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注：本项满分</w:t>
            </w:r>
            <w:r>
              <w:rPr>
                <w:rFonts w:hint="eastAsia" w:ascii="宋体" w:hAnsi="宋体" w:cs="宋体"/>
                <w:color w:val="000000" w:themeColor="text1"/>
                <w:kern w:val="0"/>
                <w:sz w:val="24"/>
                <w:szCs w:val="24"/>
                <w:lang w:val="en-US" w:eastAsia="zh-CN"/>
                <w14:textFill>
                  <w14:solidFill>
                    <w14:schemeClr w14:val="tx1"/>
                  </w14:solidFill>
                </w14:textFill>
              </w:rPr>
              <w:t>15</w:t>
            </w:r>
            <w:r>
              <w:rPr>
                <w:rFonts w:hint="eastAsia" w:ascii="宋体" w:hAnsi="宋体" w:cs="宋体"/>
                <w:color w:val="000000" w:themeColor="text1"/>
                <w:kern w:val="0"/>
                <w:sz w:val="24"/>
                <w:szCs w:val="24"/>
                <w14:textFill>
                  <w14:solidFill>
                    <w14:schemeClr w14:val="tx1"/>
                  </w14:solidFill>
                </w14:textFill>
              </w:rPr>
              <w:t>分，同一业绩不重复计分，以单个业绩对应的高分计一次。</w:t>
            </w:r>
          </w:p>
        </w:tc>
        <w:tc>
          <w:tcPr>
            <w:tcW w:w="1298"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lang w:val="en-US" w:eastAsia="zh-CN"/>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61"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808" w:type="dxa"/>
            <w:vAlign w:val="center"/>
          </w:tcPr>
          <w:p>
            <w:pPr>
              <w:spacing w:line="0" w:lineRule="atLeas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产品证明文件</w:t>
            </w:r>
          </w:p>
        </w:tc>
        <w:tc>
          <w:tcPr>
            <w:tcW w:w="7230" w:type="dxa"/>
            <w:vAlign w:val="center"/>
          </w:tcPr>
          <w:p>
            <w:pPr>
              <w:spacing w:line="360" w:lineRule="auto"/>
              <w:ind w:right="-1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投标人提供的药品/药剂须提供生产厂家合格批件号，每提供1份，得</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分，</w:t>
            </w:r>
            <w:r>
              <w:rPr>
                <w:rFonts w:hint="eastAsia" w:ascii="宋体" w:hAnsi="宋体"/>
                <w:color w:val="000000" w:themeColor="text1"/>
                <w:kern w:val="0"/>
                <w:sz w:val="24"/>
                <w:szCs w:val="24"/>
                <w14:textFill>
                  <w14:solidFill>
                    <w14:schemeClr w14:val="tx1"/>
                  </w14:solidFill>
                </w14:textFill>
              </w:rPr>
              <w:t>本项</w:t>
            </w:r>
            <w:r>
              <w:rPr>
                <w:rFonts w:hint="eastAsia" w:ascii="宋体" w:hAnsi="宋体" w:cs="宋体"/>
                <w:color w:val="000000" w:themeColor="text1"/>
                <w:kern w:val="0"/>
                <w:sz w:val="24"/>
                <w:szCs w:val="24"/>
                <w14:textFill>
                  <w14:solidFill>
                    <w14:schemeClr w14:val="tx1"/>
                  </w14:solidFill>
                </w14:textFill>
              </w:rPr>
              <w:t>满分</w:t>
            </w:r>
            <w:r>
              <w:rPr>
                <w:rFonts w:hint="eastAsia" w:ascii="宋体" w:hAnsi="宋体" w:cs="宋体"/>
                <w:color w:val="000000" w:themeColor="text1"/>
                <w:kern w:val="0"/>
                <w:sz w:val="24"/>
                <w:szCs w:val="24"/>
                <w:lang w:val="en-US" w:eastAsia="zh-CN"/>
                <w14:textFill>
                  <w14:solidFill>
                    <w14:schemeClr w14:val="tx1"/>
                  </w14:solidFill>
                </w14:textFill>
              </w:rPr>
              <w:t>12</w:t>
            </w:r>
            <w:r>
              <w:rPr>
                <w:rFonts w:hint="eastAsia" w:ascii="宋体" w:hAnsi="宋体" w:cs="宋体"/>
                <w:color w:val="000000" w:themeColor="text1"/>
                <w:kern w:val="0"/>
                <w:sz w:val="24"/>
                <w:szCs w:val="24"/>
                <w14:textFill>
                  <w14:solidFill>
                    <w14:schemeClr w14:val="tx1"/>
                  </w14:solidFill>
                </w14:textFill>
              </w:rPr>
              <w:t>分,未提供的不得分。</w:t>
            </w:r>
          </w:p>
        </w:tc>
        <w:tc>
          <w:tcPr>
            <w:tcW w:w="1298" w:type="dxa"/>
            <w:vAlign w:val="center"/>
          </w:tcPr>
          <w:p>
            <w:pPr>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hint="eastAsia" w:ascii="宋体" w:hAnsi="宋体"/>
                <w:color w:val="000000" w:themeColor="text1"/>
                <w:sz w:val="24"/>
                <w:lang w:val="en-US" w:eastAsia="zh-CN"/>
                <w14:textFill>
                  <w14:solidFill>
                    <w14:schemeClr w14:val="tx1"/>
                  </w14:solidFill>
                </w14:textFill>
              </w:rPr>
              <w:t>12</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61" w:type="dxa"/>
            <w:vAlign w:val="center"/>
          </w:tcPr>
          <w:p>
            <w:pPr>
              <w:adjustRightInd w:val="0"/>
              <w:snapToGrid w:val="0"/>
              <w:spacing w:line="0" w:lineRule="atLeast"/>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w:t>
            </w:r>
          </w:p>
        </w:tc>
        <w:tc>
          <w:tcPr>
            <w:tcW w:w="808"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投标人整体服务方案</w:t>
            </w:r>
          </w:p>
        </w:tc>
        <w:tc>
          <w:tcPr>
            <w:tcW w:w="7230"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根据投标人提供的各类药剂产品服务方案进行综合评审：</w:t>
            </w:r>
          </w:p>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较优的，得8≤F≤12分；良好的，得4≤F＜8分；一般的，得1≤F＜4分，未提供的不得分。</w:t>
            </w:r>
          </w:p>
        </w:tc>
        <w:tc>
          <w:tcPr>
            <w:tcW w:w="1298"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761" w:type="dxa"/>
            <w:vAlign w:val="center"/>
          </w:tcPr>
          <w:p>
            <w:pPr>
              <w:adjustRightInd w:val="0"/>
              <w:snapToGrid w:val="0"/>
              <w:spacing w:line="0" w:lineRule="atLeast"/>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p>
        </w:tc>
        <w:tc>
          <w:tcPr>
            <w:tcW w:w="808"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服务承诺</w:t>
            </w:r>
          </w:p>
        </w:tc>
        <w:tc>
          <w:tcPr>
            <w:tcW w:w="7230"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根据投标人提供的售后服务方案、措施、响应及本地化服务能力等情况进行综合评审：</w:t>
            </w:r>
          </w:p>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较优的，得</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≤F≤</w:t>
            </w:r>
            <w:r>
              <w:rPr>
                <w:rFonts w:hint="eastAsia" w:ascii="宋体" w:hAnsi="宋体"/>
                <w:color w:val="000000" w:themeColor="text1"/>
                <w:sz w:val="24"/>
                <w:szCs w:val="24"/>
                <w:lang w:val="en-US" w:eastAsia="zh-CN"/>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分；良好的，得</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≤F＜</w:t>
            </w: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分；一般的，得</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≤F＜</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分，未提供的不得分。</w:t>
            </w:r>
          </w:p>
        </w:tc>
        <w:tc>
          <w:tcPr>
            <w:tcW w:w="1298" w:type="dxa"/>
            <w:vAlign w:val="center"/>
          </w:tcPr>
          <w:p>
            <w:pPr>
              <w:adjustRightInd w:val="0"/>
              <w:snapToGrid w:val="0"/>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lang w:val="en-US" w:eastAsia="zh-CN"/>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761" w:type="dxa"/>
            <w:vAlign w:val="center"/>
          </w:tcPr>
          <w:p>
            <w:pPr>
              <w:spacing w:line="0" w:lineRule="atLeast"/>
              <w:jc w:val="center"/>
              <w:rPr>
                <w:rFonts w:ascii="宋体" w:hAnsi="宋体"/>
                <w:b/>
                <w:color w:val="000000" w:themeColor="text1"/>
                <w:sz w:val="24"/>
                <w14:textFill>
                  <w14:solidFill>
                    <w14:schemeClr w14:val="tx1"/>
                  </w14:solidFill>
                </w14:textFill>
              </w:rPr>
            </w:pPr>
          </w:p>
        </w:tc>
        <w:tc>
          <w:tcPr>
            <w:tcW w:w="808" w:type="dxa"/>
            <w:vAlign w:val="center"/>
          </w:tcPr>
          <w:p>
            <w:pPr>
              <w:spacing w:line="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合计</w:t>
            </w:r>
          </w:p>
        </w:tc>
        <w:tc>
          <w:tcPr>
            <w:tcW w:w="7230" w:type="dxa"/>
            <w:vAlign w:val="center"/>
          </w:tcPr>
          <w:p>
            <w:pPr>
              <w:spacing w:line="0" w:lineRule="atLeast"/>
              <w:rPr>
                <w:rFonts w:ascii="宋体" w:hAnsi="宋体"/>
                <w:b/>
                <w:color w:val="000000" w:themeColor="text1"/>
                <w:sz w:val="24"/>
                <w14:textFill>
                  <w14:solidFill>
                    <w14:schemeClr w14:val="tx1"/>
                  </w14:solidFill>
                </w14:textFill>
              </w:rPr>
            </w:pPr>
          </w:p>
        </w:tc>
        <w:tc>
          <w:tcPr>
            <w:tcW w:w="1298" w:type="dxa"/>
            <w:vAlign w:val="center"/>
          </w:tcPr>
          <w:p>
            <w:pPr>
              <w:spacing w:line="0" w:lineRule="atLeast"/>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60分</w:t>
            </w:r>
          </w:p>
        </w:tc>
      </w:tr>
    </w:tbl>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p>
    <w:p>
      <w:pPr>
        <w:spacing w:line="360" w:lineRule="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8.3商务部分得分计算（40分）</w:t>
      </w:r>
    </w:p>
    <w:tbl>
      <w:tblPr>
        <w:tblStyle w:val="50"/>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014"/>
        <w:gridCol w:w="654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0" w:type="pct"/>
            <w:vAlign w:val="center"/>
          </w:tcPr>
          <w:p>
            <w:pPr>
              <w:spacing w:line="360" w:lineRule="auto"/>
              <w:jc w:val="center"/>
              <w:rPr>
                <w:rFonts w:ascii="宋体" w:hAnsi="宋体"/>
                <w:b/>
                <w:color w:val="000000" w:themeColor="text1"/>
                <w:sz w:val="24"/>
                <w:szCs w:val="24"/>
                <w14:textFill>
                  <w14:solidFill>
                    <w14:schemeClr w14:val="tx1"/>
                  </w14:solidFill>
                </w14:textFill>
              </w:rPr>
            </w:pPr>
            <w:bookmarkStart w:id="72" w:name="_Hlk514735375"/>
            <w:r>
              <w:rPr>
                <w:rFonts w:hint="eastAsia" w:ascii="宋体" w:hAnsi="宋体"/>
                <w:b/>
                <w:color w:val="000000" w:themeColor="text1"/>
                <w:sz w:val="24"/>
                <w:szCs w:val="24"/>
                <w14:textFill>
                  <w14:solidFill>
                    <w14:schemeClr w14:val="tx1"/>
                  </w14:solidFill>
                </w14:textFill>
              </w:rPr>
              <w:t>商务</w:t>
            </w:r>
          </w:p>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部分</w:t>
            </w:r>
          </w:p>
        </w:tc>
        <w:tc>
          <w:tcPr>
            <w:tcW w:w="506" w:type="pct"/>
            <w:vAlign w:val="center"/>
          </w:tcPr>
          <w:p>
            <w:pPr>
              <w:spacing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最终投标报价</w:t>
            </w:r>
          </w:p>
        </w:tc>
        <w:tc>
          <w:tcPr>
            <w:tcW w:w="3268" w:type="pct"/>
            <w:vAlign w:val="center"/>
          </w:tcPr>
          <w:p>
            <w:pPr>
              <w:spacing w:line="360" w:lineRule="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价格分统一采用</w:t>
            </w:r>
            <w:r>
              <w:rPr>
                <w:rFonts w:hint="eastAsia" w:ascii="宋体" w:hAnsi="宋体"/>
                <w:color w:val="000000" w:themeColor="text1"/>
                <w:sz w:val="24"/>
                <w:szCs w:val="24"/>
                <w14:textFill>
                  <w14:solidFill>
                    <w14:schemeClr w14:val="tx1"/>
                  </w14:solidFill>
                </w14:textFill>
              </w:rPr>
              <w:t>综合评分法</w:t>
            </w:r>
            <w:r>
              <w:rPr>
                <w:rFonts w:ascii="宋体" w:hAnsi="宋体"/>
                <w:color w:val="000000" w:themeColor="text1"/>
                <w:sz w:val="24"/>
                <w:szCs w:val="24"/>
                <w14:textFill>
                  <w14:solidFill>
                    <w14:schemeClr w14:val="tx1"/>
                  </w14:solidFill>
                </w14:textFill>
              </w:rPr>
              <w:t>，即满足招标文件要求且投标价格最低的投标报价为评标基准价，其价格分为满分。其他投标人的价格分统一按照下列公式计算：投标报价得分＝（评标基准价/投标报价）×</w:t>
            </w:r>
            <w:r>
              <w:rPr>
                <w:rFonts w:hint="eastAsia" w:ascii="宋体" w:hAnsi="宋体"/>
                <w:color w:val="000000" w:themeColor="text1"/>
                <w:sz w:val="24"/>
                <w:szCs w:val="24"/>
                <w:u w:val="single"/>
                <w14:textFill>
                  <w14:solidFill>
                    <w14:schemeClr w14:val="tx1"/>
                  </w14:solidFill>
                </w14:textFill>
              </w:rPr>
              <w:t>40</w:t>
            </w:r>
            <w:r>
              <w:rPr>
                <w:rFonts w:ascii="宋体" w:hAnsi="宋体"/>
                <w:color w:val="000000" w:themeColor="text1"/>
                <w:sz w:val="24"/>
                <w:szCs w:val="24"/>
                <w14:textFill>
                  <w14:solidFill>
                    <w14:schemeClr w14:val="tx1"/>
                  </w14:solidFill>
                </w14:textFill>
              </w:rPr>
              <w:t>％×100</w:t>
            </w:r>
          </w:p>
        </w:tc>
        <w:tc>
          <w:tcPr>
            <w:tcW w:w="636" w:type="pct"/>
            <w:vAlign w:val="center"/>
          </w:tcPr>
          <w:p>
            <w:pPr>
              <w:widowControl/>
              <w:spacing w:line="360" w:lineRule="auto"/>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0-40分</w:t>
            </w:r>
          </w:p>
        </w:tc>
      </w:tr>
      <w:bookmarkEnd w:id="72"/>
    </w:tbl>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p>
    <w:p>
      <w:pPr>
        <w:adjustRightInd w:val="0"/>
        <w:snapToGrid w:val="0"/>
        <w:spacing w:line="360" w:lineRule="auto"/>
        <w:ind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8.4确定中标候选人</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w:t>
      </w:r>
      <w:r>
        <w:rPr>
          <w:rFonts w:ascii="宋体" w:hAnsi="宋体"/>
          <w:bCs/>
          <w:color w:val="000000" w:themeColor="text1"/>
          <w:sz w:val="24"/>
          <w:szCs w:val="24"/>
          <w14:textFill>
            <w14:solidFill>
              <w14:schemeClr w14:val="tx1"/>
            </w14:solidFill>
          </w14:textFill>
        </w:rPr>
        <w:t>.4.1</w:t>
      </w:r>
      <w:r>
        <w:rPr>
          <w:rFonts w:hint="eastAsia" w:ascii="宋体" w:hAnsi="宋体"/>
          <w:bCs/>
          <w:color w:val="000000" w:themeColor="text1"/>
          <w:sz w:val="24"/>
          <w:szCs w:val="24"/>
          <w14:textFill>
            <w14:solidFill>
              <w14:schemeClr w14:val="tx1"/>
            </w14:solidFill>
          </w14:textFill>
        </w:rPr>
        <w:t>计算最终得分</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将每个有效投标人的技术部分得分加商务部分得分，得出该投标人的最终得分。</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投标人的各项得分均</w:t>
      </w:r>
      <w:bookmarkStart w:id="73" w:name="_Hlk514730679"/>
      <w:r>
        <w:rPr>
          <w:rFonts w:hint="eastAsia" w:ascii="宋体" w:hAnsi="宋体"/>
          <w:bCs/>
          <w:color w:val="000000" w:themeColor="text1"/>
          <w:sz w:val="24"/>
          <w:szCs w:val="24"/>
          <w14:textFill>
            <w14:solidFill>
              <w14:schemeClr w14:val="tx1"/>
            </w14:solidFill>
          </w14:textFill>
        </w:rPr>
        <w:t>保留小数点后两位（小数点后第三位四舍五入）</w:t>
      </w:r>
      <w:bookmarkEnd w:id="73"/>
      <w:r>
        <w:rPr>
          <w:rFonts w:hint="eastAsia" w:ascii="宋体" w:hAnsi="宋体"/>
          <w:bCs/>
          <w:color w:val="000000" w:themeColor="text1"/>
          <w:sz w:val="24"/>
          <w:szCs w:val="24"/>
          <w14:textFill>
            <w14:solidFill>
              <w14:schemeClr w14:val="tx1"/>
            </w14:solidFill>
          </w14:textFill>
        </w:rPr>
        <w:t>。</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8</w:t>
      </w:r>
      <w:r>
        <w:rPr>
          <w:rFonts w:ascii="宋体" w:hAnsi="宋体"/>
          <w:bCs/>
          <w:color w:val="000000" w:themeColor="text1"/>
          <w:sz w:val="24"/>
          <w:szCs w:val="24"/>
          <w14:textFill>
            <w14:solidFill>
              <w14:schemeClr w14:val="tx1"/>
            </w14:solidFill>
          </w14:textFill>
        </w:rPr>
        <w:t>.4.2</w:t>
      </w:r>
      <w:r>
        <w:rPr>
          <w:rFonts w:hint="eastAsia" w:ascii="宋体" w:hAnsi="宋体"/>
          <w:bCs/>
          <w:color w:val="000000" w:themeColor="text1"/>
          <w:sz w:val="24"/>
          <w:szCs w:val="24"/>
          <w14:textFill>
            <w14:solidFill>
              <w14:schemeClr w14:val="tx1"/>
            </w14:solidFill>
          </w14:textFill>
        </w:rPr>
        <w:t>按照有效投标人最终得分由高到低排出中标候选人。</w:t>
      </w:r>
    </w:p>
    <w:p>
      <w:pPr>
        <w:adjustRightInd w:val="0"/>
        <w:snapToGrid w:val="0"/>
        <w:spacing w:line="360" w:lineRule="auto"/>
        <w:ind w:right="-10" w:firstLine="420" w:firstLineChars="175"/>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最终得分相同的，按技术部分得分由高到低顺序排序。技术部分得分及最终得分均相同的，</w:t>
      </w:r>
      <w:bookmarkStart w:id="74" w:name="_Hlk514735510"/>
      <w:r>
        <w:rPr>
          <w:rFonts w:hint="eastAsia" w:ascii="宋体" w:hAnsi="宋体"/>
          <w:bCs/>
          <w:color w:val="000000" w:themeColor="text1"/>
          <w:sz w:val="24"/>
          <w:szCs w:val="24"/>
          <w14:textFill>
            <w14:solidFill>
              <w14:schemeClr w14:val="tx1"/>
            </w14:solidFill>
          </w14:textFill>
        </w:rPr>
        <w:t>则采取评标委员会抽签方式确定其前后次序。</w:t>
      </w:r>
      <w:bookmarkEnd w:id="74"/>
    </w:p>
    <w:p>
      <w:pPr>
        <w:adjustRightInd w:val="0"/>
        <w:snapToGrid w:val="0"/>
        <w:spacing w:line="360" w:lineRule="auto"/>
        <w:ind w:right="-10" w:firstLine="540" w:firstLineChars="224"/>
        <w:rPr>
          <w:rFonts w:ascii="宋体" w:hAnsi="宋体"/>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各投标人的得分一经得出，并核对无误后，任何人不得更改。</w:t>
      </w:r>
    </w:p>
    <w:p>
      <w:pPr>
        <w:spacing w:line="360" w:lineRule="auto"/>
        <w:ind w:right="-10" w:firstLine="482"/>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13.</w:t>
      </w:r>
      <w:r>
        <w:rPr>
          <w:rFonts w:hint="eastAsia" w:ascii="宋体" w:hAnsi="宋体"/>
          <w:color w:val="000000" w:themeColor="text1"/>
          <w:sz w:val="24"/>
          <w:szCs w:val="24"/>
          <w14:textFill>
            <w14:solidFill>
              <w14:schemeClr w14:val="tx1"/>
            </w14:solidFill>
          </w14:textFill>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14.</w:t>
      </w:r>
      <w:r>
        <w:rPr>
          <w:rFonts w:hint="eastAsia" w:ascii="宋体" w:hAnsi="宋体"/>
          <w:bCs/>
          <w:color w:val="000000" w:themeColor="text1"/>
          <w:sz w:val="24"/>
          <w:szCs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rFonts w:ascii="宋体" w:hAnsi="宋体"/>
          <w:i/>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16.</w:t>
      </w:r>
      <w:r>
        <w:rPr>
          <w:rFonts w:hint="eastAsia" w:ascii="宋体" w:hAnsi="宋体"/>
          <w:bCs/>
          <w:color w:val="000000" w:themeColor="text1"/>
          <w:sz w:val="24"/>
          <w:szCs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0" w:firstLineChars="200"/>
        <w:rPr>
          <w:rFonts w:ascii="宋体" w:hAnsi="宋体"/>
          <w:bCs/>
          <w:color w:val="000000" w:themeColor="text1"/>
          <w:sz w:val="24"/>
          <w:szCs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ind w:firstLine="480" w:firstLineChars="200"/>
        <w:rPr>
          <w:rFonts w:ascii="宋体" w:hAnsi="宋体"/>
          <w:bCs/>
          <w:color w:val="000000" w:themeColor="text1"/>
          <w:sz w:val="24"/>
          <w14:textFill>
            <w14:solidFill>
              <w14:schemeClr w14:val="tx1"/>
            </w14:solidFill>
          </w14:textFill>
        </w:rPr>
      </w:pPr>
    </w:p>
    <w:p>
      <w:pPr>
        <w:spacing w:line="360" w:lineRule="auto"/>
        <w:rPr>
          <w:rFonts w:ascii="宋体" w:hAnsi="宋体"/>
          <w:bCs/>
          <w:color w:val="000000" w:themeColor="text1"/>
          <w:sz w:val="24"/>
          <w14:textFill>
            <w14:solidFill>
              <w14:schemeClr w14:val="tx1"/>
            </w14:solidFill>
          </w14:textFill>
        </w:rPr>
      </w:pPr>
    </w:p>
    <w:bookmarkEnd w:id="69"/>
    <w:p>
      <w:pPr>
        <w:pStyle w:val="5"/>
        <w:spacing w:line="500" w:lineRule="exact"/>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2"/>
        <w:rPr>
          <w:rFonts w:ascii="宋体" w:hAnsi="宋体"/>
          <w:color w:val="000000" w:themeColor="text1"/>
          <w14:textFill>
            <w14:solidFill>
              <w14:schemeClr w14:val="tx1"/>
            </w14:solidFill>
          </w14:textFill>
        </w:rPr>
      </w:pPr>
    </w:p>
    <w:p>
      <w:pPr>
        <w:pStyle w:val="2"/>
        <w:rPr>
          <w:rFonts w:ascii="宋体" w:hAnsi="宋体"/>
          <w:color w:val="000000" w:themeColor="text1"/>
          <w14:textFill>
            <w14:solidFill>
              <w14:schemeClr w14:val="tx1"/>
            </w14:solidFill>
          </w14:textFill>
        </w:rPr>
      </w:pPr>
    </w:p>
    <w:p>
      <w:pPr>
        <w:pStyle w:val="2"/>
        <w:rPr>
          <w:rFonts w:ascii="宋体" w:hAnsi="宋体"/>
          <w:color w:val="000000" w:themeColor="text1"/>
          <w14:textFill>
            <w14:solidFill>
              <w14:schemeClr w14:val="tx1"/>
            </w14:solidFill>
          </w14:textFill>
        </w:rPr>
      </w:pPr>
    </w:p>
    <w:p>
      <w:pPr>
        <w:pStyle w:val="5"/>
        <w:numPr>
          <w:ilvl w:val="0"/>
          <w:numId w:val="7"/>
        </w:numPr>
        <w:spacing w:line="500" w:lineRule="exact"/>
        <w:jc w:val="center"/>
        <w:rPr>
          <w:rFonts w:ascii="宋体" w:hAnsi="宋体"/>
          <w:color w:val="000000" w:themeColor="text1"/>
          <w14:textFill>
            <w14:solidFill>
              <w14:schemeClr w14:val="tx1"/>
            </w14:solidFill>
          </w14:textFill>
        </w:rPr>
      </w:pPr>
      <w:bookmarkStart w:id="75" w:name="_Toc5990"/>
      <w:bookmarkStart w:id="76" w:name="_Toc220232392"/>
      <w:r>
        <w:rPr>
          <w:rFonts w:ascii="宋体" w:hAnsi="宋体"/>
          <w:color w:val="000000" w:themeColor="text1"/>
          <w14:textFill>
            <w14:solidFill>
              <w14:schemeClr w14:val="tx1"/>
            </w14:solidFill>
          </w14:textFill>
        </w:rPr>
        <w:t>合同</w:t>
      </w:r>
      <w:bookmarkEnd w:id="75"/>
      <w:bookmarkEnd w:id="76"/>
    </w:p>
    <w:p>
      <w:pPr>
        <w:rPr>
          <w:color w:val="000000" w:themeColor="text1"/>
          <w14:textFill>
            <w14:solidFill>
              <w14:schemeClr w14:val="tx1"/>
            </w14:solidFill>
          </w14:textFill>
        </w:rPr>
      </w:pPr>
    </w:p>
    <w:p>
      <w:pPr>
        <w:spacing w:line="490" w:lineRule="exact"/>
        <w:ind w:firstLine="480" w:firstLineChars="200"/>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游泳池药剂承包合同</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合同编号：HFTYCY-YBB-****-**</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甲方：                         （以下简称甲方）   </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乙方：                         （以下简称乙方）</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根据《中华人民共和国</w:t>
      </w:r>
      <w:r>
        <w:rPr>
          <w:rFonts w:hint="eastAsia" w:ascii="宋体" w:hAnsi="宋体"/>
          <w:bCs/>
          <w:color w:val="000000" w:themeColor="text1"/>
          <w:sz w:val="24"/>
          <w:lang w:val="en-US" w:eastAsia="zh-CN"/>
          <w14:textFill>
            <w14:solidFill>
              <w14:schemeClr w14:val="tx1"/>
            </w14:solidFill>
          </w14:textFill>
        </w:rPr>
        <w:t>民法典</w:t>
      </w:r>
      <w:r>
        <w:rPr>
          <w:rFonts w:hint="eastAsia" w:ascii="宋体" w:hAnsi="宋体"/>
          <w:bCs/>
          <w:color w:val="000000" w:themeColor="text1"/>
          <w:sz w:val="24"/>
          <w14:textFill>
            <w14:solidFill>
              <w14:schemeClr w14:val="tx1"/>
            </w14:solidFill>
          </w14:textFill>
        </w:rPr>
        <w:t>》及其他有关法律、行政法规，遵循平等、自愿、公平和诚实信用的原则，双方经协商，就【合肥体育中心游泳池药剂和天鹅湖全民健身中心游泳馆】采购事项协商一致，订立本合同。</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一、服务内容：</w:t>
      </w:r>
    </w:p>
    <w:p>
      <w:pPr>
        <w:spacing w:line="490" w:lineRule="exact"/>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、提供对合肥体育中心游泳馆【戏水池</w:t>
      </w:r>
      <w:r>
        <w:rPr>
          <w:rFonts w:ascii="宋体" w:hAnsi="宋体"/>
          <w:bCs/>
          <w:color w:val="000000" w:themeColor="text1"/>
          <w:sz w:val="24"/>
          <w14:textFill>
            <w14:solidFill>
              <w14:schemeClr w14:val="tx1"/>
            </w14:solidFill>
          </w14:textFill>
        </w:rPr>
        <w:t>800</w:t>
      </w:r>
      <w:r>
        <w:rPr>
          <w:rFonts w:hint="eastAsia" w:ascii="宋体" w:hAnsi="宋体" w:eastAsia="MS Gothic" w:cs="MS Gothic"/>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、训练池</w:t>
      </w:r>
      <w:r>
        <w:rPr>
          <w:rFonts w:ascii="宋体" w:hAnsi="宋体"/>
          <w:bCs/>
          <w:color w:val="000000" w:themeColor="text1"/>
          <w:sz w:val="24"/>
          <w14:textFill>
            <w14:solidFill>
              <w14:schemeClr w14:val="tx1"/>
            </w14:solidFill>
          </w14:textFill>
        </w:rPr>
        <w:t>1650</w:t>
      </w:r>
      <w:r>
        <w:rPr>
          <w:rFonts w:hint="eastAsia" w:ascii="宋体" w:hAnsi="宋体" w:eastAsia="MS Gothic" w:cs="MS Gothic"/>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、竞赛池</w:t>
      </w:r>
      <w:r>
        <w:rPr>
          <w:rFonts w:ascii="宋体" w:hAnsi="宋体"/>
          <w:bCs/>
          <w:color w:val="000000" w:themeColor="text1"/>
          <w:sz w:val="24"/>
          <w14:textFill>
            <w14:solidFill>
              <w14:schemeClr w14:val="tx1"/>
            </w14:solidFill>
          </w14:textFill>
        </w:rPr>
        <w:t>3750</w:t>
      </w:r>
      <w:r>
        <w:rPr>
          <w:rFonts w:hint="eastAsia" w:ascii="宋体" w:hAnsi="宋体" w:eastAsia="MS Gothic" w:cs="MS Gothic"/>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、跳水池</w:t>
      </w:r>
      <w:r>
        <w:rPr>
          <w:rFonts w:ascii="宋体" w:hAnsi="宋体"/>
          <w:bCs/>
          <w:color w:val="000000" w:themeColor="text1"/>
          <w:sz w:val="24"/>
          <w14:textFill>
            <w14:solidFill>
              <w14:schemeClr w14:val="tx1"/>
            </w14:solidFill>
          </w14:textFill>
        </w:rPr>
        <w:t>3750</w:t>
      </w:r>
      <w:r>
        <w:rPr>
          <w:rFonts w:hint="eastAsia" w:ascii="宋体" w:hAnsi="宋体" w:eastAsia="MS Gothic" w:cs="MS Gothic"/>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（泳池实际容量以现场勘测为准）】</w:t>
      </w:r>
      <w:r>
        <w:rPr>
          <w:rFonts w:hint="eastAsia" w:ascii="宋体" w:hAnsi="宋体"/>
          <w:bCs/>
          <w:color w:val="000000" w:themeColor="text1"/>
          <w:sz w:val="24"/>
          <w:lang w:eastAsia="zh-CN"/>
          <w14:textFill>
            <w14:solidFill>
              <w14:schemeClr w14:val="tx1"/>
            </w14:solidFill>
          </w14:textFill>
        </w:rPr>
        <w:t>2022</w:t>
      </w:r>
      <w:r>
        <w:rPr>
          <w:rFonts w:hint="eastAsia" w:ascii="宋体" w:hAnsi="宋体"/>
          <w:bCs/>
          <w:color w:val="000000" w:themeColor="text1"/>
          <w:sz w:val="24"/>
          <w14:textFill>
            <w14:solidFill>
              <w14:schemeClr w14:val="tx1"/>
            </w14:solidFill>
          </w14:textFill>
        </w:rPr>
        <w:t>年度的水处理药剂、水质养护服务、自动投药设备的提供及维护（水处理药剂主要包括不限于二水二氯、杀菌剂、澄清剂、除藻剂、中和剂、</w:t>
      </w:r>
      <w:r>
        <w:rPr>
          <w:rFonts w:ascii="宋体" w:hAnsi="宋体"/>
          <w:bCs/>
          <w:color w:val="000000" w:themeColor="text1"/>
          <w:sz w:val="24"/>
          <w14:textFill>
            <w14:solidFill>
              <w14:schemeClr w14:val="tx1"/>
            </w14:solidFill>
          </w14:textFill>
        </w:rPr>
        <w:t>PH</w:t>
      </w:r>
      <w:r>
        <w:rPr>
          <w:rFonts w:hint="eastAsia" w:ascii="宋体" w:hAnsi="宋体"/>
          <w:bCs/>
          <w:color w:val="000000" w:themeColor="text1"/>
          <w:sz w:val="24"/>
          <w14:textFill>
            <w14:solidFill>
              <w14:schemeClr w14:val="tx1"/>
            </w14:solidFill>
          </w14:textFill>
        </w:rPr>
        <w:t>升高剂、</w:t>
      </w:r>
      <w:r>
        <w:rPr>
          <w:rFonts w:ascii="宋体" w:hAnsi="宋体"/>
          <w:bCs/>
          <w:color w:val="000000" w:themeColor="text1"/>
          <w:sz w:val="24"/>
          <w14:textFill>
            <w14:solidFill>
              <w14:schemeClr w14:val="tx1"/>
            </w14:solidFill>
          </w14:textFill>
        </w:rPr>
        <w:t>PH</w:t>
      </w:r>
      <w:r>
        <w:rPr>
          <w:rFonts w:hint="eastAsia" w:ascii="宋体" w:hAnsi="宋体"/>
          <w:bCs/>
          <w:color w:val="000000" w:themeColor="text1"/>
          <w:sz w:val="24"/>
          <w14:textFill>
            <w14:solidFill>
              <w14:schemeClr w14:val="tx1"/>
            </w14:solidFill>
          </w14:textFill>
        </w:rPr>
        <w:t>降低剂、三氯速溶片等）；</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2、提供每次供货清单，由专人签字确认保管。</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3、专人服务，定期提供游泳馆水质检测分析工作（一周一次）；</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4、协助设备维护及水质相关问题的处理工作，提供有效处理方案；</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5、负责对游泳馆水质管理员进行水质养护专业技术培训，及日常工作对接、配合工作；</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6、协助卫生主管部门水质检查准备工作；</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7、配合参与其他与游泳馆水质相关的工作。</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二、合同价款：体育场场馆内三个室内泳池药剂费用为不超过人民币：大写（           ）小写（          ）元(其中训练池为常年开放，跳水池、比赛池仅夏季开放，闭馆后无需对水质养护达到可游泳的标准）。本合同价一次性包死，固定不变，不因包括市场价格涨落、履行期调整等任何因素而调整。合同单价为乙方按照合同约定履行自身全部义务的费用，包括但不限于材料费、人工费、运费、包装费、安装调试费、利润、税费等乙方为履行本合同项下全部义务所需的所有费用。除此之外，甲方无需就本合同项下服务向乙方或第三方支付任何其他费用，若因客观原因导致甲方药剂需求量减少，乙应当根据自身用药量的减少所对应的有关费用，核减甲方应当支付的费用。</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二、服务期限：</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本合同有效期为 12个月；自 </w:t>
      </w:r>
      <w:r>
        <w:rPr>
          <w:rFonts w:hint="eastAsia" w:ascii="宋体" w:hAnsi="宋体"/>
          <w:bCs/>
          <w:color w:val="000000" w:themeColor="text1"/>
          <w:sz w:val="24"/>
          <w:lang w:eastAsia="zh-CN"/>
          <w14:textFill>
            <w14:solidFill>
              <w14:schemeClr w14:val="tx1"/>
            </w14:solidFill>
          </w14:textFill>
        </w:rPr>
        <w:t>2022</w:t>
      </w:r>
      <w:r>
        <w:rPr>
          <w:rFonts w:hint="eastAsia" w:ascii="宋体" w:hAnsi="宋体"/>
          <w:bCs/>
          <w:color w:val="000000" w:themeColor="text1"/>
          <w:sz w:val="24"/>
          <w14:textFill>
            <w14:solidFill>
              <w14:schemeClr w14:val="tx1"/>
            </w14:solidFill>
          </w14:textFill>
        </w:rPr>
        <w:t xml:space="preserve">年 1 月 1 日起，至 </w:t>
      </w:r>
      <w:r>
        <w:rPr>
          <w:rFonts w:hint="eastAsia" w:ascii="宋体" w:hAnsi="宋体"/>
          <w:bCs/>
          <w:color w:val="000000" w:themeColor="text1"/>
          <w:sz w:val="24"/>
          <w:lang w:eastAsia="zh-CN"/>
          <w14:textFill>
            <w14:solidFill>
              <w14:schemeClr w14:val="tx1"/>
            </w14:solidFill>
          </w14:textFill>
        </w:rPr>
        <w:t>2022</w:t>
      </w:r>
      <w:r>
        <w:rPr>
          <w:rFonts w:hint="eastAsia" w:ascii="宋体" w:hAnsi="宋体"/>
          <w:bCs/>
          <w:color w:val="000000" w:themeColor="text1"/>
          <w:sz w:val="24"/>
          <w14:textFill>
            <w14:solidFill>
              <w14:schemeClr w14:val="tx1"/>
            </w14:solidFill>
          </w14:textFill>
        </w:rPr>
        <w:t xml:space="preserve"> 年12月31日止。</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三、付款方式：</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1、合同签订后30个工作日内，甲方向乙方支付合同金额40%即，人民币：大写（           ）小写（          ）元，作为泳池药剂的首付款，乙方人员根据甲方泳池实际投药需要，及时向甲方供给各项药剂及技术指导和自动投药设备，并对甲方指定操作人员开展投药技术及流程培训工作；</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2、在</w:t>
      </w:r>
      <w:r>
        <w:rPr>
          <w:rFonts w:hint="eastAsia" w:ascii="宋体" w:hAnsi="宋体"/>
          <w:bCs/>
          <w:color w:val="000000" w:themeColor="text1"/>
          <w:sz w:val="24"/>
          <w:lang w:eastAsia="zh-CN"/>
          <w14:textFill>
            <w14:solidFill>
              <w14:schemeClr w14:val="tx1"/>
            </w14:solidFill>
          </w14:textFill>
        </w:rPr>
        <w:t>2022</w:t>
      </w:r>
      <w:r>
        <w:rPr>
          <w:rFonts w:hint="eastAsia" w:ascii="宋体" w:hAnsi="宋体"/>
          <w:bCs/>
          <w:color w:val="000000" w:themeColor="text1"/>
          <w:sz w:val="24"/>
          <w14:textFill>
            <w14:solidFill>
              <w14:schemeClr w14:val="tx1"/>
            </w14:solidFill>
          </w14:textFill>
        </w:rPr>
        <w:t>年7月31日前，甲方向乙方支付合同金额的40%即，人民币人民币：大写（           ）小写（          ）元。</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3、余款20%即，人民币人民币：大写（           ）小写（          ）元，</w:t>
      </w:r>
      <w:r>
        <w:rPr>
          <w:rFonts w:hint="eastAsia" w:ascii="宋体" w:hAnsi="宋体"/>
          <w:bCs/>
          <w:color w:val="000000" w:themeColor="text1"/>
          <w:sz w:val="24"/>
          <w14:textFill>
            <w14:solidFill>
              <w14:schemeClr w14:val="tx1"/>
            </w14:solidFill>
          </w14:textFill>
        </w:rPr>
        <w:t>在本合同</w:t>
      </w:r>
      <w:r>
        <w:rPr>
          <w:rFonts w:hint="eastAsia" w:ascii="宋体" w:hAnsi="宋体"/>
          <w:bCs/>
          <w:color w:val="auto"/>
          <w:sz w:val="24"/>
          <w:lang w:val="en-US" w:eastAsia="zh-CN"/>
        </w:rPr>
        <w:t>期限届满且甲方确认无任何未解决问题</w:t>
      </w:r>
      <w:r>
        <w:rPr>
          <w:rFonts w:hint="eastAsia" w:ascii="宋体" w:hAnsi="宋体"/>
          <w:bCs/>
          <w:color w:val="000000" w:themeColor="text1"/>
          <w:sz w:val="24"/>
          <w14:textFill>
            <w14:solidFill>
              <w14:schemeClr w14:val="tx1"/>
            </w14:solidFill>
          </w14:textFill>
        </w:rPr>
        <w:t>后三十日内支付。</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4、甲方支付方式:乙方应在每次要求付款前向甲方开具符合税务要求的足额合法的增值税专用发票，税率13%。否则，视为乙方违约，甲方有权拒绝付款，且不承担违约责任。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乙方指定收款账户为：</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公司全称：</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开户行：</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账号：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四、交货地点：甲方指定地点（合肥体育中心游泳馆或天鹅湖全民健身中心游泳馆)。</w:t>
      </w:r>
    </w:p>
    <w:p>
      <w:pPr>
        <w:spacing w:line="49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五、供货方式：</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自合同生效日，乙方根据游泳馆戏水池、培训池、竞赛池、跳水池实际水质养护所需药品一次性提供满足10个工作日用量，补给药品将由甲方电话通知或以QQ/邮件通知时间为准,甲方告知乙方所需补给药剂品种;乙方在接到甲方通知送货需求后5个工作日内将甲方所需药品送到甲方指定地点，甲方派专人负责签收。</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2、自合同生效日第5个工作日内，乙方必须按照采购需求将游泳馆自动投药设备安装完毕并能投入使用，自动投药设备产权归属乙方所有，自动投药设备维护维修责任以及所产生的一切费用均由乙方自行承担。</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六、产品的质量及验收标准：</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1、乙方向甲方供应的产品,其品种、规格、质量符合国家相关质量标准规范要求。</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2、在乙方供应的产品范围内,国家相关质量监督管理等部门或顾客如对乙方所供的产品存有疑义的,乙方负有证明该产品符合国家标准并配合甲方澄清事实妥善处理的义务</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3、乙方向甲方提供游泳池水质处理所需的所有药剂为合格正品。</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4、乙方承包合肥市体育中心、天鹅湖全民健身中心游泳馆训练池、跳水池、比赛池三个泳池合作期间水质养护用药费用，不得超过中标价，超出部分由乙方自行承担。</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5、因乙方产品质量，造成任何人身损害或客户要求赔偿等损失的，甲方有权要求乙方赔偿实际损失并按照合同总额30%承担违约责任。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七、甲、乙双方责任：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甲方责任：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1、甲方负责游泳池循环设备正常运行工作。（循环水泵切换、过滤设备的覆膜、反冲洗、补水、泳池吸污），确保投加药剂的水质达到国家游泳池水质标准。</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2、甲方负责按时支付乙方合同款项。</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甲方负责所有国家有关单位对游泳场所的水质检测费用。若因药剂质量问题导致检测水质不合格，检测费用由乙方承担，且乙方需重新对场所的水质进行养护以达到合格标准。若因此给甲方造成损失的，乙方应承担赔偿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4、甲方应积极配合乙方货物进行验收,如甲方无故延迟验收的,责任由甲方承担。</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5、在合同正常履行的有效期内，保证乙方为甲方游泳池药剂唯一供货商。</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乙方责任：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1、为保证甲方投加药剂的科学性，在合同期限内乙方将向甲方提供在线水质监测仪及自动投药计量泵一套，实时监控水质达标，该设备所有权及处置权归乙方所有。</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2、乙方负责为甲方每月做不少于4次水质平衡检测（检测内容包括：自由余氯、化合性余氯、总氯、水的混浊度、PH值），并提供书面的水质检测报告。</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3、乙方在合同期限内免费对甲方工作人员进行游泳池水处理投药流程进行培训。</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4、乙方依本合同所规定的交货时间,将货物按时送至甲方指定地点。</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5、为确保水质，合理控制成本，乙方可向甲方提供新产品，同时做好甲方水处理人员药剂投加的培训工作。</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八、违约责任：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因乙方原因延迟交货的，每逾期一天，则按合同总额的1‰支付逾期违约金。逾期超过2周的，甲方有权解除合同，由此给甲方造成的损失由乙方承担。若因乙方逾期交货造成甲方无药可用时，甲方可以直接解除合同向第三方采购药剂，并有权要求乙方承担合同总价款30%的违约金。</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3、因乙方产品质量问题或其他违约行为，造成甲方或第三方任何人身损害或客户要求赔偿等财产损失的，所有赔偿责任由乙方承担。</w:t>
      </w:r>
      <w:r>
        <w:rPr>
          <w:rFonts w:hint="eastAsia" w:ascii="宋体" w:hAnsi="宋体" w:cs="宋体"/>
          <w:bCs/>
          <w:color w:val="000000" w:themeColor="text1"/>
          <w:sz w:val="24"/>
          <w:szCs w:val="24"/>
          <w:lang w:val="en-US" w:eastAsia="zh-CN"/>
          <w14:textFill>
            <w14:solidFill>
              <w14:schemeClr w14:val="tx1"/>
            </w14:solidFill>
          </w14:textFill>
        </w:rPr>
        <w:t>给甲方造成损失的，还应对甲方承担赔偿责任。</w:t>
      </w:r>
      <w:bookmarkStart w:id="165" w:name="_GoBack"/>
      <w:bookmarkEnd w:id="165"/>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4、因乙方违约或过错致使提起诉讼索赔而给甲方所造成的一切经济损失均由乙方承担，包括但不限于诉讼费、律师费、差旅费、文印费、担保费、诉讼保全保险费等一切合理必要支出。</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5、因甲方自身原因未按规定作业流程合理投加药剂，造成甲方水质受损的，由此产生的一切后果，由甲方承担。</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九、合同终止：</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1、本协议双方签字之日起生效，除不可抗拒或法定解约的情况外，甲乙双方任何一方不可单方终止本合同。</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2、如遇特殊情况，甲方可提前一个月以书面形式通知乙方解除合同并注明原因，甲方在据实结清乙方合同解除前的所有款项后，互不承担违约责任。</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十、其它：</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作期间内，甲乙双方本着诚信负责的态度，在保证水质、科学投药、合理控制成本的前提下，若经双方人员共同努力，依然导致药剂实际使用费用超出本合同预算金额，及给双方协商一致，甲方可根据实际发生额与乙方结算相应的费用（游泳池药品价格详见附件一，附件与本合同具有同等法律效力）。</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十一、履约保证金：</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1.本项目履约保证金为中标价的5%        (人民币）大写【        】。</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2.如乙方未能履行其合同规定的任何义务，甲方有权从履约保证金和应付乙方的货款中直接扣除相应的赔偿金、违约金等。</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3.履约保证金在本合同期限届满后，如乙方不存在任何违约行为，甲方在收到乙方申请后7个工作日内无息返还。</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十二、双方如有未尽事宜，通过友好协商解决。协商不成的，双方有权将争议提交甲方所在地人民法院。</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十三、此合同一式肆份，甲方持叁份，乙方持壹份，均具有同等法律效力。</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十四、双方同意，合同载明的地址、工商登记地址均为双方约定的法律文书送达地址，寄往该地址的各类法律文书，自交邮之日起第3日视为送达之日。任何一方地址有变动的，应提前15日以书面形式通知另一方，否则视为地址未变动.</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甲方（盖章）                    乙方（盖章）</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法定代表人                      法定代表人</w:t>
      </w: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或委托代理人（签字）：           或委托代理人（签字）：</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地址：                           地址：</w:t>
      </w:r>
    </w:p>
    <w:p>
      <w:pPr>
        <w:spacing w:line="490" w:lineRule="exact"/>
        <w:ind w:firstLine="480" w:firstLineChars="200"/>
        <w:rPr>
          <w:rFonts w:ascii="宋体" w:hAnsi="宋体"/>
          <w:bCs/>
          <w:color w:val="000000" w:themeColor="text1"/>
          <w:sz w:val="24"/>
          <w14:textFill>
            <w14:solidFill>
              <w14:schemeClr w14:val="tx1"/>
            </w14:solidFill>
          </w14:textFill>
        </w:rPr>
      </w:pPr>
    </w:p>
    <w:p>
      <w:pPr>
        <w:spacing w:line="490" w:lineRule="exact"/>
        <w:ind w:firstLine="480" w:firstLineChars="200"/>
        <w:rPr>
          <w:rFonts w:ascii="宋体" w:hAnsi="宋体"/>
          <w:b/>
          <w:color w:val="000000" w:themeColor="text1"/>
          <w:sz w:val="24"/>
          <w:szCs w:val="27"/>
          <w14:textFill>
            <w14:solidFill>
              <w14:schemeClr w14:val="tx1"/>
            </w14:solidFill>
          </w14:textFill>
        </w:rPr>
      </w:pPr>
      <w:r>
        <w:rPr>
          <w:rFonts w:hint="eastAsia" w:ascii="宋体" w:hAnsi="宋体"/>
          <w:bCs/>
          <w:color w:val="000000" w:themeColor="text1"/>
          <w:sz w:val="24"/>
          <w14:textFill>
            <w14:solidFill>
              <w14:schemeClr w14:val="tx1"/>
            </w14:solidFill>
          </w14:textFill>
        </w:rPr>
        <w:t>日期：                           日期：</w:t>
      </w:r>
    </w:p>
    <w:p>
      <w:pPr>
        <w:spacing w:line="49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7"/>
          <w14:textFill>
            <w14:solidFill>
              <w14:schemeClr w14:val="tx1"/>
            </w14:solidFill>
          </w14:textFill>
        </w:rPr>
        <w:t>备注：本合同仅供参考，如本合同的约定如与本项目</w:t>
      </w:r>
      <w:r>
        <w:rPr>
          <w:rFonts w:hint="eastAsia" w:ascii="宋体" w:hAnsi="宋体"/>
          <w:b/>
          <w:color w:val="000000" w:themeColor="text1"/>
          <w:sz w:val="24"/>
          <w14:textFill>
            <w14:solidFill>
              <w14:schemeClr w14:val="tx1"/>
            </w14:solidFill>
          </w14:textFill>
        </w:rPr>
        <w:t>招标</w:t>
      </w:r>
      <w:r>
        <w:rPr>
          <w:rFonts w:hint="eastAsia" w:ascii="宋体" w:hAnsi="宋体"/>
          <w:b/>
          <w:color w:val="000000" w:themeColor="text1"/>
          <w:sz w:val="24"/>
          <w:szCs w:val="27"/>
          <w14:textFill>
            <w14:solidFill>
              <w14:schemeClr w14:val="tx1"/>
            </w14:solidFill>
          </w14:textFill>
        </w:rPr>
        <w:t>文件的投标人须知前附表、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的约定不一致的地方，以投标人须知前附表、</w:t>
      </w:r>
      <w:r>
        <w:rPr>
          <w:rFonts w:hint="eastAsia" w:ascii="宋体" w:hAnsi="宋体"/>
          <w:b/>
          <w:bCs/>
          <w:color w:val="000000" w:themeColor="text1"/>
          <w:sz w:val="24"/>
          <w14:textFill>
            <w14:solidFill>
              <w14:schemeClr w14:val="tx1"/>
            </w14:solidFill>
          </w14:textFill>
        </w:rPr>
        <w:t>招标需求</w:t>
      </w:r>
      <w:r>
        <w:rPr>
          <w:rFonts w:hint="eastAsia" w:ascii="宋体" w:hAnsi="宋体"/>
          <w:b/>
          <w:color w:val="000000" w:themeColor="text1"/>
          <w:sz w:val="24"/>
          <w:szCs w:val="27"/>
          <w14:textFill>
            <w14:solidFill>
              <w14:schemeClr w14:val="tx1"/>
            </w14:solidFill>
          </w14:textFill>
        </w:rPr>
        <w:t>的约定为准。</w:t>
      </w:r>
    </w:p>
    <w:p>
      <w:pPr>
        <w:spacing w:line="470" w:lineRule="exact"/>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pStyle w:val="2"/>
        <w:rPr>
          <w:b/>
          <w:color w:val="000000" w:themeColor="text1"/>
          <w:sz w:val="24"/>
          <w14:textFill>
            <w14:solidFill>
              <w14:schemeClr w14:val="tx1"/>
            </w14:solidFill>
          </w14:textFill>
        </w:rPr>
      </w:pPr>
    </w:p>
    <w:p>
      <w:pPr>
        <w:pStyle w:val="2"/>
        <w:rPr>
          <w:b/>
          <w:color w:val="000000" w:themeColor="text1"/>
          <w:sz w:val="24"/>
          <w14:textFill>
            <w14:solidFill>
              <w14:schemeClr w14:val="tx1"/>
            </w14:solidFill>
          </w14:textFill>
        </w:rPr>
      </w:pPr>
    </w:p>
    <w:p>
      <w:pPr>
        <w:pStyle w:val="2"/>
        <w:rPr>
          <w:b/>
          <w:color w:val="000000" w:themeColor="text1"/>
          <w:sz w:val="24"/>
          <w14:textFill>
            <w14:solidFill>
              <w14:schemeClr w14:val="tx1"/>
            </w14:solidFill>
          </w14:textFill>
        </w:rPr>
      </w:pPr>
    </w:p>
    <w:p>
      <w:pPr>
        <w:spacing w:line="470" w:lineRule="exact"/>
        <w:rPr>
          <w:b/>
          <w:color w:val="000000" w:themeColor="text1"/>
          <w:sz w:val="24"/>
          <w14:textFill>
            <w14:solidFill>
              <w14:schemeClr w14:val="tx1"/>
            </w14:solidFill>
          </w14:textFill>
        </w:rPr>
      </w:pPr>
    </w:p>
    <w:p>
      <w:pPr>
        <w:spacing w:line="360" w:lineRule="auto"/>
        <w:jc w:val="center"/>
        <w:outlineLvl w:val="0"/>
        <w:rPr>
          <w:rFonts w:hint="eastAsia" w:ascii="宋体" w:hAnsi="宋体"/>
          <w:b/>
          <w:bCs/>
          <w:color w:val="000000" w:themeColor="text1"/>
          <w:sz w:val="32"/>
          <w:szCs w:val="32"/>
          <w:lang w:val="zh-CN"/>
          <w14:textFill>
            <w14:solidFill>
              <w14:schemeClr w14:val="tx1"/>
            </w14:solidFill>
          </w14:textFill>
        </w:rPr>
      </w:pPr>
      <w:bookmarkStart w:id="77" w:name="_Toc1217"/>
      <w:bookmarkStart w:id="78" w:name="_Toc3121"/>
      <w:bookmarkStart w:id="79" w:name="_Toc7078087"/>
      <w:r>
        <w:rPr>
          <w:rFonts w:hint="eastAsia" w:ascii="宋体" w:hAnsi="宋体"/>
          <w:b/>
          <w:bCs/>
          <w:color w:val="000000" w:themeColor="text1"/>
          <w:sz w:val="32"/>
          <w:szCs w:val="32"/>
          <w:lang w:val="zh-CN"/>
          <w14:textFill>
            <w14:solidFill>
              <w14:schemeClr w14:val="tx1"/>
            </w14:solidFill>
          </w14:textFill>
        </w:rPr>
        <w:t>第七章 投标文件格式</w:t>
      </w:r>
      <w:bookmarkEnd w:id="77"/>
      <w:bookmarkEnd w:id="78"/>
      <w:bookmarkEnd w:id="79"/>
    </w:p>
    <w:p>
      <w:pPr>
        <w:spacing w:line="360" w:lineRule="auto"/>
        <w:jc w:val="center"/>
        <w:outlineLvl w:val="0"/>
        <w:rPr>
          <w:rFonts w:hint="eastAsia" w:ascii="宋体" w:hAnsi="宋体"/>
          <w:b/>
          <w:bCs/>
          <w:color w:val="000000" w:themeColor="text1"/>
          <w:sz w:val="32"/>
          <w:szCs w:val="32"/>
          <w14:textFill>
            <w14:solidFill>
              <w14:schemeClr w14:val="tx1"/>
            </w14:solidFill>
          </w14:textFill>
        </w:rPr>
      </w:pPr>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50"/>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投标货物及报价表</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投标业绩</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生产厂商授权书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十一</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项目人员配备</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十二</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检测报告</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十三</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十四</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投标人认为需要提供的其他资料</w:t>
            </w: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十五</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产品质量承诺</w:t>
            </w: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bl>
    <w:p>
      <w:pPr>
        <w:keepNext/>
        <w:keepLines/>
        <w:spacing w:before="260" w:after="260" w:line="416" w:lineRule="auto"/>
        <w:outlineLvl w:val="2"/>
        <w:rPr>
          <w:rFonts w:ascii="宋体" w:hAnsi="宋体"/>
          <w:b/>
          <w:bCs/>
          <w:color w:val="000000" w:themeColor="text1"/>
          <w:sz w:val="28"/>
          <w:szCs w:val="32"/>
          <w:lang w:val="zh-CN"/>
          <w14:textFill>
            <w14:solidFill>
              <w14:schemeClr w14:val="tx1"/>
            </w14:solidFill>
          </w14:textFill>
        </w:rPr>
      </w:pPr>
      <w:bookmarkStart w:id="80" w:name="_Toc24872"/>
      <w:bookmarkStart w:id="81" w:name="_Toc516969098"/>
      <w:bookmarkStart w:id="82" w:name="_Toc7078088"/>
      <w:bookmarkStart w:id="83" w:name="_Toc471736410"/>
      <w:bookmarkStart w:id="84" w:name="_Toc536542354"/>
      <w:bookmarkStart w:id="85" w:name="_Toc471736407"/>
      <w:bookmarkStart w:id="86" w:name="_Toc197934561"/>
    </w:p>
    <w:p>
      <w:pPr>
        <w:keepNext/>
        <w:keepLines/>
        <w:spacing w:before="260" w:after="260" w:line="416" w:lineRule="auto"/>
        <w:outlineLvl w:val="2"/>
        <w:rPr>
          <w:rFonts w:ascii="宋体" w:hAnsi="宋体"/>
          <w:b/>
          <w:bCs/>
          <w:color w:val="000000" w:themeColor="text1"/>
          <w:sz w:val="28"/>
          <w:szCs w:val="32"/>
          <w:lang w:val="zh-CN"/>
          <w14:textFill>
            <w14:solidFill>
              <w14:schemeClr w14:val="tx1"/>
            </w14:solidFill>
          </w14:textFill>
        </w:rPr>
      </w:pPr>
    </w:p>
    <w:p>
      <w:pPr>
        <w:pStyle w:val="2"/>
        <w:rPr>
          <w:rFonts w:ascii="宋体" w:hAnsi="宋体"/>
          <w:b/>
          <w:bCs/>
          <w:color w:val="000000" w:themeColor="text1"/>
          <w:sz w:val="28"/>
          <w:szCs w:val="32"/>
          <w:lang w:val="zh-CN"/>
          <w14:textFill>
            <w14:solidFill>
              <w14:schemeClr w14:val="tx1"/>
            </w14:solidFill>
          </w14:textFill>
        </w:rPr>
      </w:pPr>
    </w:p>
    <w:p>
      <w:pPr>
        <w:pStyle w:val="2"/>
        <w:rPr>
          <w:rFonts w:ascii="宋体" w:hAnsi="宋体"/>
          <w:b/>
          <w:bCs/>
          <w:color w:val="000000" w:themeColor="text1"/>
          <w:sz w:val="28"/>
          <w:szCs w:val="32"/>
          <w:lang w:val="zh-CN"/>
          <w14:textFill>
            <w14:solidFill>
              <w14:schemeClr w14:val="tx1"/>
            </w14:solidFill>
          </w14:textFill>
        </w:rPr>
      </w:pPr>
    </w:p>
    <w:p>
      <w:pPr>
        <w:pStyle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87" w:name="_Toc25959"/>
      <w:r>
        <w:rPr>
          <w:rFonts w:hint="eastAsia" w:ascii="宋体" w:hAnsi="宋体"/>
          <w:b/>
          <w:bCs/>
          <w:color w:val="000000" w:themeColor="text1"/>
          <w:sz w:val="28"/>
          <w:szCs w:val="32"/>
          <w:lang w:val="zh-CN"/>
          <w14:textFill>
            <w14:solidFill>
              <w14:schemeClr w14:val="tx1"/>
            </w14:solidFill>
          </w14:textFill>
        </w:rPr>
        <w:t>一．投标函</w:t>
      </w:r>
      <w:bookmarkEnd w:id="80"/>
      <w:bookmarkEnd w:id="81"/>
      <w:bookmarkEnd w:id="82"/>
      <w:bookmarkEnd w:id="83"/>
      <w:bookmarkEnd w:id="84"/>
      <w:bookmarkEnd w:id="87"/>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致：合肥文旅博览集团有限公司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b/>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账号：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开户行：</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投标人签章：</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日</w:t>
      </w:r>
    </w:p>
    <w:p>
      <w:pPr>
        <w:rPr>
          <w:rFonts w:ascii="宋体" w:hAnsi="宋体" w:cs="宋体"/>
          <w:color w:val="000000" w:themeColor="text1"/>
          <w:sz w:val="24"/>
          <w:szCs w:val="24"/>
          <w14:textFill>
            <w14:solidFill>
              <w14:schemeClr w14:val="tx1"/>
            </w14:solidFill>
          </w14:textFill>
        </w:rPr>
      </w:pPr>
    </w:p>
    <w:bookmarkEnd w:id="85"/>
    <w:bookmarkEnd w:id="86"/>
    <w:p>
      <w:pPr>
        <w:keepNext/>
        <w:keepLines/>
        <w:spacing w:before="260" w:after="260" w:line="416" w:lineRule="auto"/>
        <w:outlineLvl w:val="2"/>
        <w:rPr>
          <w:rFonts w:ascii="宋体" w:hAnsi="宋体"/>
          <w:b/>
          <w:bCs/>
          <w:color w:val="000000" w:themeColor="text1"/>
          <w:sz w:val="28"/>
          <w:szCs w:val="32"/>
          <w:lang w:val="zh-CN"/>
          <w14:textFill>
            <w14:solidFill>
              <w14:schemeClr w14:val="tx1"/>
            </w14:solidFill>
          </w14:textFill>
        </w:rPr>
      </w:pPr>
      <w:bookmarkStart w:id="88" w:name="_Toc516969097"/>
      <w:bookmarkStart w:id="89" w:name="_Toc471736409"/>
      <w:bookmarkStart w:id="90" w:name="_Toc7078089"/>
      <w:bookmarkStart w:id="91" w:name="_Toc536542355"/>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bookmarkStart w:id="92" w:name="_Toc18978"/>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both"/>
        <w:outlineLvl w:val="2"/>
        <w:rPr>
          <w:rFonts w:hint="eastAsia"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93" w:name="_Toc23937"/>
      <w:r>
        <w:rPr>
          <w:rFonts w:hint="eastAsia" w:ascii="宋体" w:hAnsi="宋体"/>
          <w:b/>
          <w:bCs/>
          <w:color w:val="000000" w:themeColor="text1"/>
          <w:sz w:val="28"/>
          <w:szCs w:val="32"/>
          <w:lang w:val="zh-CN"/>
          <w14:textFill>
            <w14:solidFill>
              <w14:schemeClr w14:val="tx1"/>
            </w14:solidFill>
          </w14:textFill>
        </w:rPr>
        <w:t>二．投标人情况综合简介</w:t>
      </w:r>
      <w:bookmarkEnd w:id="88"/>
      <w:bookmarkEnd w:id="89"/>
      <w:bookmarkEnd w:id="90"/>
      <w:bookmarkEnd w:id="91"/>
      <w:bookmarkEnd w:id="92"/>
      <w:bookmarkEnd w:id="93"/>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p>
    <w:p>
      <w:pPr>
        <w:spacing w:line="500" w:lineRule="exact"/>
        <w:jc w:val="center"/>
        <w:rPr>
          <w:rFonts w:ascii="宋体" w:hAnsi="宋体" w:cs="宋体"/>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94" w:name="_Toc7078090"/>
      <w:bookmarkStart w:id="95" w:name="_Toc536542356"/>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96" w:name="_Toc17088"/>
      <w:bookmarkStart w:id="97" w:name="_Toc10885"/>
      <w:r>
        <w:rPr>
          <w:rFonts w:hint="eastAsia" w:ascii="宋体" w:hAnsi="宋体"/>
          <w:b/>
          <w:bCs/>
          <w:color w:val="000000" w:themeColor="text1"/>
          <w:sz w:val="28"/>
          <w:szCs w:val="32"/>
          <w:lang w:val="zh-CN"/>
          <w14:textFill>
            <w14:solidFill>
              <w14:schemeClr w14:val="tx1"/>
            </w14:solidFill>
          </w14:textFill>
        </w:rPr>
        <w:t>三．开标一览表</w:t>
      </w:r>
      <w:bookmarkEnd w:id="94"/>
      <w:bookmarkEnd w:id="95"/>
      <w:bookmarkEnd w:id="96"/>
      <w:bookmarkEnd w:id="97"/>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最终投标报价</w:t>
            </w:r>
          </w:p>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（人民币）</w:t>
            </w:r>
          </w:p>
        </w:tc>
        <w:tc>
          <w:tcPr>
            <w:tcW w:w="6667" w:type="dxa"/>
            <w:tcBorders>
              <w:top w:val="nil"/>
            </w:tcBorders>
            <w:vAlign w:val="center"/>
          </w:tcPr>
          <w:p>
            <w:pPr>
              <w:spacing w:line="360" w:lineRule="auto"/>
              <w:ind w:right="-6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98" w:name="_Hlt509739007"/>
      <w:bookmarkEnd w:id="98"/>
      <w:bookmarkStart w:id="99" w:name="_Toc536542357"/>
      <w:bookmarkStart w:id="100" w:name="_Toc7078091"/>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01" w:name="_Toc22836"/>
      <w:bookmarkStart w:id="102" w:name="_Toc15537"/>
      <w:r>
        <w:rPr>
          <w:rFonts w:hint="eastAsia" w:ascii="宋体" w:hAnsi="宋体"/>
          <w:b/>
          <w:bCs/>
          <w:color w:val="000000" w:themeColor="text1"/>
          <w:sz w:val="28"/>
          <w:szCs w:val="32"/>
          <w:lang w:val="zh-CN"/>
          <w14:textFill>
            <w14:solidFill>
              <w14:schemeClr w14:val="tx1"/>
            </w14:solidFill>
          </w14:textFill>
        </w:rPr>
        <w:t>四．投标响应表</w:t>
      </w:r>
      <w:bookmarkEnd w:id="99"/>
      <w:bookmarkEnd w:id="100"/>
      <w:bookmarkEnd w:id="101"/>
      <w:bookmarkEnd w:id="102"/>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按招标文件规定填写</w:t>
            </w:r>
          </w:p>
        </w:tc>
        <w:tc>
          <w:tcPr>
            <w:tcW w:w="4200" w:type="dxa"/>
            <w:gridSpan w:val="2"/>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47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名称/内容</w:t>
            </w:r>
          </w:p>
        </w:tc>
        <w:tc>
          <w:tcPr>
            <w:tcW w:w="252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招标要求</w:t>
            </w:r>
          </w:p>
        </w:tc>
        <w:tc>
          <w:tcPr>
            <w:tcW w:w="2310" w:type="dxa"/>
            <w:vAlign w:val="center"/>
          </w:tcPr>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投标具体内容/承诺</w:t>
            </w:r>
          </w:p>
          <w:p>
            <w:pP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（如所投产品品牌、型号、技术规格及配置、材质等）</w:t>
            </w:r>
          </w:p>
        </w:tc>
        <w:tc>
          <w:tcPr>
            <w:tcW w:w="189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470" w:type="dxa"/>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47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名称/内容</w:t>
            </w:r>
          </w:p>
        </w:tc>
        <w:tc>
          <w:tcPr>
            <w:tcW w:w="252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招标要求</w:t>
            </w:r>
          </w:p>
        </w:tc>
        <w:tc>
          <w:tcPr>
            <w:tcW w:w="231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投标承诺</w:t>
            </w:r>
          </w:p>
        </w:tc>
        <w:tc>
          <w:tcPr>
            <w:tcW w:w="1890" w:type="dxa"/>
            <w:vAlign w:val="center"/>
          </w:tcPr>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70" w:type="dxa"/>
            <w:vAlign w:val="center"/>
          </w:tcPr>
          <w:p>
            <w:pP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470" w:type="dxa"/>
            <w:vAlign w:val="center"/>
          </w:tcPr>
          <w:p>
            <w:pPr>
              <w:jc w:val="center"/>
              <w:rPr>
                <w:rFonts w:ascii="宋体" w:hAnsi="宋体" w:cs="宋体"/>
                <w:color w:val="000000" w:themeColor="text1"/>
                <w:sz w:val="24"/>
                <w:szCs w:val="24"/>
                <w14:textFill>
                  <w14:solidFill>
                    <w14:schemeClr w14:val="tx1"/>
                  </w14:solidFill>
                </w14:textFill>
              </w:rPr>
            </w:pPr>
          </w:p>
        </w:tc>
        <w:tc>
          <w:tcPr>
            <w:tcW w:w="2520" w:type="dxa"/>
          </w:tcPr>
          <w:p>
            <w:pPr>
              <w:rPr>
                <w:rFonts w:ascii="宋体" w:hAnsi="宋体" w:cs="宋体"/>
                <w:color w:val="000000" w:themeColor="text1"/>
                <w:sz w:val="24"/>
                <w:szCs w:val="24"/>
                <w14:textFill>
                  <w14:solidFill>
                    <w14:schemeClr w14:val="tx1"/>
                  </w14:solidFill>
                </w14:textFill>
              </w:rPr>
            </w:pPr>
          </w:p>
        </w:tc>
        <w:tc>
          <w:tcPr>
            <w:tcW w:w="2310" w:type="dxa"/>
          </w:tcPr>
          <w:p>
            <w:pPr>
              <w:rPr>
                <w:rFonts w:ascii="宋体" w:hAnsi="宋体" w:cs="宋体"/>
                <w:color w:val="000000" w:themeColor="text1"/>
                <w:sz w:val="24"/>
                <w:szCs w:val="24"/>
                <w14:textFill>
                  <w14:solidFill>
                    <w14:schemeClr w14:val="tx1"/>
                  </w14:solidFill>
                </w14:textFill>
              </w:rPr>
            </w:pPr>
          </w:p>
        </w:tc>
        <w:tc>
          <w:tcPr>
            <w:tcW w:w="1890" w:type="dxa"/>
          </w:tcPr>
          <w:p>
            <w:pPr>
              <w:rPr>
                <w:rFonts w:ascii="宋体" w:hAnsi="宋体" w:cs="宋体"/>
                <w:color w:val="000000" w:themeColor="text1"/>
                <w:sz w:val="24"/>
                <w:szCs w:val="24"/>
                <w14:textFill>
                  <w14:solidFill>
                    <w14:schemeClr w14:val="tx1"/>
                  </w14:solidFill>
                </w14:textFill>
              </w:rPr>
            </w:pPr>
          </w:p>
        </w:tc>
      </w:tr>
    </w:tbl>
    <w:p>
      <w:pPr>
        <w:spacing w:line="360" w:lineRule="auto"/>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spacing w:line="360" w:lineRule="auto"/>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1.投标人必须根据招标需求逐项对应描述</w:t>
      </w:r>
      <w:r>
        <w:rPr>
          <w:rFonts w:hint="eastAsia" w:ascii="宋体" w:hAnsi="宋体" w:cs="宋体"/>
          <w:b/>
          <w:color w:val="000000" w:themeColor="text1"/>
          <w:sz w:val="24"/>
          <w:szCs w:val="24"/>
          <w:lang w:val="zh-CN"/>
          <w14:textFill>
            <w14:solidFill>
              <w14:schemeClr w14:val="tx1"/>
            </w14:solidFill>
          </w14:textFill>
        </w:rPr>
        <w:t>投标的具体内容，如</w:t>
      </w:r>
      <w:r>
        <w:rPr>
          <w:rFonts w:hint="eastAsia" w:ascii="宋体" w:hAnsi="宋体" w:cs="宋体"/>
          <w:b/>
          <w:bCs/>
          <w:color w:val="000000" w:themeColor="text1"/>
          <w:sz w:val="24"/>
          <w:szCs w:val="24"/>
          <w:lang w:val="zh-CN"/>
          <w14:textFill>
            <w14:solidFill>
              <w14:schemeClr w14:val="tx1"/>
            </w14:solidFill>
          </w14:textFill>
        </w:rPr>
        <w:t>投标货物主要参数、材质、配置及服务要求等，如不进行描述，仅在“</w:t>
      </w:r>
      <w:r>
        <w:rPr>
          <w:rFonts w:hint="eastAsia" w:ascii="宋体" w:hAnsi="宋体" w:cs="宋体"/>
          <w:b/>
          <w:color w:val="000000" w:themeColor="text1"/>
          <w:sz w:val="24"/>
          <w:szCs w:val="24"/>
          <w:lang w:val="zh-CN"/>
          <w14:textFill>
            <w14:solidFill>
              <w14:schemeClr w14:val="tx1"/>
            </w14:solidFill>
          </w14:textFill>
        </w:rPr>
        <w:t>按投标人所投内容填写</w:t>
      </w:r>
      <w:r>
        <w:rPr>
          <w:rFonts w:hint="eastAsia" w:ascii="宋体" w:hAnsi="宋体" w:cs="宋体"/>
          <w:b/>
          <w:bCs/>
          <w:color w:val="000000" w:themeColor="text1"/>
          <w:sz w:val="24"/>
          <w:szCs w:val="24"/>
          <w:lang w:val="zh-CN"/>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103" w:name="_Toc471736411"/>
      <w:bookmarkStart w:id="104" w:name="_Toc461103234"/>
      <w:bookmarkStart w:id="105"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106" w:name="_Toc10981"/>
      <w:bookmarkStart w:id="107" w:name="_Toc7078093"/>
      <w:bookmarkStart w:id="108" w:name="_Toc2976"/>
      <w:bookmarkStart w:id="109" w:name="_Toc536542359"/>
      <w:r>
        <w:rPr>
          <w:rFonts w:hint="eastAsia" w:hAnsi="宋体"/>
          <w:color w:val="000000" w:themeColor="text1"/>
          <w:sz w:val="28"/>
          <w14:textFill>
            <w14:solidFill>
              <w14:schemeClr w14:val="tx1"/>
            </w14:solidFill>
          </w14:textFill>
        </w:rPr>
        <w:t>五.投标货物及报价表</w:t>
      </w:r>
      <w:bookmarkEnd w:id="106"/>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75"/>
              <w:widowControl w:val="0"/>
              <w:spacing w:before="120" w:beforeAutospacing="0" w:after="120" w:afterAutospacing="0"/>
              <w:ind w:left="1680"/>
              <w:jc w:val="both"/>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序号</w:t>
            </w:r>
          </w:p>
        </w:tc>
        <w:tc>
          <w:tcPr>
            <w:tcW w:w="1180"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货物名称</w:t>
            </w:r>
          </w:p>
        </w:tc>
        <w:tc>
          <w:tcPr>
            <w:tcW w:w="1903"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品牌、型号规格</w:t>
            </w:r>
          </w:p>
        </w:tc>
        <w:tc>
          <w:tcPr>
            <w:tcW w:w="2144"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原产地及生产厂商</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单位</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数量</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单价</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小计</w:t>
            </w:r>
          </w:p>
        </w:tc>
        <w:tc>
          <w:tcPr>
            <w:tcW w:w="69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w:t>
            </w:r>
          </w:p>
        </w:tc>
        <w:tc>
          <w:tcPr>
            <w:tcW w:w="1180" w:type="dxa"/>
          </w:tcPr>
          <w:p>
            <w:pPr>
              <w:rPr>
                <w:rFonts w:ascii="宋体" w:hAnsi="宋体"/>
                <w:color w:val="000000" w:themeColor="text1"/>
                <w:sz w:val="24"/>
                <w14:textFill>
                  <w14:solidFill>
                    <w14:schemeClr w14:val="tx1"/>
                  </w14:solidFill>
                </w14:textFill>
              </w:rPr>
            </w:pP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vAlign w:val="center"/>
          </w:tcPr>
          <w:p>
            <w:pPr>
              <w:pStyle w:val="6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其他费用</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pStyle w:val="68"/>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000000" w:themeColor="text1"/>
                <w:sz w:val="24"/>
                <w14:textFill>
                  <w14:solidFill>
                    <w14:schemeClr w14:val="tx1"/>
                  </w14:solidFill>
                </w14:textFill>
              </w:rPr>
            </w:pPr>
          </w:p>
        </w:tc>
        <w:tc>
          <w:tcPr>
            <w:tcW w:w="1180" w:type="dxa"/>
            <w:vAlign w:val="center"/>
          </w:tcPr>
          <w:p>
            <w:pPr>
              <w:pStyle w:val="6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合计</w:t>
            </w:r>
          </w:p>
        </w:tc>
        <w:tc>
          <w:tcPr>
            <w:tcW w:w="1903" w:type="dxa"/>
          </w:tcPr>
          <w:p>
            <w:pPr>
              <w:rPr>
                <w:rFonts w:ascii="宋体" w:hAnsi="宋体"/>
                <w:color w:val="000000" w:themeColor="text1"/>
                <w:sz w:val="24"/>
                <w14:textFill>
                  <w14:solidFill>
                    <w14:schemeClr w14:val="tx1"/>
                  </w14:solidFill>
                </w14:textFill>
              </w:rPr>
            </w:pPr>
          </w:p>
        </w:tc>
        <w:tc>
          <w:tcPr>
            <w:tcW w:w="2144"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c>
          <w:tcPr>
            <w:tcW w:w="698" w:type="dxa"/>
          </w:tcPr>
          <w:p>
            <w:pPr>
              <w:rPr>
                <w:rFonts w:ascii="宋体" w:hAnsi="宋体"/>
                <w:color w:val="000000" w:themeColor="text1"/>
                <w:sz w:val="24"/>
                <w14:textFill>
                  <w14:solidFill>
                    <w14:schemeClr w14:val="tx1"/>
                  </w14:solidFill>
                </w14:textFill>
              </w:rPr>
            </w:pPr>
          </w:p>
        </w:tc>
      </w:tr>
    </w:tbl>
    <w:p>
      <w:pPr>
        <w:pStyle w:val="29"/>
        <w:spacing w:line="360" w:lineRule="auto"/>
        <w:rPr>
          <w:rFonts w:ascii="宋体" w:hAnsi="宋体"/>
          <w:b w:val="0"/>
          <w:bCs/>
          <w:color w:val="000000" w:themeColor="text1"/>
          <w:sz w:val="24"/>
          <w:szCs w:val="28"/>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pPr>
        <w:adjustRightInd w:val="0"/>
        <w:snapToGrid w:val="0"/>
        <w:spacing w:line="360" w:lineRule="auto"/>
        <w:rPr>
          <w:rFonts w:ascii="宋体" w:hAnsi="宋体"/>
          <w:b/>
          <w:bCs/>
          <w:color w:val="000000" w:themeColor="text1"/>
          <w:sz w:val="24"/>
          <w:szCs w:val="28"/>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10" w:name="_Toc32709"/>
      <w:r>
        <w:rPr>
          <w:rFonts w:hint="eastAsia" w:ascii="宋体" w:hAnsi="宋体"/>
          <w:b/>
          <w:bCs/>
          <w:color w:val="000000" w:themeColor="text1"/>
          <w:sz w:val="28"/>
          <w:szCs w:val="32"/>
          <w:lang w:val="zh-CN"/>
          <w14:textFill>
            <w14:solidFill>
              <w14:schemeClr w14:val="tx1"/>
            </w14:solidFill>
          </w14:textFill>
        </w:rPr>
        <w:t>六．投标授权书</w:t>
      </w:r>
      <w:bookmarkEnd w:id="107"/>
      <w:bookmarkEnd w:id="108"/>
      <w:bookmarkEnd w:id="109"/>
      <w:bookmarkEnd w:id="110"/>
    </w:p>
    <w:p>
      <w:pPr>
        <w:snapToGrid w:val="0"/>
        <w:spacing w:line="360" w:lineRule="auto"/>
        <w:ind w:firstLine="480" w:firstLineChars="200"/>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本授权书声明：</w:t>
      </w:r>
      <w:r>
        <w:rPr>
          <w:rFonts w:hint="eastAsia" w:ascii="宋体" w:hAnsi="宋体"/>
          <w:color w:val="000000" w:themeColor="text1"/>
          <w:sz w:val="24"/>
          <w:szCs w:val="28"/>
          <w:u w:val="single"/>
          <w:lang w:val="zh-CN"/>
          <w14:textFill>
            <w14:solidFill>
              <w14:schemeClr w14:val="tx1"/>
            </w14:solidFill>
          </w14:textFill>
        </w:rPr>
        <w:t xml:space="preserve">           </w:t>
      </w:r>
      <w:r>
        <w:rPr>
          <w:rFonts w:hint="eastAsia" w:ascii="宋体" w:hAnsi="宋体"/>
          <w:color w:val="000000" w:themeColor="text1"/>
          <w:sz w:val="24"/>
          <w:szCs w:val="28"/>
          <w:lang w:val="zh-CN"/>
          <w14:textFill>
            <w14:solidFill>
              <w14:schemeClr w14:val="tx1"/>
            </w14:solidFill>
          </w14:textFill>
        </w:rPr>
        <w:t>公司授权</w:t>
      </w:r>
      <w:r>
        <w:rPr>
          <w:rFonts w:hint="eastAsia" w:ascii="宋体" w:hAnsi="宋体"/>
          <w:color w:val="000000" w:themeColor="text1"/>
          <w:sz w:val="24"/>
          <w:szCs w:val="28"/>
          <w:u w:val="single"/>
          <w:lang w:val="zh-CN"/>
          <w14:textFill>
            <w14:solidFill>
              <w14:schemeClr w14:val="tx1"/>
            </w14:solidFill>
          </w14:textFill>
        </w:rPr>
        <w:t xml:space="preserve">       </w:t>
      </w:r>
      <w:r>
        <w:rPr>
          <w:rFonts w:hint="eastAsia" w:ascii="宋体" w:hAnsi="宋体"/>
          <w:color w:val="000000" w:themeColor="text1"/>
          <w:sz w:val="24"/>
          <w:szCs w:val="28"/>
          <w:lang w:val="zh-CN"/>
          <w14:textFill>
            <w14:solidFill>
              <w14:schemeClr w14:val="tx1"/>
            </w14:solidFill>
          </w14:textFill>
        </w:rPr>
        <w:t>（投标人授权代表姓名、职务，手机号码）代表本公司参加文旅博览集团有限公司</w:t>
      </w:r>
      <w:r>
        <w:rPr>
          <w:rFonts w:hint="eastAsia" w:ascii="宋体" w:hAnsi="宋体"/>
          <w:b/>
          <w:color w:val="000000" w:themeColor="text1"/>
          <w:sz w:val="24"/>
          <w:szCs w:val="28"/>
          <w:u w:val="single"/>
          <w:lang w:val="zh-CN"/>
          <w14:textFill>
            <w14:solidFill>
              <w14:schemeClr w14:val="tx1"/>
            </w14:solidFill>
          </w14:textFill>
        </w:rPr>
        <w:t xml:space="preserve">                   </w:t>
      </w:r>
      <w:r>
        <w:rPr>
          <w:rFonts w:hint="eastAsia" w:ascii="宋体" w:hAnsi="宋体"/>
          <w:bCs/>
          <w:color w:val="000000" w:themeColor="text1"/>
          <w:sz w:val="24"/>
          <w:szCs w:val="28"/>
          <w:lang w:val="zh-CN"/>
          <w14:textFill>
            <w14:solidFill>
              <w14:schemeClr w14:val="tx1"/>
            </w14:solidFill>
          </w14:textFill>
        </w:rPr>
        <w:t>招标活动（项目编号：</w:t>
      </w:r>
      <w:r>
        <w:rPr>
          <w:rFonts w:hint="eastAsia" w:ascii="宋体" w:hAnsi="宋体"/>
          <w:b/>
          <w:color w:val="000000" w:themeColor="text1"/>
          <w:sz w:val="24"/>
          <w:szCs w:val="28"/>
          <w:lang w:val="zh-CN"/>
          <w14:textFill>
            <w14:solidFill>
              <w14:schemeClr w14:val="tx1"/>
            </w14:solidFill>
          </w14:textFill>
        </w:rPr>
        <w:t xml:space="preserve">       </w:t>
      </w:r>
      <w:r>
        <w:rPr>
          <w:rFonts w:hint="eastAsia" w:ascii="宋体" w:hAnsi="宋体"/>
          <w:bCs/>
          <w:color w:val="000000" w:themeColor="text1"/>
          <w:sz w:val="24"/>
          <w:szCs w:val="28"/>
          <w:lang w:val="zh-CN"/>
          <w14:textFill>
            <w14:solidFill>
              <w14:schemeClr w14:val="tx1"/>
            </w14:solidFill>
          </w14:textFill>
        </w:rPr>
        <w:t>）</w:t>
      </w:r>
      <w:r>
        <w:rPr>
          <w:rFonts w:hint="eastAsia" w:ascii="宋体" w:hAnsi="宋体"/>
          <w:color w:val="000000" w:themeColor="text1"/>
          <w:sz w:val="24"/>
          <w:szCs w:val="28"/>
          <w:lang w:val="zh-CN"/>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snapToGrid w:val="0"/>
        <w:spacing w:line="360" w:lineRule="auto"/>
        <w:ind w:firstLine="480" w:firstLineChars="200"/>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9525" t="8255" r="6985" b="6985"/>
                <wp:wrapNone/>
                <wp:docPr id="5" name="组合 5"/>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6"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7"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fkG2w9kAAAAKAQAADwAAAAAAAAABACAAAAAiAAAAZHJzL2Rv&#10;d25yZXYueG1sUEsBAhQAFAAAAAgAh07iQDWBReDkAgAAnggAAA4AAAAAAAAAAQAgAAAAKAEAAGRy&#10;cy9lMm9Eb2MueG1sUEsFBgAAAAAGAAYAWQEAAH4GA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7tLrSbwAAADa&#10;AAAADwAAAGRycy9kb3ducmV2LnhtbEWPwW7CMBBE70j8g7VIvYFNJUobcHJAouKGGnrocRtvk4h4&#10;HWwnUL6+rlSpx9HMvNFsi5vtxEg+tI41LBcKBHHlTMu1hvfTfv4MIkRkg51j0vBNAYp8OtliZtyV&#10;32gsYy0ShEOGGpoY+0zKUDVkMSxcT5y8L+ctxiR9LY3Ha4LbTj4q9SQttpwWGuxp11B1LgeroTJq&#10;UP5jPL58rmJ5H4cLy9eL1g+zpdqAiHSL/+G/9sFoWMP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S60m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r>
        <w:rPr>
          <w:rFonts w:hint="eastAsia" w:ascii="宋体" w:hAnsi="宋体"/>
          <w:b/>
          <w:bCs/>
          <w:color w:val="000000" w:themeColor="text1"/>
          <w:sz w:val="24"/>
          <w:szCs w:val="28"/>
          <w:u w:val="single"/>
          <w14:textFill>
            <w14:solidFill>
              <w14:schemeClr w14:val="tx1"/>
            </w14:solidFill>
          </w14:textFill>
        </w:rPr>
        <w:t xml:space="preserve">                    </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r>
        <w:rPr>
          <w:rFonts w:hint="eastAsia" w:ascii="宋体" w:hAnsi="宋体"/>
          <w:color w:val="000000" w:themeColor="text1"/>
          <w:sz w:val="24"/>
          <w:szCs w:val="28"/>
          <w:u w:val="single"/>
          <w14:textFill>
            <w14:solidFill>
              <w14:schemeClr w14:val="tx1"/>
            </w14:solidFill>
          </w14:textFill>
        </w:rPr>
        <w:t xml:space="preserve">                   </w:t>
      </w:r>
    </w:p>
    <w:p>
      <w:pPr>
        <w:rPr>
          <w:rFonts w:ascii="宋体" w:hAnsi="宋体"/>
          <w:color w:val="000000" w:themeColor="text1"/>
          <w:sz w:val="28"/>
          <w:szCs w:val="28"/>
          <w14:textFill>
            <w14:solidFill>
              <w14:schemeClr w14:val="tx1"/>
            </w14:solidFill>
          </w14:textFill>
        </w:rPr>
      </w:pPr>
    </w:p>
    <w:p>
      <w:pPr>
        <w:snapToGrid w:val="0"/>
        <w:spacing w:line="360" w:lineRule="auto"/>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注：</w:t>
      </w:r>
    </w:p>
    <w:p>
      <w:pPr>
        <w:snapToGrid w:val="0"/>
        <w:spacing w:line="360" w:lineRule="auto"/>
        <w:jc w:val="left"/>
        <w:rPr>
          <w:rFonts w:ascii="宋体" w:hAnsi="宋体"/>
          <w:color w:val="000000" w:themeColor="text1"/>
          <w:sz w:val="24"/>
          <w:szCs w:val="28"/>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1.本项目只允许有唯一的投标人授权代表（须与投标函中授权代表为同一人，否则投标无效），投标文件中提供授权代表身份证</w:t>
      </w:r>
      <w:r>
        <w:rPr>
          <w:rFonts w:hint="eastAsia" w:ascii="宋体" w:hAnsi="宋体"/>
          <w:color w:val="000000" w:themeColor="text1"/>
          <w:sz w:val="24"/>
          <w:szCs w:val="20"/>
          <w:lang w:val="zh-CN"/>
          <w14:textFill>
            <w14:solidFill>
              <w14:schemeClr w14:val="tx1"/>
            </w14:solidFill>
          </w14:textFill>
        </w:rPr>
        <w:t>扫描件</w:t>
      </w:r>
      <w:r>
        <w:rPr>
          <w:rFonts w:hint="eastAsia" w:ascii="宋体" w:hAnsi="宋体"/>
          <w:color w:val="000000" w:themeColor="text1"/>
          <w:sz w:val="24"/>
          <w:szCs w:val="28"/>
          <w:lang w:val="zh-CN"/>
          <w14:textFill>
            <w14:solidFill>
              <w14:schemeClr w14:val="tx1"/>
            </w14:solidFill>
          </w14:textFill>
        </w:rPr>
        <w:t>。</w:t>
      </w:r>
    </w:p>
    <w:p>
      <w:pPr>
        <w:snapToGrid w:val="0"/>
        <w:spacing w:line="360" w:lineRule="auto"/>
        <w:jc w:val="left"/>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8"/>
          <w:lang w:val="zh-CN"/>
          <w14:textFill>
            <w14:solidFill>
              <w14:schemeClr w14:val="tx1"/>
            </w14:solidFill>
          </w14:textFill>
        </w:rPr>
        <w:t>2.法定代表人参加投标的无需此件，</w:t>
      </w:r>
      <w:r>
        <w:rPr>
          <w:rFonts w:hint="eastAsia" w:ascii="宋体" w:hAnsi="宋体"/>
          <w:color w:val="000000" w:themeColor="text1"/>
          <w:sz w:val="24"/>
          <w:szCs w:val="20"/>
          <w:lang w:val="zh-CN"/>
          <w14:textFill>
            <w14:solidFill>
              <w14:schemeClr w14:val="tx1"/>
            </w14:solidFill>
          </w14:textFill>
        </w:rPr>
        <w:t>但投标文件中须提供身份证扫描件。</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cs="宋体"/>
          <w:b/>
          <w:bCs/>
          <w:color w:val="000000" w:themeColor="text1"/>
          <w:sz w:val="28"/>
          <w:szCs w:val="28"/>
          <w:lang w:val="zh-CN"/>
          <w14:textFill>
            <w14:solidFill>
              <w14:schemeClr w14:val="tx1"/>
            </w14:solidFill>
          </w14:textFill>
        </w:rPr>
      </w:pPr>
      <w:bookmarkStart w:id="111" w:name="_Toc7078094"/>
      <w:bookmarkStart w:id="112" w:name="_Toc536542360"/>
      <w:bookmarkStart w:id="113" w:name="_Toc14779"/>
      <w:bookmarkStart w:id="114" w:name="_Toc6570"/>
      <w:r>
        <w:rPr>
          <w:rFonts w:hint="eastAsia" w:ascii="宋体" w:hAnsi="宋体" w:cs="宋体"/>
          <w:b/>
          <w:bCs/>
          <w:color w:val="000000" w:themeColor="text1"/>
          <w:sz w:val="28"/>
          <w:szCs w:val="28"/>
          <w:lang w:val="zh-CN"/>
          <w14:textFill>
            <w14:solidFill>
              <w14:schemeClr w14:val="tx1"/>
            </w14:solidFill>
          </w14:textFill>
        </w:rPr>
        <w:t>七．投标人信用承诺</w:t>
      </w:r>
      <w:bookmarkEnd w:id="103"/>
      <w:bookmarkEnd w:id="104"/>
      <w:bookmarkEnd w:id="111"/>
      <w:bookmarkEnd w:id="112"/>
      <w:bookmarkEnd w:id="113"/>
      <w:bookmarkEnd w:id="114"/>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bookmarkEnd w:id="105"/>
    <w:p>
      <w:pPr>
        <w:keepNext/>
        <w:keepLines/>
        <w:spacing w:before="260" w:after="260" w:line="416" w:lineRule="auto"/>
        <w:jc w:val="center"/>
        <w:outlineLvl w:val="2"/>
        <w:rPr>
          <w:rFonts w:ascii="宋体" w:hAnsi="宋体" w:cs="宋体"/>
          <w:b/>
          <w:bCs/>
          <w:color w:val="000000" w:themeColor="text1"/>
          <w:sz w:val="28"/>
          <w:szCs w:val="28"/>
          <w:lang w:val="zh-CN"/>
          <w14:textFill>
            <w14:solidFill>
              <w14:schemeClr w14:val="tx1"/>
            </w14:solidFill>
          </w14:textFill>
        </w:rPr>
      </w:pPr>
      <w:bookmarkStart w:id="115" w:name="_Hlt509738950"/>
      <w:bookmarkEnd w:id="115"/>
      <w:bookmarkStart w:id="116" w:name="_Toc496587831"/>
      <w:bookmarkStart w:id="117" w:name="_Toc7078095"/>
      <w:bookmarkStart w:id="118" w:name="_Toc536542361"/>
      <w:bookmarkStart w:id="119" w:name="_Toc2056"/>
    </w:p>
    <w:p>
      <w:pPr>
        <w:keepNext/>
        <w:keepLines/>
        <w:spacing w:before="260" w:after="260" w:line="416" w:lineRule="auto"/>
        <w:jc w:val="center"/>
        <w:outlineLvl w:val="2"/>
        <w:rPr>
          <w:rFonts w:ascii="宋体" w:hAnsi="宋体" w:cs="宋体"/>
          <w:b/>
          <w:bCs/>
          <w:color w:val="000000" w:themeColor="text1"/>
          <w:sz w:val="28"/>
          <w:szCs w:val="28"/>
          <w:lang w:val="zh-CN"/>
          <w14:textFill>
            <w14:solidFill>
              <w14:schemeClr w14:val="tx1"/>
            </w14:solidFill>
          </w14:textFill>
        </w:rPr>
      </w:pPr>
    </w:p>
    <w:p>
      <w:pPr>
        <w:keepNext/>
        <w:keepLines/>
        <w:spacing w:before="260" w:after="260" w:line="416" w:lineRule="auto"/>
        <w:jc w:val="center"/>
        <w:outlineLvl w:val="2"/>
        <w:rPr>
          <w:rFonts w:ascii="宋体" w:hAnsi="宋体" w:cs="宋体"/>
          <w:b/>
          <w:bCs/>
          <w:color w:val="000000" w:themeColor="text1"/>
          <w:sz w:val="28"/>
          <w:szCs w:val="28"/>
          <w:lang w:val="zh-CN"/>
          <w14:textFill>
            <w14:solidFill>
              <w14:schemeClr w14:val="tx1"/>
            </w14:solidFill>
          </w14:textFill>
        </w:rPr>
      </w:pPr>
      <w:bookmarkStart w:id="120" w:name="_Toc24259"/>
      <w:r>
        <w:rPr>
          <w:rFonts w:hint="eastAsia" w:ascii="宋体" w:hAnsi="宋体" w:cs="宋体"/>
          <w:b/>
          <w:bCs/>
          <w:color w:val="000000" w:themeColor="text1"/>
          <w:sz w:val="28"/>
          <w:szCs w:val="28"/>
          <w:lang w:val="zh-CN"/>
          <w14:textFill>
            <w14:solidFill>
              <w14:schemeClr w14:val="tx1"/>
            </w14:solidFill>
          </w14:textFill>
        </w:rPr>
        <w:t>八.</w:t>
      </w:r>
      <w:bookmarkEnd w:id="116"/>
      <w:r>
        <w:rPr>
          <w:rFonts w:hint="eastAsia" w:ascii="宋体" w:hAnsi="宋体" w:cs="宋体"/>
          <w:b/>
          <w:bCs/>
          <w:color w:val="000000" w:themeColor="text1"/>
          <w:sz w:val="28"/>
          <w:szCs w:val="28"/>
          <w:lang w:val="zh-CN"/>
          <w14:textFill>
            <w14:solidFill>
              <w14:schemeClr w14:val="tx1"/>
            </w14:solidFill>
          </w14:textFill>
        </w:rPr>
        <w:t xml:space="preserve"> 投标业绩</w:t>
      </w:r>
      <w:bookmarkEnd w:id="117"/>
      <w:bookmarkEnd w:id="118"/>
      <w:bookmarkEnd w:id="119"/>
      <w:bookmarkEnd w:id="120"/>
    </w:p>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（一）业绩表</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（格式仅供参考）</w:t>
      </w:r>
    </w:p>
    <w:tbl>
      <w:tblPr>
        <w:tblStyle w:val="50"/>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10"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服务内容</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合同总金额</w:t>
            </w:r>
          </w:p>
        </w:tc>
        <w:tc>
          <w:tcPr>
            <w:tcW w:w="2551"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业主单位及联系电话</w:t>
            </w:r>
          </w:p>
        </w:tc>
        <w:tc>
          <w:tcPr>
            <w:tcW w:w="1134"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bl>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（二）业绩证明材料</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（建议与上述“（一）业绩表”填写的业绩一一对应提供）</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6"/>
          <w:lang w:val="zh-CN"/>
          <w14:textFill>
            <w14:solidFill>
              <w14:schemeClr w14:val="tx1"/>
            </w14:solidFill>
          </w14:textFill>
        </w:rPr>
      </w:pPr>
      <w:bookmarkStart w:id="121" w:name="_Toc12076"/>
      <w:bookmarkStart w:id="122" w:name="_Toc471736419"/>
      <w:bookmarkStart w:id="123" w:name="_Toc7078096"/>
      <w:bookmarkStart w:id="124" w:name="_Toc220232402"/>
      <w:bookmarkStart w:id="125" w:name="_Toc536542362"/>
      <w:bookmarkStart w:id="126" w:name="_Toc516969105"/>
      <w:bookmarkStart w:id="127" w:name="_Toc16606"/>
      <w:r>
        <w:rPr>
          <w:rFonts w:hint="eastAsia" w:ascii="宋体" w:hAnsi="宋体"/>
          <w:b/>
          <w:bCs/>
          <w:color w:val="000000" w:themeColor="text1"/>
          <w:sz w:val="28"/>
          <w:szCs w:val="32"/>
          <w:lang w:val="zh-CN"/>
          <w14:textFill>
            <w14:solidFill>
              <w14:schemeClr w14:val="tx1"/>
            </w14:solidFill>
          </w14:textFill>
        </w:rPr>
        <w:t>九．有关证明文件</w:t>
      </w:r>
      <w:bookmarkEnd w:id="121"/>
      <w:bookmarkEnd w:id="122"/>
      <w:bookmarkEnd w:id="123"/>
      <w:bookmarkEnd w:id="124"/>
      <w:bookmarkEnd w:id="125"/>
      <w:bookmarkEnd w:id="126"/>
      <w:bookmarkEnd w:id="127"/>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snapToGrid w:val="0"/>
        <w:spacing w:before="120" w:after="120" w:line="360" w:lineRule="auto"/>
        <w:ind w:firstLine="480"/>
        <w:jc w:val="left"/>
        <w:rPr>
          <w:rFonts w:ascii="宋体" w:hAnsi="宋体"/>
          <w:color w:val="000000" w:themeColor="text1"/>
          <w:sz w:val="24"/>
          <w:szCs w:val="20"/>
          <w:lang w:val="zh-CN"/>
          <w14:textFill>
            <w14:solidFill>
              <w14:schemeClr w14:val="tx1"/>
            </w14:solidFill>
          </w14:textFill>
        </w:rPr>
      </w:pPr>
      <w:r>
        <w:rPr>
          <w:rFonts w:hint="eastAsia" w:ascii="宋体" w:hAnsi="宋体"/>
          <w:color w:val="000000" w:themeColor="text1"/>
          <w:sz w:val="24"/>
          <w:szCs w:val="20"/>
          <w:lang w:val="zh-CN"/>
          <w14:textFill>
            <w14:solidFill>
              <w14:schemeClr w14:val="tx1"/>
            </w14:solidFill>
          </w14:textFill>
        </w:rPr>
        <w:t>特别提示：</w:t>
      </w:r>
    </w:p>
    <w:p>
      <w:pPr>
        <w:snapToGrid w:val="0"/>
        <w:spacing w:line="360" w:lineRule="auto"/>
        <w:ind w:firstLine="482"/>
        <w:jc w:val="left"/>
        <w:rPr>
          <w:rFonts w:ascii="宋体" w:hAnsi="宋体"/>
          <w:color w:val="000000" w:themeColor="text1"/>
          <w:sz w:val="24"/>
          <w:szCs w:val="20"/>
          <w:lang w:val="zh-CN"/>
          <w14:textFill>
            <w14:solidFill>
              <w14:schemeClr w14:val="tx1"/>
            </w14:solidFill>
          </w14:textFill>
        </w:rPr>
      </w:pPr>
      <w:r>
        <w:rPr>
          <w:rFonts w:hint="eastAsia" w:ascii="宋体" w:hAnsi="宋体"/>
          <w:color w:val="000000" w:themeColor="text1"/>
          <w:sz w:val="24"/>
          <w:szCs w:val="20"/>
          <w:lang w:val="zh-CN"/>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28" w:name="_Toc28661"/>
      <w:bookmarkStart w:id="129" w:name="_Toc515390551"/>
      <w:bookmarkStart w:id="130" w:name="_Toc2343"/>
      <w:r>
        <w:rPr>
          <w:rFonts w:hint="eastAsia" w:ascii="宋体" w:hAnsi="宋体"/>
          <w:b/>
          <w:bCs/>
          <w:color w:val="000000" w:themeColor="text1"/>
          <w:sz w:val="28"/>
          <w:szCs w:val="32"/>
          <w:lang w:val="zh-CN"/>
          <w14:textFill>
            <w14:solidFill>
              <w14:schemeClr w14:val="tx1"/>
            </w14:solidFill>
          </w14:textFill>
        </w:rPr>
        <w:t>十．</w:t>
      </w:r>
      <w:bookmarkStart w:id="131" w:name="_Toc420342105"/>
      <w:r>
        <w:rPr>
          <w:rFonts w:hint="eastAsia" w:ascii="宋体" w:hAnsi="宋体"/>
          <w:b/>
          <w:bCs/>
          <w:color w:val="000000" w:themeColor="text1"/>
          <w:sz w:val="28"/>
          <w:szCs w:val="32"/>
          <w:lang w:val="zh-CN"/>
          <w14:textFill>
            <w14:solidFill>
              <w14:schemeClr w14:val="tx1"/>
            </w14:solidFill>
          </w14:textFill>
        </w:rPr>
        <w:t>生产厂商授权书</w:t>
      </w:r>
      <w:bookmarkEnd w:id="128"/>
      <w:bookmarkEnd w:id="129"/>
      <w:bookmarkEnd w:id="130"/>
      <w:bookmarkEnd w:id="131"/>
    </w:p>
    <w:p>
      <w:pPr>
        <w:spacing w:line="360" w:lineRule="auto"/>
        <w:jc w:val="center"/>
        <w:rPr>
          <w:rFonts w:ascii="宋体" w:hAnsi="宋体"/>
          <w:color w:val="000000" w:themeColor="text1"/>
          <w:sz w:val="24"/>
          <w14:textFill>
            <w14:solidFill>
              <w14:schemeClr w14:val="tx1"/>
            </w14:solidFill>
          </w14:textFill>
        </w:rPr>
      </w:pPr>
      <w:r>
        <w:rPr>
          <w:rFonts w:ascii="宋体" w:hAnsi="宋体"/>
          <w:b/>
          <w:color w:val="000000" w:themeColor="text1"/>
          <w:sz w:val="28"/>
          <w14:textFill>
            <w14:solidFill>
              <w14:schemeClr w14:val="tx1"/>
            </w14:solidFill>
          </w14:textFill>
        </w:rPr>
        <w:t xml:space="preserve"> </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如允许标后提供授权，或为自制产品，或不允许代理商/销售商投标，不需此件）</w:t>
      </w:r>
    </w:p>
    <w:p>
      <w:pPr>
        <w:spacing w:line="360" w:lineRule="auto"/>
        <w:rPr>
          <w:rFonts w:ascii="宋体" w:hAnsi="宋体"/>
          <w:b/>
          <w:color w:val="000000" w:themeColor="text1"/>
          <w:sz w:val="24"/>
          <w:szCs w:val="20"/>
          <w:lang w:val="zh-CN"/>
          <w14:textFill>
            <w14:solidFill>
              <w14:schemeClr w14:val="tx1"/>
            </w14:solidFill>
          </w14:textFill>
        </w:rPr>
      </w:pPr>
      <w:r>
        <w:rPr>
          <w:rFonts w:hint="eastAsia" w:ascii="宋体" w:hAnsi="宋体"/>
          <w:b/>
          <w:color w:val="000000" w:themeColor="text1"/>
          <w:sz w:val="24"/>
          <w:szCs w:val="20"/>
          <w:lang w:val="zh-CN"/>
          <w14:textFill>
            <w14:solidFill>
              <w14:schemeClr w14:val="tx1"/>
            </w14:solidFill>
          </w14:textFill>
        </w:rPr>
        <w:t>致：文旅博览集团有限公司</w:t>
      </w:r>
    </w:p>
    <w:p>
      <w:pPr>
        <w:spacing w:line="360" w:lineRule="auto"/>
        <w:rPr>
          <w:rFonts w:ascii="宋体" w:hAnsi="宋体"/>
          <w:b/>
          <w:color w:val="000000" w:themeColor="text1"/>
          <w:sz w:val="24"/>
          <w:szCs w:val="20"/>
          <w:lang w:val="zh-CN"/>
          <w14:textFill>
            <w14:solidFill>
              <w14:schemeClr w14:val="tx1"/>
            </w14:solidFill>
          </w14:textFill>
        </w:rPr>
      </w:pPr>
      <w:r>
        <w:rPr>
          <w:rFonts w:hint="eastAsia"/>
          <w:b/>
          <w:color w:val="000000" w:themeColor="text1"/>
          <w:sz w:val="28"/>
          <w:szCs w:val="20"/>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某业主单位</w:t>
      </w:r>
    </w:p>
    <w:p>
      <w:pPr>
        <w:spacing w:line="360" w:lineRule="auto"/>
        <w:rPr>
          <w:rFonts w:ascii="宋体" w:hAnsi="宋体"/>
          <w:b/>
          <w:color w:val="000000" w:themeColor="text1"/>
          <w:sz w:val="24"/>
          <w:szCs w:val="20"/>
          <w:lang w:val="zh-CN"/>
          <w14:textFill>
            <w14:solidFill>
              <w14:schemeClr w14:val="tx1"/>
            </w14:solidFill>
          </w14:textFill>
        </w:rPr>
      </w:pP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（生产厂商名称）是根据</w:t>
      </w: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依法正式成立的，主营业地点在</w:t>
      </w: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 xml:space="preserve"> （生产厂商地址）。</w:t>
      </w: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公司是我公司正式授权经营我公司</w:t>
      </w:r>
      <w:r>
        <w:rPr>
          <w:rFonts w:hint="eastAsia" w:ascii="宋体" w:hAnsi="宋体"/>
          <w:b/>
          <w:color w:val="000000" w:themeColor="text1"/>
          <w:sz w:val="24"/>
          <w:szCs w:val="20"/>
          <w:u w:val="single"/>
          <w:lang w:val="zh-CN"/>
          <w14:textFill>
            <w14:solidFill>
              <w14:schemeClr w14:val="tx1"/>
            </w14:solidFill>
          </w14:textFill>
        </w:rPr>
        <w:t xml:space="preserve">            </w:t>
      </w:r>
      <w:r>
        <w:rPr>
          <w:rFonts w:hint="eastAsia" w:ascii="宋体" w:hAnsi="宋体"/>
          <w:b/>
          <w:color w:val="000000" w:themeColor="text1"/>
          <w:sz w:val="24"/>
          <w:szCs w:val="20"/>
          <w:lang w:val="zh-CN"/>
          <w14:textFill>
            <w14:solidFill>
              <w14:schemeClr w14:val="tx1"/>
            </w14:solidFill>
          </w14:textFill>
        </w:rPr>
        <w:t>（产品名称）的商家，它有权提供文旅博览集团有限公司</w:t>
      </w:r>
      <w:r>
        <w:rPr>
          <w:rFonts w:hint="eastAsia" w:ascii="宋体" w:hAnsi="宋体"/>
          <w:color w:val="000000" w:themeColor="text1"/>
          <w:sz w:val="24"/>
          <w:szCs w:val="20"/>
          <w:lang w:val="zh-CN"/>
          <w14:textFill>
            <w14:solidFill>
              <w14:schemeClr w14:val="tx1"/>
            </w14:solidFill>
          </w14:textFill>
        </w:rPr>
        <w:t>司</w:t>
      </w:r>
      <w:r>
        <w:rPr>
          <w:rFonts w:hint="eastAsia" w:ascii="宋体" w:hAnsi="宋体"/>
          <w:b/>
          <w:color w:val="000000" w:themeColor="text1"/>
          <w:sz w:val="24"/>
          <w:szCs w:val="20"/>
          <w:lang w:val="zh-CN"/>
          <w14:textFill>
            <w14:solidFill>
              <w14:schemeClr w14:val="tx1"/>
            </w14:solidFill>
          </w14:textFill>
        </w:rPr>
        <w:t>第</w:t>
      </w:r>
      <w:r>
        <w:rPr>
          <w:rFonts w:hint="eastAsia" w:ascii="宋体" w:hAnsi="宋体"/>
          <w:color w:val="000000" w:themeColor="text1"/>
          <w:sz w:val="24"/>
          <w:szCs w:val="20"/>
          <w:u w:val="single"/>
          <w:lang w:val="zh-CN"/>
          <w14:textFill>
            <w14:solidFill>
              <w14:schemeClr w14:val="tx1"/>
            </w14:solidFill>
          </w14:textFill>
        </w:rPr>
        <w:t>某编号</w:t>
      </w:r>
      <w:r>
        <w:rPr>
          <w:rFonts w:hint="eastAsia" w:ascii="宋体" w:hAnsi="宋体"/>
          <w:b/>
          <w:color w:val="000000" w:themeColor="text1"/>
          <w:sz w:val="24"/>
          <w:szCs w:val="20"/>
          <w:lang w:val="zh-CN"/>
          <w14:textFill>
            <w14:solidFill>
              <w14:schemeClr w14:val="tx1"/>
            </w14:solidFill>
          </w14:textFill>
        </w:rPr>
        <w:t>号</w:t>
      </w:r>
      <w:r>
        <w:rPr>
          <w:rFonts w:hint="eastAsia" w:ascii="宋体" w:hAnsi="宋体"/>
          <w:bCs/>
          <w:color w:val="000000" w:themeColor="text1"/>
          <w:sz w:val="24"/>
          <w:szCs w:val="20"/>
          <w:u w:val="single"/>
          <w:lang w:val="zh-CN"/>
          <w14:textFill>
            <w14:solidFill>
              <w14:schemeClr w14:val="tx1"/>
            </w14:solidFill>
          </w14:textFill>
        </w:rPr>
        <w:t>某项目</w:t>
      </w:r>
      <w:r>
        <w:rPr>
          <w:rFonts w:hint="eastAsia" w:ascii="宋体" w:hAnsi="宋体"/>
          <w:b/>
          <w:color w:val="000000" w:themeColor="text1"/>
          <w:sz w:val="24"/>
          <w:szCs w:val="20"/>
          <w:lang w:val="zh-CN"/>
          <w14:textFill>
            <w14:solidFill>
              <w14:schemeClr w14:val="tx1"/>
            </w14:solidFill>
          </w14:textFill>
        </w:rPr>
        <w:t>所需的由我公司生产或制造的货物。</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我公司保证与投标人共同承担该项目的相关法律责任及义务。</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贸易公司名称(</w:t>
      </w:r>
      <w:r>
        <w:rPr>
          <w:rFonts w:hint="eastAsia" w:ascii="宋体" w:hAnsi="宋体"/>
          <w:b/>
          <w:bCs/>
          <w:color w:val="000000" w:themeColor="text1"/>
          <w:sz w:val="24"/>
          <w14:textFill>
            <w14:solidFill>
              <w14:schemeClr w14:val="tx1"/>
            </w14:solidFill>
          </w14:textFill>
        </w:rPr>
        <w:t>如涉及进口产品</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出具授权书的生产厂商名称：</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授权人公章：</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ind w:firstLine="630"/>
        <w:rPr>
          <w:rFonts w:ascii="宋体" w:hAnsi="宋体"/>
          <w:color w:val="000000" w:themeColor="text1"/>
          <w:sz w:val="24"/>
          <w:u w:val="single"/>
          <w14:textFill>
            <w14:solidFill>
              <w14:schemeClr w14:val="tx1"/>
            </w14:solidFill>
          </w14:textFill>
        </w:rPr>
      </w:pPr>
    </w:p>
    <w:p>
      <w:pPr>
        <w:ind w:firstLine="630"/>
        <w:rPr>
          <w:rFonts w:ascii="宋体" w:hAnsi="宋体"/>
          <w:color w:val="000000" w:themeColor="text1"/>
          <w:sz w:val="24"/>
          <w:u w:val="single"/>
          <w14:textFill>
            <w14:solidFill>
              <w14:schemeClr w14:val="tx1"/>
            </w14:solidFill>
          </w14:textFill>
        </w:rPr>
      </w:pPr>
    </w:p>
    <w:p>
      <w:pPr>
        <w:spacing w:line="360" w:lineRule="auto"/>
        <w:ind w:firstLine="630"/>
        <w:rPr>
          <w:rFonts w:ascii="宋体" w:hAnsi="宋体"/>
          <w:color w:val="000000" w:themeColor="text1"/>
          <w:sz w:val="24"/>
          <w:u w:val="single"/>
          <w14:textFill>
            <w14:solidFill>
              <w14:schemeClr w14:val="tx1"/>
            </w14:solidFill>
          </w14:textFill>
        </w:rPr>
      </w:pPr>
    </w:p>
    <w:p>
      <w:pPr>
        <w:spacing w:line="360" w:lineRule="auto"/>
        <w:ind w:firstLine="630"/>
        <w:rPr>
          <w:rFonts w:ascii="宋体" w:hAnsi="宋体"/>
          <w:color w:val="000000" w:themeColor="text1"/>
          <w:sz w:val="24"/>
          <w:u w:val="single"/>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rFonts w:ascii="宋体" w:hAnsi="宋体"/>
          <w:color w:val="000000" w:themeColor="text1"/>
          <w:sz w:val="28"/>
          <w:u w:val="single"/>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32" w:name="_Toc515390553"/>
      <w:bookmarkStart w:id="133" w:name="_Toc32245"/>
      <w:bookmarkStart w:id="134" w:name="_Toc6203"/>
      <w:r>
        <w:rPr>
          <w:rFonts w:hint="eastAsia" w:ascii="宋体" w:hAnsi="宋体"/>
          <w:b/>
          <w:bCs/>
          <w:color w:val="000000" w:themeColor="text1"/>
          <w:sz w:val="28"/>
          <w:szCs w:val="32"/>
          <w:lang w:val="zh-CN"/>
          <w14:textFill>
            <w14:solidFill>
              <w14:schemeClr w14:val="tx1"/>
            </w14:solidFill>
          </w14:textFill>
        </w:rPr>
        <w:t>十一．</w:t>
      </w:r>
      <w:bookmarkStart w:id="135" w:name="_Toc420342112"/>
      <w:bookmarkStart w:id="136" w:name="_Toc459990161"/>
      <w:r>
        <w:rPr>
          <w:rFonts w:hint="eastAsia" w:ascii="宋体" w:hAnsi="宋体"/>
          <w:b/>
          <w:bCs/>
          <w:color w:val="000000" w:themeColor="text1"/>
          <w:sz w:val="28"/>
          <w:szCs w:val="32"/>
          <w:lang w:val="zh-CN"/>
          <w14:textFill>
            <w14:solidFill>
              <w14:schemeClr w14:val="tx1"/>
            </w14:solidFill>
          </w14:textFill>
        </w:rPr>
        <w:t>项目人员配备</w:t>
      </w:r>
      <w:bookmarkEnd w:id="132"/>
      <w:bookmarkEnd w:id="133"/>
      <w:bookmarkEnd w:id="134"/>
      <w:bookmarkEnd w:id="135"/>
      <w:bookmarkEnd w:id="136"/>
    </w:p>
    <w:p>
      <w:pPr>
        <w:rPr>
          <w:color w:val="000000" w:themeColor="text1"/>
          <w14:textFill>
            <w14:solidFill>
              <w14:schemeClr w14:val="tx1"/>
            </w14:solidFill>
          </w14:textFill>
        </w:rPr>
      </w:pPr>
    </w:p>
    <w:p>
      <w:pPr>
        <w:spacing w:line="34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（一）项目组人员配备情况表</w:t>
      </w:r>
    </w:p>
    <w:p>
      <w:pPr>
        <w:spacing w:line="340" w:lineRule="exact"/>
        <w:rPr>
          <w:rFonts w:ascii="宋体" w:hAnsi="宋体"/>
          <w:color w:val="000000" w:themeColor="text1"/>
          <w:sz w:val="32"/>
          <w:szCs w:val="32"/>
          <w14:textFill>
            <w14:solidFill>
              <w14:schemeClr w14:val="tx1"/>
            </w14:solidFill>
          </w14:textFill>
        </w:rPr>
      </w:pPr>
    </w:p>
    <w:tbl>
      <w:tblPr>
        <w:tblStyle w:val="5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701"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17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职称</w:t>
            </w: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tc>
        <w:tc>
          <w:tcPr>
            <w:tcW w:w="226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项目经理</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技术负责人</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其它人员</w:t>
            </w:r>
          </w:p>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投标人签章：</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p>
      <w:pPr>
        <w:adjustRightInd w:val="0"/>
        <w:spacing w:line="360" w:lineRule="auto"/>
        <w:ind w:firstLine="480" w:firstLineChars="200"/>
        <w:textAlignment w:val="baseline"/>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 管理机构的主要人员（项目</w:t>
      </w:r>
      <w:r>
        <w:rPr>
          <w:rFonts w:hint="eastAsia" w:ascii="宋体" w:hAnsi="宋体"/>
          <w:color w:val="000000" w:themeColor="text1"/>
          <w:sz w:val="24"/>
          <w14:textFill>
            <w14:solidFill>
              <w14:schemeClr w14:val="tx1"/>
            </w14:solidFill>
          </w14:textFill>
        </w:rPr>
        <w:t>经理</w:t>
      </w:r>
      <w:r>
        <w:rPr>
          <w:rFonts w:hint="eastAsia" w:ascii="宋体" w:hAnsi="宋体"/>
          <w:bCs/>
          <w:color w:val="000000" w:themeColor="text1"/>
          <w:sz w:val="24"/>
          <w:szCs w:val="24"/>
          <w14:textFill>
            <w14:solidFill>
              <w14:schemeClr w14:val="tx1"/>
            </w14:solidFill>
          </w14:textFill>
        </w:rPr>
        <w:t>）按招标文件要求附资质证书等证明资料扫描件；</w:t>
      </w:r>
    </w:p>
    <w:p>
      <w:pPr>
        <w:adjustRightIn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2.中标后如需更换管理机构主要人员，需书面向招标人提出，并获得书面同意后方可更换；</w:t>
      </w:r>
    </w:p>
    <w:p>
      <w:pPr>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bookmarkStart w:id="137" w:name="_Toc471736426"/>
      <w:bookmarkStart w:id="138" w:name="_Toc391040780"/>
      <w:bookmarkStart w:id="139" w:name="_Toc390243257"/>
      <w:bookmarkStart w:id="140" w:name="_Toc459990156"/>
      <w:bookmarkStart w:id="141" w:name="_Toc420342107"/>
    </w:p>
    <w:bookmarkEnd w:id="137"/>
    <w:bookmarkEnd w:id="138"/>
    <w:bookmarkEnd w:id="139"/>
    <w:bookmarkEnd w:id="140"/>
    <w:bookmarkEnd w:id="141"/>
    <w:p>
      <w:pPr>
        <w:jc w:val="cente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36"/>
          <w:szCs w:val="36"/>
          <w:lang w:val="zh-CN"/>
          <w14:textFill>
            <w14:solidFill>
              <w14:schemeClr w14:val="tx1"/>
            </w14:solidFill>
          </w14:textFill>
        </w:rPr>
      </w:pPr>
      <w:bookmarkStart w:id="142" w:name="_Toc10816"/>
      <w:bookmarkStart w:id="143" w:name="_Toc7078099"/>
      <w:bookmarkStart w:id="144" w:name="_Toc536542365"/>
      <w:bookmarkStart w:id="145" w:name="_Toc16146"/>
      <w:r>
        <w:rPr>
          <w:rFonts w:hint="eastAsia" w:ascii="宋体" w:hAnsi="宋体"/>
          <w:b/>
          <w:bCs/>
          <w:color w:val="000000" w:themeColor="text1"/>
          <w:sz w:val="28"/>
          <w:szCs w:val="32"/>
          <w:lang w:val="zh-CN"/>
          <w14:textFill>
            <w14:solidFill>
              <w14:schemeClr w14:val="tx1"/>
            </w14:solidFill>
          </w14:textFill>
        </w:rPr>
        <w:t>十二．售后服务体系与检测方案</w:t>
      </w:r>
      <w:bookmarkEnd w:id="142"/>
      <w:bookmarkEnd w:id="143"/>
      <w:bookmarkEnd w:id="144"/>
      <w:bookmarkEnd w:id="145"/>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6"/>
          <w:lang w:val="zh-CN"/>
          <w14:textFill>
            <w14:solidFill>
              <w14:schemeClr w14:val="tx1"/>
            </w14:solidFill>
          </w14:textFill>
        </w:rPr>
      </w:pPr>
      <w:bookmarkStart w:id="146" w:name="_Toc536542368"/>
      <w:bookmarkStart w:id="147" w:name="_Toc7078102"/>
      <w:bookmarkStart w:id="148" w:name="_Toc471736416"/>
      <w:bookmarkStart w:id="149" w:name="_Toc9822"/>
      <w:bookmarkStart w:id="150" w:name="_Toc57984513"/>
      <w:bookmarkStart w:id="151" w:name="_Toc220232400"/>
      <w:bookmarkStart w:id="152" w:name="_Toc27185"/>
      <w:r>
        <w:rPr>
          <w:rFonts w:hint="eastAsia" w:ascii="宋体" w:hAnsi="宋体"/>
          <w:b/>
          <w:bCs/>
          <w:color w:val="000000" w:themeColor="text1"/>
          <w:sz w:val="28"/>
          <w:szCs w:val="32"/>
          <w:lang w:val="zh-CN"/>
          <w14:textFill>
            <w14:solidFill>
              <w14:schemeClr w14:val="tx1"/>
            </w14:solidFill>
          </w14:textFill>
        </w:rPr>
        <w:t>十三．产品质量承诺</w:t>
      </w:r>
      <w:bookmarkEnd w:id="146"/>
      <w:bookmarkEnd w:id="147"/>
      <w:bookmarkEnd w:id="148"/>
      <w:bookmarkEnd w:id="149"/>
      <w:bookmarkEnd w:id="150"/>
      <w:bookmarkEnd w:id="151"/>
      <w:bookmarkEnd w:id="152"/>
    </w:p>
    <w:p>
      <w:pPr>
        <w:spacing w:before="48" w:beforeLines="20" w:after="48" w:afterLines="20" w:line="360" w:lineRule="auto"/>
        <w:ind w:firstLine="480" w:firstLineChars="200"/>
        <w:jc w:val="center"/>
        <w:rPr>
          <w:rFonts w:ascii="宋体" w:hAnsi="宋体"/>
          <w:b/>
          <w:bCs/>
          <w:color w:val="000000" w:themeColor="text1"/>
          <w:sz w:val="32"/>
          <w:szCs w:val="32"/>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Start w:id="153" w:name="_Toc32139"/>
      <w:r>
        <w:rPr>
          <w:rFonts w:hint="eastAsia" w:ascii="宋体" w:hAnsi="宋体"/>
          <w:b/>
          <w:bCs/>
          <w:color w:val="000000" w:themeColor="text1"/>
          <w:sz w:val="32"/>
          <w:szCs w:val="32"/>
          <w:lang w:val="zh-CN"/>
          <w14:textFill>
            <w14:solidFill>
              <w14:schemeClr w14:val="tx1"/>
            </w14:solidFill>
          </w14:textFill>
        </w:rPr>
        <w:tab/>
      </w:r>
    </w:p>
    <w:p>
      <w:pPr>
        <w:spacing w:before="48" w:beforeLines="20" w:after="48" w:afterLines="20" w:line="360" w:lineRule="auto"/>
        <w:ind w:firstLine="643" w:firstLineChars="200"/>
        <w:jc w:val="center"/>
        <w:rPr>
          <w:rFonts w:ascii="宋体" w:hAnsi="宋体"/>
          <w:b/>
          <w:bCs/>
          <w:color w:val="000000" w:themeColor="text1"/>
          <w:sz w:val="32"/>
          <w:szCs w:val="32"/>
          <w:lang w:val="zh-CN"/>
          <w14:textFill>
            <w14:solidFill>
              <w14:schemeClr w14:val="tx1"/>
            </w14:solidFill>
          </w14:textFill>
        </w:rPr>
      </w:pPr>
    </w:p>
    <w:p>
      <w:pPr>
        <w:spacing w:before="48" w:beforeLines="20" w:after="48" w:afterLines="20" w:line="360" w:lineRule="auto"/>
        <w:ind w:firstLine="643" w:firstLineChars="200"/>
        <w:jc w:val="center"/>
        <w:rPr>
          <w:rFonts w:ascii="宋体" w:hAnsi="宋体"/>
          <w:b/>
          <w:bCs/>
          <w:color w:val="000000" w:themeColor="text1"/>
          <w:sz w:val="32"/>
          <w:szCs w:val="32"/>
          <w:lang w:val="zh-CN"/>
          <w14:textFill>
            <w14:solidFill>
              <w14:schemeClr w14:val="tx1"/>
            </w14:solidFill>
          </w14:textFill>
        </w:rPr>
      </w:pPr>
      <w:r>
        <w:rPr>
          <w:rFonts w:hint="eastAsia" w:ascii="宋体" w:hAnsi="宋体"/>
          <w:b/>
          <w:bCs/>
          <w:color w:val="000000" w:themeColor="text1"/>
          <w:sz w:val="32"/>
          <w:szCs w:val="32"/>
          <w:lang w:val="zh-CN"/>
          <w14:textFill>
            <w14:solidFill>
              <w14:schemeClr w14:val="tx1"/>
            </w14:solidFill>
          </w14:textFill>
        </w:rPr>
        <w:t>十四、投标人认为需提供的其他资料</w:t>
      </w:r>
      <w:bookmarkEnd w:id="153"/>
    </w:p>
    <w:p>
      <w:pPr>
        <w:rPr>
          <w:color w:val="000000" w:themeColor="text1"/>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lang w:val="zh-CN"/>
          <w14:textFill>
            <w14:solidFill>
              <w14:schemeClr w14:val="tx1"/>
            </w14:solidFill>
          </w14:textFill>
        </w:rPr>
      </w:pPr>
      <w:bookmarkStart w:id="154" w:name="_Toc27926"/>
      <w:bookmarkStart w:id="155" w:name="_Toc17307116"/>
      <w:bookmarkStart w:id="156" w:name="_Toc18658870"/>
      <w:bookmarkStart w:id="157" w:name="_Toc300210382"/>
      <w:bookmarkStart w:id="158" w:name="_Toc24284"/>
      <w:bookmarkStart w:id="159" w:name="_Toc51083298"/>
      <w:bookmarkStart w:id="160" w:name="_Toc5128"/>
      <w:bookmarkStart w:id="161" w:name="_Toc51505261"/>
      <w:bookmarkStart w:id="162" w:name="_Toc19773347"/>
      <w:bookmarkStart w:id="163" w:name="_Toc55287019"/>
      <w:bookmarkStart w:id="164" w:name="_Toc22888343"/>
      <w:r>
        <w:rPr>
          <w:rFonts w:hint="eastAsia" w:ascii="宋体" w:hAnsi="宋体"/>
          <w:b/>
          <w:bCs/>
          <w:color w:val="000000" w:themeColor="text1"/>
          <w:sz w:val="28"/>
          <w:szCs w:val="32"/>
          <w:lang w:val="zh-CN"/>
          <w14:textFill>
            <w14:solidFill>
              <w14:schemeClr w14:val="tx1"/>
            </w14:solidFill>
          </w14:textFill>
        </w:rPr>
        <w:t>十五．投标保证金退还声明</w:t>
      </w:r>
      <w:bookmarkEnd w:id="154"/>
      <w:bookmarkEnd w:id="155"/>
      <w:bookmarkEnd w:id="156"/>
      <w:bookmarkEnd w:id="157"/>
      <w:bookmarkEnd w:id="158"/>
      <w:bookmarkEnd w:id="159"/>
      <w:bookmarkEnd w:id="160"/>
      <w:bookmarkEnd w:id="161"/>
      <w:bookmarkEnd w:id="162"/>
      <w:bookmarkEnd w:id="163"/>
      <w:bookmarkEnd w:id="164"/>
    </w:p>
    <w:p>
      <w:pPr>
        <w:rPr>
          <w:color w:val="000000" w:themeColor="text1"/>
          <w14:textFill>
            <w14:solidFill>
              <w14:schemeClr w14:val="tx1"/>
            </w14:solidFill>
          </w14:textFill>
        </w:rPr>
      </w:pPr>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投标保证金金额：</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我单位投标保证金到期后请汇至如下账号：</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收款单位：</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开户行：</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银行账号：</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电话：</w:t>
      </w:r>
    </w:p>
    <w:p>
      <w:pPr>
        <w:spacing w:line="360" w:lineRule="auto"/>
        <w:ind w:firstLine="629"/>
        <w:rPr>
          <w:rFonts w:ascii="宋体" w:hAnsi="宋体"/>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地址：</w:t>
      </w:r>
    </w:p>
    <w:p>
      <w:pPr>
        <w:spacing w:line="360" w:lineRule="auto"/>
        <w:ind w:firstLine="629"/>
        <w:rPr>
          <w:rFonts w:ascii="宋体" w:hAnsi="宋体"/>
          <w:color w:val="000000" w:themeColor="text1"/>
          <w:sz w:val="24"/>
          <w:u w:val="single"/>
          <w14:textFill>
            <w14:solidFill>
              <w14:schemeClr w14:val="tx1"/>
            </w14:solidFill>
          </w14:textFill>
        </w:rPr>
      </w:pPr>
    </w:p>
    <w:p>
      <w:pPr>
        <w:spacing w:line="360" w:lineRule="auto"/>
        <w:ind w:firstLine="629"/>
        <w:rPr>
          <w:rFonts w:hAnsi="Arial"/>
          <w:color w:val="000000" w:themeColor="text1"/>
          <w:sz w:val="24"/>
          <w14:textFill>
            <w14:solidFill>
              <w14:schemeClr w14:val="tx1"/>
            </w14:solidFill>
          </w14:textFill>
        </w:rPr>
      </w:pPr>
      <w:r>
        <w:rPr>
          <w:rFonts w:hint="eastAsia"/>
          <w:color w:val="000000" w:themeColor="text1"/>
          <w14:textFill>
            <w14:solidFill>
              <w14:schemeClr w14:val="tx1"/>
            </w14:solidFill>
          </w14:textFill>
        </w:rPr>
        <w:t>附</w:t>
      </w:r>
      <w:r>
        <w:rPr>
          <w:rFonts w:hint="eastAsia" w:hAnsi="Arial"/>
          <w:color w:val="000000" w:themeColor="text1"/>
          <w:sz w:val="24"/>
          <w14:textFill>
            <w14:solidFill>
              <w14:schemeClr w14:val="tx1"/>
            </w14:solidFill>
          </w14:textFill>
        </w:rPr>
        <w:t>：投标保证金转账凭证扫描件</w:t>
      </w:r>
    </w:p>
    <w:p>
      <w:pPr>
        <w:spacing w:line="360" w:lineRule="auto"/>
        <w:rPr>
          <w:rFonts w:hAnsi="Arial"/>
          <w:color w:val="000000" w:themeColor="text1"/>
          <w:sz w:val="24"/>
          <w14:textFill>
            <w14:solidFill>
              <w14:schemeClr w14:val="tx1"/>
            </w14:solidFill>
          </w14:textFill>
        </w:rPr>
      </w:pPr>
    </w:p>
    <w:p>
      <w:pPr>
        <w:spacing w:line="360" w:lineRule="auto"/>
        <w:ind w:firstLine="629"/>
        <w:rPr>
          <w:rFonts w:hAnsi="Arial"/>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投标人（公章）：</w:t>
      </w:r>
    </w:p>
    <w:p>
      <w:pPr>
        <w:spacing w:line="360" w:lineRule="auto"/>
        <w:ind w:firstLine="629"/>
        <w:rPr>
          <w:rFonts w:hAnsi="Arial"/>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企业法人（签字）：</w:t>
      </w:r>
    </w:p>
    <w:p>
      <w:pPr>
        <w:spacing w:line="360" w:lineRule="auto"/>
        <w:ind w:firstLine="629"/>
        <w:rPr>
          <w:rFonts w:hAnsi="Arial"/>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授权代表（签字）：</w:t>
      </w:r>
    </w:p>
    <w:p>
      <w:pPr>
        <w:spacing w:line="360" w:lineRule="auto"/>
        <w:ind w:firstLine="629"/>
        <w:rPr>
          <w:rFonts w:hAnsi="Arial"/>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年月日</w:t>
      </w:r>
    </w:p>
    <w:p>
      <w:pPr>
        <w:pStyle w:val="5"/>
        <w:spacing w:line="500" w:lineRule="exact"/>
        <w:jc w:val="center"/>
        <w:rPr>
          <w:rFonts w:hAnsi="Arial"/>
          <w:color w:val="000000" w:themeColor="text1"/>
          <w:sz w:val="24"/>
          <w14:textFill>
            <w14:solidFill>
              <w14:schemeClr w14:val="tx1"/>
            </w14:solidFill>
          </w14:textFill>
        </w:rPr>
      </w:pP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2</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41</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合肥文旅博览集团有限公司招标文件-货物类（适用于综合评分法）                       2020版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4A119"/>
    <w:multiLevelType w:val="singleLevel"/>
    <w:tmpl w:val="CD64A119"/>
    <w:lvl w:ilvl="0" w:tentative="0">
      <w:start w:val="6"/>
      <w:numFmt w:val="chineseCounting"/>
      <w:suff w:val="space"/>
      <w:lvlText w:val="第%1章"/>
      <w:lvlJc w:val="left"/>
      <w:rPr>
        <w:rFonts w:hint="eastAsia"/>
      </w:rPr>
    </w:lvl>
  </w:abstractNum>
  <w:abstractNum w:abstractNumId="1">
    <w:nsid w:val="00000005"/>
    <w:multiLevelType w:val="multilevel"/>
    <w:tmpl w:val="00000005"/>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61207F6"/>
    <w:multiLevelType w:val="multilevel"/>
    <w:tmpl w:val="061207F6"/>
    <w:lvl w:ilvl="0" w:tentative="0">
      <w:start w:val="1"/>
      <w:numFmt w:val="japaneseCounting"/>
      <w:lvlText w:val="%1、"/>
      <w:lvlJc w:val="left"/>
      <w:pPr>
        <w:ind w:left="840" w:hanging="51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3">
    <w:nsid w:val="2E4F3A11"/>
    <w:multiLevelType w:val="multilevel"/>
    <w:tmpl w:val="2E4F3A11"/>
    <w:lvl w:ilvl="0" w:tentative="0">
      <w:start w:val="1"/>
      <w:numFmt w:val="decimal"/>
      <w:pStyle w:val="62"/>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63"/>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61"/>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3E2E1B76"/>
    <w:multiLevelType w:val="multilevel"/>
    <w:tmpl w:val="3E2E1B76"/>
    <w:lvl w:ilvl="0" w:tentative="0">
      <w:start w:val="2"/>
      <w:numFmt w:val="japaneseCounting"/>
      <w:lvlText w:val="%1、"/>
      <w:lvlJc w:val="left"/>
      <w:pPr>
        <w:ind w:left="700" w:hanging="50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48716ABE"/>
    <w:multiLevelType w:val="multilevel"/>
    <w:tmpl w:val="48716ABE"/>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8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6">
    <w:nsid w:val="4D2A0EDA"/>
    <w:multiLevelType w:val="multilevel"/>
    <w:tmpl w:val="4D2A0EDA"/>
    <w:lvl w:ilvl="0" w:tentative="0">
      <w:start w:val="2"/>
      <w:numFmt w:val="decimal"/>
      <w:lvlText w:val="%1"/>
      <w:lvlJc w:val="left"/>
      <w:pPr>
        <w:ind w:left="360" w:hanging="360"/>
      </w:pPr>
      <w:rPr>
        <w:rFonts w:hint="default"/>
      </w:rPr>
    </w:lvl>
    <w:lvl w:ilvl="1" w:tentative="0">
      <w:start w:val="6"/>
      <w:numFmt w:val="decimal"/>
      <w:lvlText w:val="%1.%2"/>
      <w:lvlJc w:val="left"/>
      <w:pPr>
        <w:ind w:left="909" w:hanging="360"/>
      </w:pPr>
      <w:rPr>
        <w:rFonts w:hint="default"/>
      </w:rPr>
    </w:lvl>
    <w:lvl w:ilvl="2" w:tentative="0">
      <w:start w:val="1"/>
      <w:numFmt w:val="decimal"/>
      <w:lvlText w:val="%1.%2.%3"/>
      <w:lvlJc w:val="left"/>
      <w:pPr>
        <w:ind w:left="1818" w:hanging="720"/>
      </w:pPr>
      <w:rPr>
        <w:rFonts w:hint="default"/>
      </w:rPr>
    </w:lvl>
    <w:lvl w:ilvl="3" w:tentative="0">
      <w:start w:val="1"/>
      <w:numFmt w:val="decimal"/>
      <w:lvlText w:val="%1.%2.%3.%4"/>
      <w:lvlJc w:val="left"/>
      <w:pPr>
        <w:ind w:left="2727" w:hanging="1080"/>
      </w:pPr>
      <w:rPr>
        <w:rFonts w:hint="default"/>
      </w:rPr>
    </w:lvl>
    <w:lvl w:ilvl="4" w:tentative="0">
      <w:start w:val="1"/>
      <w:numFmt w:val="decimal"/>
      <w:lvlText w:val="%1.%2.%3.%4.%5"/>
      <w:lvlJc w:val="left"/>
      <w:pPr>
        <w:ind w:left="3276" w:hanging="1080"/>
      </w:pPr>
      <w:rPr>
        <w:rFonts w:hint="default"/>
      </w:rPr>
    </w:lvl>
    <w:lvl w:ilvl="5" w:tentative="0">
      <w:start w:val="1"/>
      <w:numFmt w:val="decimal"/>
      <w:lvlText w:val="%1.%2.%3.%4.%5.%6"/>
      <w:lvlJc w:val="left"/>
      <w:pPr>
        <w:ind w:left="4185" w:hanging="1440"/>
      </w:pPr>
      <w:rPr>
        <w:rFonts w:hint="default"/>
      </w:rPr>
    </w:lvl>
    <w:lvl w:ilvl="6" w:tentative="0">
      <w:start w:val="1"/>
      <w:numFmt w:val="decimal"/>
      <w:lvlText w:val="%1.%2.%3.%4.%5.%6.%7"/>
      <w:lvlJc w:val="left"/>
      <w:pPr>
        <w:ind w:left="5094" w:hanging="1800"/>
      </w:pPr>
      <w:rPr>
        <w:rFonts w:hint="default"/>
      </w:rPr>
    </w:lvl>
    <w:lvl w:ilvl="7" w:tentative="0">
      <w:start w:val="1"/>
      <w:numFmt w:val="decimal"/>
      <w:lvlText w:val="%1.%2.%3.%4.%5.%6.%7.%8"/>
      <w:lvlJc w:val="left"/>
      <w:pPr>
        <w:ind w:left="5643" w:hanging="1800"/>
      </w:pPr>
      <w:rPr>
        <w:rFonts w:hint="default"/>
      </w:rPr>
    </w:lvl>
    <w:lvl w:ilvl="8" w:tentative="0">
      <w:start w:val="1"/>
      <w:numFmt w:val="decimal"/>
      <w:lvlText w:val="%1.%2.%3.%4.%5.%6.%7.%8.%9"/>
      <w:lvlJc w:val="left"/>
      <w:pPr>
        <w:ind w:left="6552" w:hanging="2160"/>
      </w:pPr>
      <w:rPr>
        <w:rFonts w:hint="default"/>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0B"/>
    <w:rsid w:val="000035A3"/>
    <w:rsid w:val="000106D4"/>
    <w:rsid w:val="00010CC7"/>
    <w:rsid w:val="00015DB9"/>
    <w:rsid w:val="000165BF"/>
    <w:rsid w:val="000251FA"/>
    <w:rsid w:val="0003169D"/>
    <w:rsid w:val="00034DE4"/>
    <w:rsid w:val="000375D6"/>
    <w:rsid w:val="000500BD"/>
    <w:rsid w:val="00050A33"/>
    <w:rsid w:val="00052552"/>
    <w:rsid w:val="00054AE6"/>
    <w:rsid w:val="00061E30"/>
    <w:rsid w:val="00070AF8"/>
    <w:rsid w:val="00081E48"/>
    <w:rsid w:val="00083595"/>
    <w:rsid w:val="0009188A"/>
    <w:rsid w:val="00093C96"/>
    <w:rsid w:val="000974B8"/>
    <w:rsid w:val="000B5931"/>
    <w:rsid w:val="000C12DF"/>
    <w:rsid w:val="000C51EA"/>
    <w:rsid w:val="000C720D"/>
    <w:rsid w:val="000D0E34"/>
    <w:rsid w:val="000D64A2"/>
    <w:rsid w:val="000D73B0"/>
    <w:rsid w:val="000E1FDF"/>
    <w:rsid w:val="000E61BF"/>
    <w:rsid w:val="000E7B46"/>
    <w:rsid w:val="000F404D"/>
    <w:rsid w:val="001006B1"/>
    <w:rsid w:val="001029A1"/>
    <w:rsid w:val="00103B7D"/>
    <w:rsid w:val="00106234"/>
    <w:rsid w:val="0011682E"/>
    <w:rsid w:val="00121C5C"/>
    <w:rsid w:val="00122092"/>
    <w:rsid w:val="00123512"/>
    <w:rsid w:val="00133123"/>
    <w:rsid w:val="00136CE8"/>
    <w:rsid w:val="00143D8F"/>
    <w:rsid w:val="00145FCF"/>
    <w:rsid w:val="001567A4"/>
    <w:rsid w:val="00157DA2"/>
    <w:rsid w:val="00165A31"/>
    <w:rsid w:val="00165E3E"/>
    <w:rsid w:val="00167D2D"/>
    <w:rsid w:val="00170641"/>
    <w:rsid w:val="00171D92"/>
    <w:rsid w:val="00172A27"/>
    <w:rsid w:val="00172CCB"/>
    <w:rsid w:val="001758D1"/>
    <w:rsid w:val="00177581"/>
    <w:rsid w:val="00180621"/>
    <w:rsid w:val="00182763"/>
    <w:rsid w:val="00182F13"/>
    <w:rsid w:val="00187141"/>
    <w:rsid w:val="00187355"/>
    <w:rsid w:val="001873D0"/>
    <w:rsid w:val="00190FC3"/>
    <w:rsid w:val="00191011"/>
    <w:rsid w:val="00192FA2"/>
    <w:rsid w:val="00193CCB"/>
    <w:rsid w:val="001A15C7"/>
    <w:rsid w:val="001A3416"/>
    <w:rsid w:val="001A5D42"/>
    <w:rsid w:val="001B1E68"/>
    <w:rsid w:val="001B5756"/>
    <w:rsid w:val="001B6CA4"/>
    <w:rsid w:val="001C5E9E"/>
    <w:rsid w:val="001D22B3"/>
    <w:rsid w:val="001E0B84"/>
    <w:rsid w:val="001E1917"/>
    <w:rsid w:val="001E38B4"/>
    <w:rsid w:val="001F18D1"/>
    <w:rsid w:val="001F2286"/>
    <w:rsid w:val="001F489C"/>
    <w:rsid w:val="001F711F"/>
    <w:rsid w:val="002115AF"/>
    <w:rsid w:val="002208C9"/>
    <w:rsid w:val="00220990"/>
    <w:rsid w:val="00234F18"/>
    <w:rsid w:val="0024080E"/>
    <w:rsid w:val="00241826"/>
    <w:rsid w:val="002505C8"/>
    <w:rsid w:val="00252128"/>
    <w:rsid w:val="00256362"/>
    <w:rsid w:val="00256B0B"/>
    <w:rsid w:val="00260053"/>
    <w:rsid w:val="00260ED6"/>
    <w:rsid w:val="00266ED5"/>
    <w:rsid w:val="00282F64"/>
    <w:rsid w:val="00284E8A"/>
    <w:rsid w:val="00286D1E"/>
    <w:rsid w:val="002871F0"/>
    <w:rsid w:val="00290E0B"/>
    <w:rsid w:val="00291AA9"/>
    <w:rsid w:val="00291BDA"/>
    <w:rsid w:val="002925B9"/>
    <w:rsid w:val="00294401"/>
    <w:rsid w:val="002957A2"/>
    <w:rsid w:val="002A0717"/>
    <w:rsid w:val="002A106D"/>
    <w:rsid w:val="002A1AEB"/>
    <w:rsid w:val="002A35E3"/>
    <w:rsid w:val="002A3E6A"/>
    <w:rsid w:val="002A55E5"/>
    <w:rsid w:val="002A6ADC"/>
    <w:rsid w:val="002A6D1E"/>
    <w:rsid w:val="002A7309"/>
    <w:rsid w:val="002B25E9"/>
    <w:rsid w:val="002B2F57"/>
    <w:rsid w:val="002B3FCC"/>
    <w:rsid w:val="002B653A"/>
    <w:rsid w:val="002C2DE2"/>
    <w:rsid w:val="002C74C8"/>
    <w:rsid w:val="002C785E"/>
    <w:rsid w:val="002D4B74"/>
    <w:rsid w:val="002D797D"/>
    <w:rsid w:val="002E0440"/>
    <w:rsid w:val="002E0D6B"/>
    <w:rsid w:val="002E1859"/>
    <w:rsid w:val="002E428A"/>
    <w:rsid w:val="002E7812"/>
    <w:rsid w:val="002F1441"/>
    <w:rsid w:val="002F16E1"/>
    <w:rsid w:val="002F4164"/>
    <w:rsid w:val="002F4E93"/>
    <w:rsid w:val="00303BEB"/>
    <w:rsid w:val="003040D2"/>
    <w:rsid w:val="00305B48"/>
    <w:rsid w:val="0030781B"/>
    <w:rsid w:val="00317ED7"/>
    <w:rsid w:val="00321272"/>
    <w:rsid w:val="003228AD"/>
    <w:rsid w:val="00325655"/>
    <w:rsid w:val="003318E8"/>
    <w:rsid w:val="0033258B"/>
    <w:rsid w:val="00334886"/>
    <w:rsid w:val="00340899"/>
    <w:rsid w:val="00346CFB"/>
    <w:rsid w:val="003503E0"/>
    <w:rsid w:val="003519DD"/>
    <w:rsid w:val="00351E5E"/>
    <w:rsid w:val="00353D22"/>
    <w:rsid w:val="00360539"/>
    <w:rsid w:val="00362DC7"/>
    <w:rsid w:val="00363F24"/>
    <w:rsid w:val="003725BD"/>
    <w:rsid w:val="00376BA7"/>
    <w:rsid w:val="003822F5"/>
    <w:rsid w:val="0038312D"/>
    <w:rsid w:val="00385FFF"/>
    <w:rsid w:val="00386644"/>
    <w:rsid w:val="00391B6E"/>
    <w:rsid w:val="003933DB"/>
    <w:rsid w:val="00393D11"/>
    <w:rsid w:val="00394F7F"/>
    <w:rsid w:val="003B0A8B"/>
    <w:rsid w:val="003B0FB4"/>
    <w:rsid w:val="003B21C4"/>
    <w:rsid w:val="003B400F"/>
    <w:rsid w:val="003B4882"/>
    <w:rsid w:val="003C0193"/>
    <w:rsid w:val="003C01A9"/>
    <w:rsid w:val="003D2373"/>
    <w:rsid w:val="003D38BB"/>
    <w:rsid w:val="003D7BDF"/>
    <w:rsid w:val="003E5BF3"/>
    <w:rsid w:val="003E5D09"/>
    <w:rsid w:val="003F29DE"/>
    <w:rsid w:val="003F7921"/>
    <w:rsid w:val="00400F2C"/>
    <w:rsid w:val="0040206D"/>
    <w:rsid w:val="0040374C"/>
    <w:rsid w:val="00403F76"/>
    <w:rsid w:val="00412C60"/>
    <w:rsid w:val="00422599"/>
    <w:rsid w:val="004225D3"/>
    <w:rsid w:val="0042556C"/>
    <w:rsid w:val="00425AF3"/>
    <w:rsid w:val="00426D82"/>
    <w:rsid w:val="00427F08"/>
    <w:rsid w:val="004302CE"/>
    <w:rsid w:val="00440EB9"/>
    <w:rsid w:val="00441B3A"/>
    <w:rsid w:val="0044389C"/>
    <w:rsid w:val="00445B16"/>
    <w:rsid w:val="00445DD2"/>
    <w:rsid w:val="004460A8"/>
    <w:rsid w:val="00447973"/>
    <w:rsid w:val="00451119"/>
    <w:rsid w:val="00451447"/>
    <w:rsid w:val="00451ACD"/>
    <w:rsid w:val="004533D6"/>
    <w:rsid w:val="00453E04"/>
    <w:rsid w:val="00454420"/>
    <w:rsid w:val="0046180F"/>
    <w:rsid w:val="00462FD8"/>
    <w:rsid w:val="00463267"/>
    <w:rsid w:val="00464611"/>
    <w:rsid w:val="00472EA7"/>
    <w:rsid w:val="0047443A"/>
    <w:rsid w:val="00476E14"/>
    <w:rsid w:val="0048008A"/>
    <w:rsid w:val="00484B61"/>
    <w:rsid w:val="00486967"/>
    <w:rsid w:val="004873FB"/>
    <w:rsid w:val="0049233E"/>
    <w:rsid w:val="004962CC"/>
    <w:rsid w:val="004A6495"/>
    <w:rsid w:val="004B0C11"/>
    <w:rsid w:val="004B5915"/>
    <w:rsid w:val="004B6AA8"/>
    <w:rsid w:val="004C0863"/>
    <w:rsid w:val="004D1F92"/>
    <w:rsid w:val="004D2B46"/>
    <w:rsid w:val="004D413E"/>
    <w:rsid w:val="004D52B6"/>
    <w:rsid w:val="004E2086"/>
    <w:rsid w:val="004E2310"/>
    <w:rsid w:val="004E2D49"/>
    <w:rsid w:val="004E2F0D"/>
    <w:rsid w:val="004E3766"/>
    <w:rsid w:val="004F128E"/>
    <w:rsid w:val="004F4F38"/>
    <w:rsid w:val="004F5FD0"/>
    <w:rsid w:val="0050175C"/>
    <w:rsid w:val="00502FBE"/>
    <w:rsid w:val="005055F8"/>
    <w:rsid w:val="00507362"/>
    <w:rsid w:val="00510C99"/>
    <w:rsid w:val="00511D05"/>
    <w:rsid w:val="00512F8C"/>
    <w:rsid w:val="00513759"/>
    <w:rsid w:val="005151FA"/>
    <w:rsid w:val="00523298"/>
    <w:rsid w:val="00523310"/>
    <w:rsid w:val="00523411"/>
    <w:rsid w:val="00524A70"/>
    <w:rsid w:val="00527DA4"/>
    <w:rsid w:val="00530ED5"/>
    <w:rsid w:val="00535551"/>
    <w:rsid w:val="00541DA2"/>
    <w:rsid w:val="00551D5E"/>
    <w:rsid w:val="00555E88"/>
    <w:rsid w:val="0056335F"/>
    <w:rsid w:val="005639AC"/>
    <w:rsid w:val="00566C97"/>
    <w:rsid w:val="00575119"/>
    <w:rsid w:val="005823EC"/>
    <w:rsid w:val="005904B5"/>
    <w:rsid w:val="005A413D"/>
    <w:rsid w:val="005A64BC"/>
    <w:rsid w:val="005A7181"/>
    <w:rsid w:val="005B1427"/>
    <w:rsid w:val="005B2CBF"/>
    <w:rsid w:val="005B51DB"/>
    <w:rsid w:val="005C1423"/>
    <w:rsid w:val="005C43C2"/>
    <w:rsid w:val="005C6C62"/>
    <w:rsid w:val="005D210F"/>
    <w:rsid w:val="005E0C2F"/>
    <w:rsid w:val="005E49E3"/>
    <w:rsid w:val="005E6B2E"/>
    <w:rsid w:val="005F0E09"/>
    <w:rsid w:val="005F13A5"/>
    <w:rsid w:val="005F50AD"/>
    <w:rsid w:val="0060098C"/>
    <w:rsid w:val="00601316"/>
    <w:rsid w:val="00607F38"/>
    <w:rsid w:val="00621A5D"/>
    <w:rsid w:val="00625222"/>
    <w:rsid w:val="0063024E"/>
    <w:rsid w:val="00630C2A"/>
    <w:rsid w:val="006322AD"/>
    <w:rsid w:val="006327D9"/>
    <w:rsid w:val="00635863"/>
    <w:rsid w:val="00640572"/>
    <w:rsid w:val="00642FE4"/>
    <w:rsid w:val="00644A0A"/>
    <w:rsid w:val="00652237"/>
    <w:rsid w:val="00661219"/>
    <w:rsid w:val="00676E2C"/>
    <w:rsid w:val="00682E33"/>
    <w:rsid w:val="00683852"/>
    <w:rsid w:val="00685014"/>
    <w:rsid w:val="0069137C"/>
    <w:rsid w:val="00691BC2"/>
    <w:rsid w:val="006A0AF6"/>
    <w:rsid w:val="006A1112"/>
    <w:rsid w:val="006A3E3D"/>
    <w:rsid w:val="006B14CD"/>
    <w:rsid w:val="006B1F89"/>
    <w:rsid w:val="006C1D2E"/>
    <w:rsid w:val="006C23D4"/>
    <w:rsid w:val="006C5436"/>
    <w:rsid w:val="006C5AEA"/>
    <w:rsid w:val="006D573B"/>
    <w:rsid w:val="006D57DD"/>
    <w:rsid w:val="006D59F7"/>
    <w:rsid w:val="006D6FFA"/>
    <w:rsid w:val="006E3909"/>
    <w:rsid w:val="006E39BD"/>
    <w:rsid w:val="006E72A5"/>
    <w:rsid w:val="006F7F60"/>
    <w:rsid w:val="007036D9"/>
    <w:rsid w:val="0070546F"/>
    <w:rsid w:val="00707AE7"/>
    <w:rsid w:val="00710B83"/>
    <w:rsid w:val="00710CE4"/>
    <w:rsid w:val="0071226A"/>
    <w:rsid w:val="00713E75"/>
    <w:rsid w:val="00713E7E"/>
    <w:rsid w:val="00714C49"/>
    <w:rsid w:val="0072120C"/>
    <w:rsid w:val="0072609C"/>
    <w:rsid w:val="00726B75"/>
    <w:rsid w:val="00732508"/>
    <w:rsid w:val="00740B9D"/>
    <w:rsid w:val="00745F7B"/>
    <w:rsid w:val="00752A46"/>
    <w:rsid w:val="00752AFC"/>
    <w:rsid w:val="0075389C"/>
    <w:rsid w:val="007560E8"/>
    <w:rsid w:val="00761E33"/>
    <w:rsid w:val="007663D1"/>
    <w:rsid w:val="00766A33"/>
    <w:rsid w:val="007700B5"/>
    <w:rsid w:val="00780D9C"/>
    <w:rsid w:val="00792F19"/>
    <w:rsid w:val="0079701A"/>
    <w:rsid w:val="007A0FDC"/>
    <w:rsid w:val="007A5368"/>
    <w:rsid w:val="007A60C0"/>
    <w:rsid w:val="007B1C4F"/>
    <w:rsid w:val="007B354C"/>
    <w:rsid w:val="007C097B"/>
    <w:rsid w:val="007D52FA"/>
    <w:rsid w:val="007D5D5F"/>
    <w:rsid w:val="007D7ECD"/>
    <w:rsid w:val="007E07A7"/>
    <w:rsid w:val="007E4C8A"/>
    <w:rsid w:val="007E5AFC"/>
    <w:rsid w:val="007E75C3"/>
    <w:rsid w:val="007F0A95"/>
    <w:rsid w:val="007F5FD0"/>
    <w:rsid w:val="008128B8"/>
    <w:rsid w:val="00815391"/>
    <w:rsid w:val="00815CC7"/>
    <w:rsid w:val="008166FE"/>
    <w:rsid w:val="008307D0"/>
    <w:rsid w:val="00830E4A"/>
    <w:rsid w:val="00835BCB"/>
    <w:rsid w:val="00850903"/>
    <w:rsid w:val="00850D86"/>
    <w:rsid w:val="00853D8C"/>
    <w:rsid w:val="00865DFE"/>
    <w:rsid w:val="00870122"/>
    <w:rsid w:val="0087493C"/>
    <w:rsid w:val="0087726F"/>
    <w:rsid w:val="00882634"/>
    <w:rsid w:val="00883D6B"/>
    <w:rsid w:val="00886160"/>
    <w:rsid w:val="00895E26"/>
    <w:rsid w:val="008A404B"/>
    <w:rsid w:val="008A4B6B"/>
    <w:rsid w:val="008B2926"/>
    <w:rsid w:val="008B6B28"/>
    <w:rsid w:val="008C40F1"/>
    <w:rsid w:val="008C4744"/>
    <w:rsid w:val="008C645B"/>
    <w:rsid w:val="008D0769"/>
    <w:rsid w:val="008D0F22"/>
    <w:rsid w:val="008D361A"/>
    <w:rsid w:val="008E251D"/>
    <w:rsid w:val="008E582E"/>
    <w:rsid w:val="008E7F4B"/>
    <w:rsid w:val="008F67EE"/>
    <w:rsid w:val="009000C4"/>
    <w:rsid w:val="00911E5A"/>
    <w:rsid w:val="00913C55"/>
    <w:rsid w:val="0092742B"/>
    <w:rsid w:val="00930DEE"/>
    <w:rsid w:val="0093106A"/>
    <w:rsid w:val="00932EAF"/>
    <w:rsid w:val="00934EED"/>
    <w:rsid w:val="00935D83"/>
    <w:rsid w:val="00935F63"/>
    <w:rsid w:val="00936418"/>
    <w:rsid w:val="00940FFD"/>
    <w:rsid w:val="00945A59"/>
    <w:rsid w:val="0094711E"/>
    <w:rsid w:val="0094752C"/>
    <w:rsid w:val="00950E5C"/>
    <w:rsid w:val="0095667D"/>
    <w:rsid w:val="0095690F"/>
    <w:rsid w:val="009612C8"/>
    <w:rsid w:val="009671CB"/>
    <w:rsid w:val="00967968"/>
    <w:rsid w:val="00982352"/>
    <w:rsid w:val="00982D88"/>
    <w:rsid w:val="00986E38"/>
    <w:rsid w:val="00992FF0"/>
    <w:rsid w:val="009A16DE"/>
    <w:rsid w:val="009B1543"/>
    <w:rsid w:val="009B5DA1"/>
    <w:rsid w:val="009B6EB6"/>
    <w:rsid w:val="009C1060"/>
    <w:rsid w:val="009C3BEC"/>
    <w:rsid w:val="009D18FB"/>
    <w:rsid w:val="009D1A24"/>
    <w:rsid w:val="009D30A0"/>
    <w:rsid w:val="009E21BE"/>
    <w:rsid w:val="009E30A1"/>
    <w:rsid w:val="009E33B2"/>
    <w:rsid w:val="009E4C87"/>
    <w:rsid w:val="009E4E8C"/>
    <w:rsid w:val="009E61D6"/>
    <w:rsid w:val="009F305F"/>
    <w:rsid w:val="009F57D2"/>
    <w:rsid w:val="009F72B6"/>
    <w:rsid w:val="009F7301"/>
    <w:rsid w:val="009F7F8B"/>
    <w:rsid w:val="00A008D0"/>
    <w:rsid w:val="00A02D8E"/>
    <w:rsid w:val="00A03549"/>
    <w:rsid w:val="00A07E48"/>
    <w:rsid w:val="00A12979"/>
    <w:rsid w:val="00A15988"/>
    <w:rsid w:val="00A26BA0"/>
    <w:rsid w:val="00A3623A"/>
    <w:rsid w:val="00A36550"/>
    <w:rsid w:val="00A41301"/>
    <w:rsid w:val="00A41F02"/>
    <w:rsid w:val="00A44A89"/>
    <w:rsid w:val="00A51BDB"/>
    <w:rsid w:val="00A52920"/>
    <w:rsid w:val="00A72769"/>
    <w:rsid w:val="00A7306D"/>
    <w:rsid w:val="00A76002"/>
    <w:rsid w:val="00A77107"/>
    <w:rsid w:val="00A77327"/>
    <w:rsid w:val="00A940F0"/>
    <w:rsid w:val="00AA0E81"/>
    <w:rsid w:val="00AA331B"/>
    <w:rsid w:val="00AA4F95"/>
    <w:rsid w:val="00AA64D2"/>
    <w:rsid w:val="00AA678F"/>
    <w:rsid w:val="00AA7B90"/>
    <w:rsid w:val="00AB2FDC"/>
    <w:rsid w:val="00AB43ED"/>
    <w:rsid w:val="00AC1749"/>
    <w:rsid w:val="00AC4F57"/>
    <w:rsid w:val="00AD0330"/>
    <w:rsid w:val="00AD6D59"/>
    <w:rsid w:val="00AE3F71"/>
    <w:rsid w:val="00AE5C03"/>
    <w:rsid w:val="00AE7D2C"/>
    <w:rsid w:val="00B01ECB"/>
    <w:rsid w:val="00B0284E"/>
    <w:rsid w:val="00B078D3"/>
    <w:rsid w:val="00B1079C"/>
    <w:rsid w:val="00B11FE0"/>
    <w:rsid w:val="00B13314"/>
    <w:rsid w:val="00B1344B"/>
    <w:rsid w:val="00B142D6"/>
    <w:rsid w:val="00B154A6"/>
    <w:rsid w:val="00B17378"/>
    <w:rsid w:val="00B21FA5"/>
    <w:rsid w:val="00B22229"/>
    <w:rsid w:val="00B25AC1"/>
    <w:rsid w:val="00B25BBF"/>
    <w:rsid w:val="00B343E6"/>
    <w:rsid w:val="00B4127B"/>
    <w:rsid w:val="00B413DD"/>
    <w:rsid w:val="00B45F26"/>
    <w:rsid w:val="00B50D6E"/>
    <w:rsid w:val="00B51477"/>
    <w:rsid w:val="00B51BC4"/>
    <w:rsid w:val="00B51E41"/>
    <w:rsid w:val="00B52E63"/>
    <w:rsid w:val="00B616DA"/>
    <w:rsid w:val="00B74383"/>
    <w:rsid w:val="00B7791A"/>
    <w:rsid w:val="00B8044D"/>
    <w:rsid w:val="00B8172C"/>
    <w:rsid w:val="00B83F95"/>
    <w:rsid w:val="00B8540A"/>
    <w:rsid w:val="00B8680C"/>
    <w:rsid w:val="00B90B93"/>
    <w:rsid w:val="00B93AD3"/>
    <w:rsid w:val="00BA20C9"/>
    <w:rsid w:val="00BA23F1"/>
    <w:rsid w:val="00BA57B5"/>
    <w:rsid w:val="00BB32FC"/>
    <w:rsid w:val="00BB3A0A"/>
    <w:rsid w:val="00BC3C31"/>
    <w:rsid w:val="00BD090E"/>
    <w:rsid w:val="00BD1274"/>
    <w:rsid w:val="00BD3FD5"/>
    <w:rsid w:val="00BD40F7"/>
    <w:rsid w:val="00BE05BB"/>
    <w:rsid w:val="00BF1A4D"/>
    <w:rsid w:val="00BF5F61"/>
    <w:rsid w:val="00C032BD"/>
    <w:rsid w:val="00C067DC"/>
    <w:rsid w:val="00C071DD"/>
    <w:rsid w:val="00C07F29"/>
    <w:rsid w:val="00C109CF"/>
    <w:rsid w:val="00C10B0C"/>
    <w:rsid w:val="00C15CC2"/>
    <w:rsid w:val="00C27290"/>
    <w:rsid w:val="00C34286"/>
    <w:rsid w:val="00C3452C"/>
    <w:rsid w:val="00C368F4"/>
    <w:rsid w:val="00C37490"/>
    <w:rsid w:val="00C401FD"/>
    <w:rsid w:val="00C4138F"/>
    <w:rsid w:val="00C4239E"/>
    <w:rsid w:val="00C43979"/>
    <w:rsid w:val="00C46089"/>
    <w:rsid w:val="00C464C9"/>
    <w:rsid w:val="00C500F7"/>
    <w:rsid w:val="00C50EAE"/>
    <w:rsid w:val="00C518AA"/>
    <w:rsid w:val="00C54E51"/>
    <w:rsid w:val="00C555C4"/>
    <w:rsid w:val="00C55714"/>
    <w:rsid w:val="00C56E63"/>
    <w:rsid w:val="00C65FD6"/>
    <w:rsid w:val="00C7266C"/>
    <w:rsid w:val="00C72856"/>
    <w:rsid w:val="00C7353D"/>
    <w:rsid w:val="00C77528"/>
    <w:rsid w:val="00C80E42"/>
    <w:rsid w:val="00C843E5"/>
    <w:rsid w:val="00C8637C"/>
    <w:rsid w:val="00C90E61"/>
    <w:rsid w:val="00C92914"/>
    <w:rsid w:val="00C95452"/>
    <w:rsid w:val="00C95AF8"/>
    <w:rsid w:val="00C97B0A"/>
    <w:rsid w:val="00CA1935"/>
    <w:rsid w:val="00CA1E51"/>
    <w:rsid w:val="00CA1F6C"/>
    <w:rsid w:val="00CA230C"/>
    <w:rsid w:val="00CA3BC6"/>
    <w:rsid w:val="00CB18E8"/>
    <w:rsid w:val="00CB42F9"/>
    <w:rsid w:val="00CB4BB2"/>
    <w:rsid w:val="00CC5EBA"/>
    <w:rsid w:val="00CC687D"/>
    <w:rsid w:val="00CD1F78"/>
    <w:rsid w:val="00CD763C"/>
    <w:rsid w:val="00CD7854"/>
    <w:rsid w:val="00CE0765"/>
    <w:rsid w:val="00CE4B22"/>
    <w:rsid w:val="00CE4D9A"/>
    <w:rsid w:val="00CE7904"/>
    <w:rsid w:val="00CF72D5"/>
    <w:rsid w:val="00CF7C91"/>
    <w:rsid w:val="00D05444"/>
    <w:rsid w:val="00D06A28"/>
    <w:rsid w:val="00D25E73"/>
    <w:rsid w:val="00D30431"/>
    <w:rsid w:val="00D30506"/>
    <w:rsid w:val="00D360D3"/>
    <w:rsid w:val="00D4342F"/>
    <w:rsid w:val="00D435A8"/>
    <w:rsid w:val="00D44A98"/>
    <w:rsid w:val="00D450FF"/>
    <w:rsid w:val="00D52223"/>
    <w:rsid w:val="00D658D1"/>
    <w:rsid w:val="00D67E5F"/>
    <w:rsid w:val="00D700F9"/>
    <w:rsid w:val="00D709EE"/>
    <w:rsid w:val="00D713D1"/>
    <w:rsid w:val="00D73555"/>
    <w:rsid w:val="00D74062"/>
    <w:rsid w:val="00D74C90"/>
    <w:rsid w:val="00D763B1"/>
    <w:rsid w:val="00D8284E"/>
    <w:rsid w:val="00D861E8"/>
    <w:rsid w:val="00D91C69"/>
    <w:rsid w:val="00D94B7F"/>
    <w:rsid w:val="00D964DA"/>
    <w:rsid w:val="00DA0527"/>
    <w:rsid w:val="00DA6955"/>
    <w:rsid w:val="00DA7BE3"/>
    <w:rsid w:val="00DB18CD"/>
    <w:rsid w:val="00DB3C15"/>
    <w:rsid w:val="00DB498E"/>
    <w:rsid w:val="00DB4BE6"/>
    <w:rsid w:val="00DB57F0"/>
    <w:rsid w:val="00DB5FF6"/>
    <w:rsid w:val="00DB7A28"/>
    <w:rsid w:val="00DC4276"/>
    <w:rsid w:val="00DC5B6B"/>
    <w:rsid w:val="00DC63D7"/>
    <w:rsid w:val="00DD227D"/>
    <w:rsid w:val="00DD27EE"/>
    <w:rsid w:val="00DE2BD8"/>
    <w:rsid w:val="00DF0182"/>
    <w:rsid w:val="00DF474B"/>
    <w:rsid w:val="00DF59FF"/>
    <w:rsid w:val="00DF6BA5"/>
    <w:rsid w:val="00E006C3"/>
    <w:rsid w:val="00E1233F"/>
    <w:rsid w:val="00E167E6"/>
    <w:rsid w:val="00E168D7"/>
    <w:rsid w:val="00E16A2B"/>
    <w:rsid w:val="00E17FAA"/>
    <w:rsid w:val="00E22E43"/>
    <w:rsid w:val="00E27CF4"/>
    <w:rsid w:val="00E41124"/>
    <w:rsid w:val="00E43B1A"/>
    <w:rsid w:val="00E4404E"/>
    <w:rsid w:val="00E44556"/>
    <w:rsid w:val="00E4486C"/>
    <w:rsid w:val="00E45883"/>
    <w:rsid w:val="00E47746"/>
    <w:rsid w:val="00E47992"/>
    <w:rsid w:val="00E50CC5"/>
    <w:rsid w:val="00E52082"/>
    <w:rsid w:val="00E537D2"/>
    <w:rsid w:val="00E57AAD"/>
    <w:rsid w:val="00E57CB7"/>
    <w:rsid w:val="00E57DB3"/>
    <w:rsid w:val="00E60456"/>
    <w:rsid w:val="00E6148D"/>
    <w:rsid w:val="00E647B9"/>
    <w:rsid w:val="00E6666C"/>
    <w:rsid w:val="00E713C8"/>
    <w:rsid w:val="00E71A01"/>
    <w:rsid w:val="00E74240"/>
    <w:rsid w:val="00E74CB1"/>
    <w:rsid w:val="00E75CF6"/>
    <w:rsid w:val="00E8081C"/>
    <w:rsid w:val="00E80F6C"/>
    <w:rsid w:val="00E83E35"/>
    <w:rsid w:val="00E91868"/>
    <w:rsid w:val="00E92AA2"/>
    <w:rsid w:val="00E93AF4"/>
    <w:rsid w:val="00E94523"/>
    <w:rsid w:val="00E95E9C"/>
    <w:rsid w:val="00EA02BE"/>
    <w:rsid w:val="00EA6EBE"/>
    <w:rsid w:val="00EB1352"/>
    <w:rsid w:val="00EB4D59"/>
    <w:rsid w:val="00EC4E34"/>
    <w:rsid w:val="00ED6DFC"/>
    <w:rsid w:val="00EE04A9"/>
    <w:rsid w:val="00EE06AC"/>
    <w:rsid w:val="00EE3509"/>
    <w:rsid w:val="00EF0E30"/>
    <w:rsid w:val="00EF4158"/>
    <w:rsid w:val="00F00808"/>
    <w:rsid w:val="00F035B7"/>
    <w:rsid w:val="00F05728"/>
    <w:rsid w:val="00F07F81"/>
    <w:rsid w:val="00F111D7"/>
    <w:rsid w:val="00F12004"/>
    <w:rsid w:val="00F12EC0"/>
    <w:rsid w:val="00F160D7"/>
    <w:rsid w:val="00F16736"/>
    <w:rsid w:val="00F20036"/>
    <w:rsid w:val="00F24100"/>
    <w:rsid w:val="00F25E33"/>
    <w:rsid w:val="00F32079"/>
    <w:rsid w:val="00F37A6B"/>
    <w:rsid w:val="00F41A05"/>
    <w:rsid w:val="00F50AFC"/>
    <w:rsid w:val="00F56F2B"/>
    <w:rsid w:val="00F600E4"/>
    <w:rsid w:val="00F66EC1"/>
    <w:rsid w:val="00F72579"/>
    <w:rsid w:val="00F773F9"/>
    <w:rsid w:val="00F819A9"/>
    <w:rsid w:val="00F8586C"/>
    <w:rsid w:val="00F86144"/>
    <w:rsid w:val="00F94735"/>
    <w:rsid w:val="00F965C0"/>
    <w:rsid w:val="00FA39CC"/>
    <w:rsid w:val="00FA5436"/>
    <w:rsid w:val="00FA58B5"/>
    <w:rsid w:val="00FA7C85"/>
    <w:rsid w:val="00FB0A8A"/>
    <w:rsid w:val="00FB3B06"/>
    <w:rsid w:val="00FB5B2E"/>
    <w:rsid w:val="00FD1103"/>
    <w:rsid w:val="00FD6000"/>
    <w:rsid w:val="00FD7BCF"/>
    <w:rsid w:val="00FE0E2C"/>
    <w:rsid w:val="00FE34DF"/>
    <w:rsid w:val="00FE752C"/>
    <w:rsid w:val="00FF12D0"/>
    <w:rsid w:val="00FF558A"/>
    <w:rsid w:val="00FF7C61"/>
    <w:rsid w:val="04070FD7"/>
    <w:rsid w:val="04AD49AF"/>
    <w:rsid w:val="07E57F8A"/>
    <w:rsid w:val="09A901E7"/>
    <w:rsid w:val="09AA1EA3"/>
    <w:rsid w:val="09B47B48"/>
    <w:rsid w:val="0AB83E86"/>
    <w:rsid w:val="0B457729"/>
    <w:rsid w:val="0C5D6CB0"/>
    <w:rsid w:val="0F047AD5"/>
    <w:rsid w:val="10566193"/>
    <w:rsid w:val="113E1ECE"/>
    <w:rsid w:val="11590601"/>
    <w:rsid w:val="12D9586D"/>
    <w:rsid w:val="14F73442"/>
    <w:rsid w:val="15BB3FE0"/>
    <w:rsid w:val="181F6FEE"/>
    <w:rsid w:val="1B7B1FFE"/>
    <w:rsid w:val="1D4B15AF"/>
    <w:rsid w:val="1DE673AB"/>
    <w:rsid w:val="1E065D08"/>
    <w:rsid w:val="1F881C91"/>
    <w:rsid w:val="1F8A53A7"/>
    <w:rsid w:val="23155FF5"/>
    <w:rsid w:val="280C59D4"/>
    <w:rsid w:val="2A1C1D38"/>
    <w:rsid w:val="2B7820CD"/>
    <w:rsid w:val="2B7D1323"/>
    <w:rsid w:val="2BF45A41"/>
    <w:rsid w:val="2D840453"/>
    <w:rsid w:val="301D1BA7"/>
    <w:rsid w:val="34195B0A"/>
    <w:rsid w:val="34FF30A8"/>
    <w:rsid w:val="36EA36F6"/>
    <w:rsid w:val="377C34BF"/>
    <w:rsid w:val="384C3ABA"/>
    <w:rsid w:val="3B027975"/>
    <w:rsid w:val="3CE3374A"/>
    <w:rsid w:val="3D6873BC"/>
    <w:rsid w:val="417D7548"/>
    <w:rsid w:val="4393335D"/>
    <w:rsid w:val="43AA6122"/>
    <w:rsid w:val="48EF052A"/>
    <w:rsid w:val="49646C15"/>
    <w:rsid w:val="4EBA7F34"/>
    <w:rsid w:val="50A2358F"/>
    <w:rsid w:val="51AC7161"/>
    <w:rsid w:val="51AF2A2C"/>
    <w:rsid w:val="54A46C00"/>
    <w:rsid w:val="55DB2445"/>
    <w:rsid w:val="57AB69E7"/>
    <w:rsid w:val="57B97182"/>
    <w:rsid w:val="585E0AFE"/>
    <w:rsid w:val="5C421161"/>
    <w:rsid w:val="5F0F3C40"/>
    <w:rsid w:val="60184B53"/>
    <w:rsid w:val="61F45016"/>
    <w:rsid w:val="623E7BBD"/>
    <w:rsid w:val="656B4D08"/>
    <w:rsid w:val="68AE46AB"/>
    <w:rsid w:val="68B4270D"/>
    <w:rsid w:val="6A366533"/>
    <w:rsid w:val="6A805665"/>
    <w:rsid w:val="6B992415"/>
    <w:rsid w:val="6CF406D1"/>
    <w:rsid w:val="6D335B0B"/>
    <w:rsid w:val="703219B2"/>
    <w:rsid w:val="70517456"/>
    <w:rsid w:val="71BC008E"/>
    <w:rsid w:val="723E1398"/>
    <w:rsid w:val="72A14A47"/>
    <w:rsid w:val="735D680B"/>
    <w:rsid w:val="7425434E"/>
    <w:rsid w:val="74964A72"/>
    <w:rsid w:val="791F22C6"/>
    <w:rsid w:val="7ACF29F8"/>
    <w:rsid w:val="7ADA0DE1"/>
    <w:rsid w:val="7FDB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1" w:name="heading 8"/>
    <w:lsdException w:qFormat="1" w:uiPriority="1"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1" w:name="Normal Indent"/>
    <w:lsdException w:uiPriority="1"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1" w:name="caption"/>
    <w:lsdException w:uiPriority="1" w:name="table of figures"/>
    <w:lsdException w:uiPriority="1" w:name="envelope address"/>
    <w:lsdException w:qFormat="1" w:uiPriority="99" w:semiHidden="0" w:name="envelope return"/>
    <w:lsdException w:uiPriority="1" w:name="footnote reference"/>
    <w:lsdException w:qFormat="1" w:uiPriority="0" w:semiHidden="0" w:name="annotation reference"/>
    <w:lsdException w:uiPriority="1" w:name="line number"/>
    <w:lsdException w:qFormat="1" w:unhideWhenUsed="0" w:uiPriority="99" w:semiHidden="0" w:name="page number"/>
    <w:lsdException w:uiPriority="1" w:name="endnote reference"/>
    <w:lsdException w:uiPriority="1" w:name="endnote text"/>
    <w:lsdException w:qFormat="1" w:unhideWhenUsed="0" w:uiPriority="0" w:name="table of authorities"/>
    <w:lsdException w:uiPriority="1" w:name="macro"/>
    <w:lsdException w:qFormat="1" w:unhideWhenUsed="0" w:uiPriority="0"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nhideWhenUsed="0" w:uiPriority="0" w:semiHidden="0" w:name="HTML Preformatted"/>
    <w:lsdException w:uiPriority="1"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99" w:semiHidden="0" w:name="Balloon Text"/>
    <w:lsdException w:unhideWhenUsed="0" w:uiPriority="1"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104"/>
    <w:qFormat/>
    <w:uiPriority w:val="99"/>
    <w:pPr>
      <w:keepNext/>
      <w:keepLines/>
      <w:spacing w:before="340" w:after="330" w:line="578" w:lineRule="auto"/>
      <w:outlineLvl w:val="0"/>
    </w:pPr>
    <w:rPr>
      <w:b/>
      <w:bCs/>
      <w:kern w:val="44"/>
      <w:sz w:val="30"/>
      <w:szCs w:val="44"/>
    </w:rPr>
  </w:style>
  <w:style w:type="paragraph" w:styleId="6">
    <w:name w:val="heading 2"/>
    <w:basedOn w:val="1"/>
    <w:next w:val="1"/>
    <w:link w:val="108"/>
    <w:qFormat/>
    <w:uiPriority w:val="99"/>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107"/>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6"/>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95"/>
    <w:qFormat/>
    <w:uiPriority w:val="0"/>
    <w:pPr>
      <w:keepNext/>
      <w:outlineLvl w:val="4"/>
    </w:pPr>
    <w:rPr>
      <w:rFonts w:ascii="宋体" w:hAnsi="Arial"/>
      <w:bCs/>
      <w:sz w:val="28"/>
      <w:szCs w:val="20"/>
    </w:rPr>
  </w:style>
  <w:style w:type="paragraph" w:styleId="10">
    <w:name w:val="heading 6"/>
    <w:basedOn w:val="1"/>
    <w:next w:val="1"/>
    <w:link w:val="94"/>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3"/>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1">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88"/>
    <w:qFormat/>
    <w:uiPriority w:val="0"/>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2">
    <w:name w:val="toc 7"/>
    <w:basedOn w:val="1"/>
    <w:next w:val="1"/>
    <w:semiHidden/>
    <w:qFormat/>
    <w:uiPriority w:val="0"/>
    <w:pPr>
      <w:ind w:left="1260"/>
      <w:jc w:val="left"/>
    </w:pPr>
    <w:rPr>
      <w:szCs w:val="21"/>
    </w:rPr>
  </w:style>
  <w:style w:type="paragraph" w:styleId="13">
    <w:name w:val="table of authorities"/>
    <w:basedOn w:val="1"/>
    <w:next w:val="1"/>
    <w:semiHidden/>
    <w:qFormat/>
    <w:uiPriority w:val="0"/>
    <w:pPr>
      <w:ind w:left="420" w:leftChars="200"/>
    </w:pPr>
    <w:rPr>
      <w:szCs w:val="20"/>
    </w:rPr>
  </w:style>
  <w:style w:type="paragraph" w:styleId="14">
    <w:name w:val="index 8"/>
    <w:basedOn w:val="1"/>
    <w:next w:val="1"/>
    <w:semiHidden/>
    <w:qFormat/>
    <w:uiPriority w:val="0"/>
    <w:pPr>
      <w:ind w:left="1400" w:leftChars="1400"/>
    </w:pPr>
    <w:rPr>
      <w:szCs w:val="20"/>
    </w:rPr>
  </w:style>
  <w:style w:type="paragraph" w:styleId="15">
    <w:name w:val="index 5"/>
    <w:basedOn w:val="1"/>
    <w:next w:val="1"/>
    <w:semiHidden/>
    <w:qFormat/>
    <w:uiPriority w:val="0"/>
    <w:pPr>
      <w:ind w:left="800" w:leftChars="800"/>
    </w:pPr>
    <w:rPr>
      <w:szCs w:val="20"/>
    </w:rPr>
  </w:style>
  <w:style w:type="paragraph" w:styleId="16">
    <w:name w:val="Document Map"/>
    <w:basedOn w:val="1"/>
    <w:link w:val="99"/>
    <w:semiHidden/>
    <w:qFormat/>
    <w:uiPriority w:val="0"/>
    <w:pPr>
      <w:shd w:val="clear" w:color="auto" w:fill="000080"/>
    </w:pPr>
    <w:rPr>
      <w:szCs w:val="20"/>
    </w:rPr>
  </w:style>
  <w:style w:type="paragraph" w:styleId="17">
    <w:name w:val="toa heading"/>
    <w:basedOn w:val="1"/>
    <w:next w:val="1"/>
    <w:semiHidden/>
    <w:qFormat/>
    <w:uiPriority w:val="0"/>
    <w:pPr>
      <w:spacing w:before="120"/>
    </w:pPr>
    <w:rPr>
      <w:rFonts w:ascii="Arial" w:hAnsi="Arial"/>
      <w:b/>
      <w:bCs/>
      <w:szCs w:val="24"/>
    </w:rPr>
  </w:style>
  <w:style w:type="paragraph" w:styleId="18">
    <w:name w:val="annotation text"/>
    <w:basedOn w:val="1"/>
    <w:link w:val="101"/>
    <w:qFormat/>
    <w:uiPriority w:val="0"/>
    <w:pPr>
      <w:jc w:val="left"/>
    </w:pPr>
    <w:rPr>
      <w:szCs w:val="20"/>
    </w:rPr>
  </w:style>
  <w:style w:type="paragraph" w:styleId="19">
    <w:name w:val="index 6"/>
    <w:basedOn w:val="1"/>
    <w:next w:val="1"/>
    <w:semiHidden/>
    <w:qFormat/>
    <w:uiPriority w:val="0"/>
    <w:pPr>
      <w:ind w:left="1000" w:leftChars="1000"/>
    </w:pPr>
    <w:rPr>
      <w:szCs w:val="20"/>
    </w:rPr>
  </w:style>
  <w:style w:type="paragraph" w:styleId="20">
    <w:name w:val="Body Text 3"/>
    <w:basedOn w:val="1"/>
    <w:link w:val="103"/>
    <w:qFormat/>
    <w:uiPriority w:val="0"/>
    <w:rPr>
      <w:rFonts w:ascii="黑体" w:hAnsi="Arial" w:eastAsia="黑体"/>
      <w:b/>
      <w:sz w:val="28"/>
      <w:szCs w:val="20"/>
    </w:rPr>
  </w:style>
  <w:style w:type="paragraph" w:styleId="21">
    <w:name w:val="Body Text"/>
    <w:basedOn w:val="1"/>
    <w:link w:val="98"/>
    <w:qFormat/>
    <w:uiPriority w:val="0"/>
    <w:rPr>
      <w:rFonts w:ascii="宋体" w:hAnsi="Arial"/>
      <w:sz w:val="28"/>
      <w:szCs w:val="20"/>
    </w:rPr>
  </w:style>
  <w:style w:type="paragraph" w:styleId="22">
    <w:name w:val="Block Text"/>
    <w:basedOn w:val="1"/>
    <w:qFormat/>
    <w:uiPriority w:val="99"/>
    <w:pPr>
      <w:spacing w:after="156"/>
    </w:pPr>
    <w:rPr>
      <w:rFonts w:ascii="宋体"/>
    </w:rPr>
  </w:style>
  <w:style w:type="paragraph" w:styleId="23">
    <w:name w:val="index 4"/>
    <w:basedOn w:val="1"/>
    <w:next w:val="1"/>
    <w:semiHidden/>
    <w:qFormat/>
    <w:uiPriority w:val="0"/>
    <w:pPr>
      <w:ind w:left="600" w:leftChars="600"/>
    </w:pPr>
    <w:rPr>
      <w:szCs w:val="20"/>
    </w:rPr>
  </w:style>
  <w:style w:type="paragraph" w:styleId="24">
    <w:name w:val="toc 5"/>
    <w:basedOn w:val="1"/>
    <w:next w:val="1"/>
    <w:semiHidden/>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91"/>
    <w:qFormat/>
    <w:uiPriority w:val="0"/>
    <w:rPr>
      <w:rFonts w:ascii="宋体" w:hAnsi="Courier New"/>
      <w:szCs w:val="20"/>
    </w:rPr>
  </w:style>
  <w:style w:type="paragraph" w:styleId="27">
    <w:name w:val="toc 8"/>
    <w:basedOn w:val="1"/>
    <w:next w:val="1"/>
    <w:semiHidden/>
    <w:qFormat/>
    <w:uiPriority w:val="0"/>
    <w:pPr>
      <w:ind w:left="1470"/>
      <w:jc w:val="left"/>
    </w:pPr>
    <w:rPr>
      <w:szCs w:val="21"/>
    </w:rPr>
  </w:style>
  <w:style w:type="paragraph" w:styleId="28">
    <w:name w:val="index 3"/>
    <w:basedOn w:val="1"/>
    <w:next w:val="1"/>
    <w:semiHidden/>
    <w:qFormat/>
    <w:uiPriority w:val="0"/>
    <w:pPr>
      <w:ind w:left="400" w:leftChars="400"/>
    </w:pPr>
    <w:rPr>
      <w:szCs w:val="20"/>
    </w:rPr>
  </w:style>
  <w:style w:type="paragraph" w:styleId="29">
    <w:name w:val="Date"/>
    <w:basedOn w:val="1"/>
    <w:next w:val="1"/>
    <w:link w:val="84"/>
    <w:qFormat/>
    <w:uiPriority w:val="0"/>
    <w:rPr>
      <w:b/>
      <w:sz w:val="28"/>
      <w:szCs w:val="20"/>
    </w:rPr>
  </w:style>
  <w:style w:type="paragraph" w:styleId="30">
    <w:name w:val="Body Text Indent 2"/>
    <w:basedOn w:val="1"/>
    <w:link w:val="86"/>
    <w:qFormat/>
    <w:uiPriority w:val="0"/>
    <w:pPr>
      <w:ind w:left="630" w:firstLine="645"/>
    </w:pPr>
    <w:rPr>
      <w:rFonts w:ascii="Arial" w:hAnsi="Arial" w:eastAsia="仿宋_GB2312"/>
      <w:sz w:val="32"/>
      <w:szCs w:val="20"/>
    </w:rPr>
  </w:style>
  <w:style w:type="paragraph" w:styleId="31">
    <w:name w:val="Balloon Text"/>
    <w:basedOn w:val="1"/>
    <w:link w:val="109"/>
    <w:qFormat/>
    <w:uiPriority w:val="99"/>
    <w:rPr>
      <w:sz w:val="18"/>
      <w:szCs w:val="18"/>
    </w:rPr>
  </w:style>
  <w:style w:type="paragraph" w:styleId="32">
    <w:name w:val="footer"/>
    <w:basedOn w:val="1"/>
    <w:link w:val="92"/>
    <w:qFormat/>
    <w:uiPriority w:val="99"/>
    <w:pPr>
      <w:tabs>
        <w:tab w:val="center" w:pos="4153"/>
        <w:tab w:val="right" w:pos="8306"/>
      </w:tabs>
      <w:snapToGrid w:val="0"/>
      <w:jc w:val="left"/>
    </w:pPr>
    <w:rPr>
      <w:sz w:val="18"/>
      <w:szCs w:val="20"/>
    </w:rPr>
  </w:style>
  <w:style w:type="paragraph" w:styleId="33">
    <w:name w:val="header"/>
    <w:basedOn w:val="1"/>
    <w:link w:val="102"/>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semiHidden/>
    <w:qFormat/>
    <w:uiPriority w:val="0"/>
    <w:pPr>
      <w:ind w:left="630"/>
      <w:jc w:val="left"/>
    </w:pPr>
    <w:rPr>
      <w:szCs w:val="21"/>
    </w:rPr>
  </w:style>
  <w:style w:type="paragraph" w:styleId="36">
    <w:name w:val="index heading"/>
    <w:basedOn w:val="1"/>
    <w:next w:val="37"/>
    <w:semiHidden/>
    <w:qFormat/>
    <w:uiPriority w:val="0"/>
    <w:rPr>
      <w:szCs w:val="20"/>
    </w:rPr>
  </w:style>
  <w:style w:type="paragraph" w:styleId="37">
    <w:name w:val="index 1"/>
    <w:basedOn w:val="1"/>
    <w:next w:val="1"/>
    <w:semiHidden/>
    <w:qFormat/>
    <w:uiPriority w:val="0"/>
    <w:pPr>
      <w:jc w:val="center"/>
    </w:pPr>
    <w:rPr>
      <w:rFonts w:ascii="仿宋_GB2312" w:eastAsia="仿宋_GB2312"/>
      <w:b/>
      <w:bCs/>
      <w:sz w:val="28"/>
      <w:szCs w:val="20"/>
    </w:rPr>
  </w:style>
  <w:style w:type="paragraph" w:styleId="38">
    <w:name w:val="toc 6"/>
    <w:basedOn w:val="1"/>
    <w:next w:val="1"/>
    <w:semiHidden/>
    <w:qFormat/>
    <w:uiPriority w:val="0"/>
    <w:pPr>
      <w:ind w:left="1050"/>
      <w:jc w:val="left"/>
    </w:pPr>
    <w:rPr>
      <w:szCs w:val="21"/>
    </w:rPr>
  </w:style>
  <w:style w:type="paragraph" w:styleId="39">
    <w:name w:val="Body Text Indent 3"/>
    <w:basedOn w:val="1"/>
    <w:link w:val="97"/>
    <w:qFormat/>
    <w:uiPriority w:val="0"/>
    <w:pPr>
      <w:ind w:firstLine="645"/>
    </w:pPr>
    <w:rPr>
      <w:rFonts w:ascii="仿宋_GB2312" w:hAnsi="Arial" w:eastAsia="仿宋_GB2312"/>
      <w:color w:val="000000"/>
      <w:sz w:val="30"/>
      <w:szCs w:val="20"/>
    </w:rPr>
  </w:style>
  <w:style w:type="paragraph" w:styleId="40">
    <w:name w:val="index 7"/>
    <w:basedOn w:val="1"/>
    <w:next w:val="1"/>
    <w:semiHidden/>
    <w:qFormat/>
    <w:uiPriority w:val="0"/>
    <w:pPr>
      <w:ind w:left="1200" w:leftChars="1200"/>
    </w:pPr>
    <w:rPr>
      <w:szCs w:val="20"/>
    </w:rPr>
  </w:style>
  <w:style w:type="paragraph" w:styleId="41">
    <w:name w:val="index 9"/>
    <w:basedOn w:val="1"/>
    <w:next w:val="1"/>
    <w:semiHidden/>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semiHidden/>
    <w:qFormat/>
    <w:uiPriority w:val="0"/>
    <w:pPr>
      <w:ind w:left="1680"/>
      <w:jc w:val="left"/>
    </w:pPr>
    <w:rPr>
      <w:szCs w:val="21"/>
    </w:rPr>
  </w:style>
  <w:style w:type="paragraph" w:styleId="44">
    <w:name w:val="Body Text 2"/>
    <w:basedOn w:val="1"/>
    <w:link w:val="85"/>
    <w:qFormat/>
    <w:uiPriority w:val="0"/>
    <w:rPr>
      <w:rFonts w:ascii="仿宋_GB2312" w:eastAsia="仿宋_GB2312"/>
      <w:b/>
      <w:sz w:val="24"/>
      <w:szCs w:val="20"/>
    </w:rPr>
  </w:style>
  <w:style w:type="paragraph" w:styleId="45">
    <w:name w:val="HTML Preformatted"/>
    <w:basedOn w:val="1"/>
    <w:link w:val="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7">
    <w:name w:val="index 2"/>
    <w:basedOn w:val="1"/>
    <w:next w:val="1"/>
    <w:semiHidden/>
    <w:qFormat/>
    <w:uiPriority w:val="0"/>
    <w:pPr>
      <w:ind w:left="200" w:leftChars="200"/>
    </w:pPr>
    <w:rPr>
      <w:szCs w:val="20"/>
    </w:rPr>
  </w:style>
  <w:style w:type="paragraph" w:styleId="48">
    <w:name w:val="annotation subject"/>
    <w:basedOn w:val="18"/>
    <w:next w:val="18"/>
    <w:link w:val="89"/>
    <w:unhideWhenUsed/>
    <w:qFormat/>
    <w:uiPriority w:val="99"/>
    <w:rPr>
      <w:b/>
      <w:bCs/>
      <w:szCs w:val="22"/>
    </w:rPr>
  </w:style>
  <w:style w:type="paragraph" w:styleId="49">
    <w:name w:val="Body Text First Indent"/>
    <w:basedOn w:val="1"/>
    <w:link w:val="110"/>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character" w:styleId="52">
    <w:name w:val="Strong"/>
    <w:qFormat/>
    <w:uiPriority w:val="99"/>
    <w:rPr>
      <w:b/>
      <w:bCs/>
    </w:rPr>
  </w:style>
  <w:style w:type="character" w:styleId="53">
    <w:name w:val="page number"/>
    <w:qFormat/>
    <w:uiPriority w:val="99"/>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unhideWhenUsed/>
    <w:qFormat/>
    <w:uiPriority w:val="0"/>
    <w:rPr>
      <w:sz w:val="21"/>
      <w:szCs w:val="21"/>
    </w:rPr>
  </w:style>
  <w:style w:type="paragraph" w:customStyle="1" w:styleId="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59">
    <w:name w:val="Char Char Char Char"/>
    <w:basedOn w:val="1"/>
    <w:qFormat/>
    <w:uiPriority w:val="0"/>
    <w:pPr>
      <w:widowControl/>
      <w:spacing w:after="160" w:line="240" w:lineRule="exact"/>
      <w:jc w:val="left"/>
    </w:pPr>
    <w:rPr>
      <w:kern w:val="0"/>
      <w:sz w:val="24"/>
      <w:szCs w:val="24"/>
    </w:rPr>
  </w:style>
  <w:style w:type="paragraph" w:customStyle="1" w:styleId="60">
    <w:name w:val="样式1"/>
    <w:basedOn w:val="1"/>
    <w:link w:val="100"/>
    <w:qFormat/>
    <w:uiPriority w:val="0"/>
    <w:pPr>
      <w:numPr>
        <w:ilvl w:val="0"/>
        <w:numId w:val="1"/>
      </w:numPr>
      <w:adjustRightInd w:val="0"/>
      <w:textAlignment w:val="baseline"/>
    </w:pPr>
    <w:rPr>
      <w:rFonts w:ascii="宋体" w:hAnsi="宋体"/>
      <w:kern w:val="0"/>
      <w:szCs w:val="20"/>
    </w:rPr>
  </w:style>
  <w:style w:type="paragraph" w:customStyle="1" w:styleId="61">
    <w:name w:val="一级标题"/>
    <w:basedOn w:val="1"/>
    <w:next w:val="62"/>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62">
    <w:name w:val="二级标题"/>
    <w:basedOn w:val="1"/>
    <w:next w:val="63"/>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63">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64">
    <w:name w:val="基本文字 Char"/>
    <w:basedOn w:val="1"/>
    <w:qFormat/>
    <w:uiPriority w:val="0"/>
    <w:pPr>
      <w:spacing w:before="156" w:line="400" w:lineRule="atLeast"/>
      <w:ind w:firstLine="540" w:firstLineChars="225"/>
    </w:pPr>
    <w:rPr>
      <w:sz w:val="24"/>
      <w:szCs w:val="20"/>
    </w:rPr>
  </w:style>
  <w:style w:type="paragraph" w:customStyle="1" w:styleId="65">
    <w:name w:val="D&amp;L"/>
    <w:basedOn w:val="33"/>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66">
    <w:name w:val="Char"/>
    <w:basedOn w:val="1"/>
    <w:qFormat/>
    <w:uiPriority w:val="0"/>
    <w:rPr>
      <w:rFonts w:ascii="Tahoma" w:hAnsi="Tahoma"/>
      <w:sz w:val="24"/>
      <w:szCs w:val="20"/>
    </w:rPr>
  </w:style>
  <w:style w:type="paragraph" w:customStyle="1" w:styleId="67">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68">
    <w:name w:val="Char Char Char Char Char Char Char1 Char"/>
    <w:basedOn w:val="1"/>
    <w:qFormat/>
    <w:uiPriority w:val="0"/>
    <w:rPr>
      <w:rFonts w:ascii="Tahoma" w:hAnsi="Tahoma"/>
      <w:sz w:val="24"/>
      <w:szCs w:val="20"/>
    </w:rPr>
  </w:style>
  <w:style w:type="paragraph" w:customStyle="1" w:styleId="6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70">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71">
    <w:name w:val="_Style 3"/>
    <w:basedOn w:val="1"/>
    <w:qFormat/>
    <w:uiPriority w:val="0"/>
    <w:pPr>
      <w:ind w:firstLine="420" w:firstLineChars="200"/>
    </w:pPr>
  </w:style>
  <w:style w:type="paragraph" w:customStyle="1" w:styleId="72">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73">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74">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7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styleId="78">
    <w:name w:val="List Paragraph"/>
    <w:basedOn w:val="1"/>
    <w:qFormat/>
    <w:uiPriority w:val="0"/>
    <w:pPr>
      <w:ind w:firstLine="420" w:firstLineChars="200"/>
    </w:pPr>
  </w:style>
  <w:style w:type="paragraph" w:customStyle="1" w:styleId="7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8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81">
    <w:name w:val="p0"/>
    <w:basedOn w:val="1"/>
    <w:qFormat/>
    <w:uiPriority w:val="0"/>
    <w:pPr>
      <w:widowControl/>
    </w:pPr>
    <w:rPr>
      <w:kern w:val="0"/>
      <w:szCs w:val="21"/>
    </w:rPr>
  </w:style>
  <w:style w:type="paragraph" w:customStyle="1" w:styleId="82">
    <w:name w:val="SUR-需求定义-第4级"/>
    <w:basedOn w:val="8"/>
    <w:next w:val="1"/>
    <w:qFormat/>
    <w:uiPriority w:val="0"/>
    <w:pPr>
      <w:numPr>
        <w:ilvl w:val="3"/>
        <w:numId w:val="3"/>
      </w:numPr>
      <w:tabs>
        <w:tab w:val="left" w:pos="1080"/>
        <w:tab w:val="clear" w:pos="2934"/>
      </w:tabs>
      <w:spacing w:before="0" w:after="0"/>
      <w:ind w:left="-283" w:firstLine="283"/>
      <w:jc w:val="left"/>
    </w:pPr>
    <w:rPr>
      <w:rFonts w:cs="Arial"/>
      <w:b w:val="0"/>
      <w:color w:val="0000FF"/>
      <w:sz w:val="24"/>
      <w:szCs w:val="24"/>
    </w:rPr>
  </w:style>
  <w:style w:type="paragraph" w:customStyle="1" w:styleId="8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日期 Char"/>
    <w:link w:val="29"/>
    <w:qFormat/>
    <w:uiPriority w:val="0"/>
    <w:rPr>
      <w:rFonts w:ascii="Times New Roman" w:hAnsi="Times New Roman"/>
      <w:b/>
      <w:kern w:val="2"/>
      <w:sz w:val="28"/>
    </w:rPr>
  </w:style>
  <w:style w:type="character" w:customStyle="1" w:styleId="85">
    <w:name w:val="正文文本 2 Char"/>
    <w:link w:val="44"/>
    <w:qFormat/>
    <w:uiPriority w:val="0"/>
    <w:rPr>
      <w:rFonts w:ascii="仿宋_GB2312" w:hAnsi="Times New Roman" w:eastAsia="仿宋_GB2312"/>
      <w:b/>
      <w:kern w:val="2"/>
      <w:sz w:val="24"/>
    </w:rPr>
  </w:style>
  <w:style w:type="character" w:customStyle="1" w:styleId="86">
    <w:name w:val="正文文本缩进 2 Char"/>
    <w:link w:val="30"/>
    <w:qFormat/>
    <w:uiPriority w:val="0"/>
    <w:rPr>
      <w:rFonts w:ascii="Arial" w:hAnsi="Arial" w:eastAsia="仿宋_GB2312"/>
      <w:kern w:val="2"/>
      <w:sz w:val="32"/>
    </w:rPr>
  </w:style>
  <w:style w:type="character" w:customStyle="1" w:styleId="87">
    <w:name w:val="Char Char1"/>
    <w:qFormat/>
    <w:uiPriority w:val="99"/>
    <w:rPr>
      <w:rFonts w:cs="Times New Roman"/>
      <w:kern w:val="2"/>
      <w:sz w:val="18"/>
      <w:szCs w:val="18"/>
    </w:rPr>
  </w:style>
  <w:style w:type="character" w:customStyle="1" w:styleId="88">
    <w:name w:val="正文文本缩进 Char"/>
    <w:link w:val="3"/>
    <w:qFormat/>
    <w:uiPriority w:val="0"/>
    <w:rPr>
      <w:rFonts w:ascii="楷体_GB2312" w:hAnsi="Times New Roman" w:eastAsia="楷体_GB2312"/>
      <w:kern w:val="2"/>
      <w:sz w:val="32"/>
    </w:rPr>
  </w:style>
  <w:style w:type="character" w:customStyle="1" w:styleId="89">
    <w:name w:val="批注主题 Char"/>
    <w:link w:val="48"/>
    <w:semiHidden/>
    <w:qFormat/>
    <w:uiPriority w:val="99"/>
    <w:rPr>
      <w:rFonts w:ascii="Times New Roman" w:hAnsi="Times New Roman"/>
      <w:b/>
      <w:bCs/>
      <w:kern w:val="2"/>
      <w:sz w:val="21"/>
      <w:szCs w:val="22"/>
    </w:rPr>
  </w:style>
  <w:style w:type="character" w:customStyle="1" w:styleId="90">
    <w:name w:val="HTML 预设格式 Char"/>
    <w:link w:val="45"/>
    <w:qFormat/>
    <w:uiPriority w:val="0"/>
    <w:rPr>
      <w:rFonts w:ascii="Arial" w:hAnsi="Arial"/>
      <w:sz w:val="24"/>
      <w:szCs w:val="24"/>
    </w:rPr>
  </w:style>
  <w:style w:type="character" w:customStyle="1" w:styleId="91">
    <w:name w:val="纯文本 Char1"/>
    <w:link w:val="26"/>
    <w:qFormat/>
    <w:locked/>
    <w:uiPriority w:val="0"/>
    <w:rPr>
      <w:rFonts w:ascii="宋体" w:hAnsi="Courier New"/>
      <w:kern w:val="2"/>
      <w:sz w:val="21"/>
    </w:rPr>
  </w:style>
  <w:style w:type="character" w:customStyle="1" w:styleId="92">
    <w:name w:val="页脚 Char"/>
    <w:link w:val="32"/>
    <w:qFormat/>
    <w:uiPriority w:val="99"/>
    <w:rPr>
      <w:rFonts w:ascii="Times New Roman" w:hAnsi="Times New Roman"/>
      <w:kern w:val="2"/>
      <w:sz w:val="18"/>
    </w:rPr>
  </w:style>
  <w:style w:type="character" w:customStyle="1" w:styleId="93">
    <w:name w:val="标题 7 Char"/>
    <w:link w:val="11"/>
    <w:qFormat/>
    <w:uiPriority w:val="0"/>
    <w:rPr>
      <w:rFonts w:ascii="Arial" w:hAnsi="Arial" w:eastAsia="仿宋_GB2312" w:cs="Arial"/>
      <w:b/>
      <w:bCs/>
      <w:spacing w:val="-4"/>
      <w:kern w:val="2"/>
      <w:sz w:val="24"/>
      <w:szCs w:val="24"/>
    </w:rPr>
  </w:style>
  <w:style w:type="character" w:customStyle="1" w:styleId="94">
    <w:name w:val="标题 6 Char"/>
    <w:link w:val="10"/>
    <w:qFormat/>
    <w:uiPriority w:val="0"/>
    <w:rPr>
      <w:rFonts w:ascii="宋体" w:hAnsi="宋体"/>
      <w:sz w:val="28"/>
    </w:rPr>
  </w:style>
  <w:style w:type="character" w:customStyle="1" w:styleId="95">
    <w:name w:val="标题 5 Char"/>
    <w:link w:val="9"/>
    <w:qFormat/>
    <w:uiPriority w:val="0"/>
    <w:rPr>
      <w:rFonts w:ascii="宋体" w:hAnsi="Arial"/>
      <w:bCs/>
      <w:kern w:val="2"/>
      <w:sz w:val="28"/>
    </w:rPr>
  </w:style>
  <w:style w:type="character" w:customStyle="1" w:styleId="96">
    <w:name w:val="标题 4 Char"/>
    <w:link w:val="8"/>
    <w:qFormat/>
    <w:uiPriority w:val="0"/>
    <w:rPr>
      <w:rFonts w:ascii="Arial" w:hAnsi="Arial" w:eastAsia="黑体"/>
      <w:b/>
      <w:bCs/>
      <w:kern w:val="2"/>
      <w:sz w:val="28"/>
      <w:szCs w:val="28"/>
    </w:rPr>
  </w:style>
  <w:style w:type="character" w:customStyle="1" w:styleId="97">
    <w:name w:val="正文文本缩进 3 Char"/>
    <w:link w:val="39"/>
    <w:qFormat/>
    <w:uiPriority w:val="0"/>
    <w:rPr>
      <w:rFonts w:ascii="仿宋_GB2312" w:hAnsi="Arial" w:eastAsia="仿宋_GB2312"/>
      <w:color w:val="000000"/>
      <w:kern w:val="2"/>
      <w:sz w:val="30"/>
    </w:rPr>
  </w:style>
  <w:style w:type="character" w:customStyle="1" w:styleId="98">
    <w:name w:val="正文文本 Char"/>
    <w:link w:val="21"/>
    <w:qFormat/>
    <w:uiPriority w:val="0"/>
    <w:rPr>
      <w:rFonts w:ascii="宋体" w:hAnsi="Arial"/>
      <w:kern w:val="2"/>
      <w:sz w:val="28"/>
    </w:rPr>
  </w:style>
  <w:style w:type="character" w:customStyle="1" w:styleId="99">
    <w:name w:val="文档结构图 Char"/>
    <w:link w:val="16"/>
    <w:semiHidden/>
    <w:qFormat/>
    <w:uiPriority w:val="0"/>
    <w:rPr>
      <w:rFonts w:ascii="Times New Roman" w:hAnsi="Times New Roman"/>
      <w:kern w:val="2"/>
      <w:sz w:val="21"/>
      <w:shd w:val="clear" w:color="auto" w:fill="000080"/>
    </w:rPr>
  </w:style>
  <w:style w:type="character" w:customStyle="1" w:styleId="100">
    <w:name w:val="样式1 Char Char"/>
    <w:link w:val="60"/>
    <w:qFormat/>
    <w:locked/>
    <w:uiPriority w:val="0"/>
    <w:rPr>
      <w:rFonts w:ascii="宋体" w:hAnsi="宋体"/>
      <w:sz w:val="21"/>
    </w:rPr>
  </w:style>
  <w:style w:type="character" w:customStyle="1" w:styleId="101">
    <w:name w:val="批注文字 Char"/>
    <w:link w:val="18"/>
    <w:qFormat/>
    <w:uiPriority w:val="0"/>
    <w:rPr>
      <w:rFonts w:ascii="Times New Roman" w:hAnsi="Times New Roman"/>
      <w:kern w:val="2"/>
      <w:sz w:val="21"/>
    </w:rPr>
  </w:style>
  <w:style w:type="character" w:customStyle="1" w:styleId="102">
    <w:name w:val="页眉 Char"/>
    <w:link w:val="33"/>
    <w:qFormat/>
    <w:uiPriority w:val="0"/>
    <w:rPr>
      <w:rFonts w:ascii="Times New Roman" w:hAnsi="Times New Roman"/>
      <w:kern w:val="2"/>
      <w:sz w:val="18"/>
    </w:rPr>
  </w:style>
  <w:style w:type="character" w:customStyle="1" w:styleId="103">
    <w:name w:val="正文文本 3 Char"/>
    <w:link w:val="20"/>
    <w:qFormat/>
    <w:uiPriority w:val="0"/>
    <w:rPr>
      <w:rFonts w:ascii="黑体" w:hAnsi="Arial" w:eastAsia="黑体"/>
      <w:b/>
      <w:kern w:val="2"/>
      <w:sz w:val="28"/>
    </w:rPr>
  </w:style>
  <w:style w:type="character" w:customStyle="1" w:styleId="104">
    <w:name w:val="标题 1 Char"/>
    <w:link w:val="5"/>
    <w:qFormat/>
    <w:uiPriority w:val="99"/>
    <w:rPr>
      <w:rFonts w:ascii="Times New Roman" w:hAnsi="Times New Roman"/>
      <w:b/>
      <w:bCs/>
      <w:kern w:val="44"/>
      <w:sz w:val="30"/>
      <w:szCs w:val="44"/>
    </w:rPr>
  </w:style>
  <w:style w:type="character" w:customStyle="1" w:styleId="105">
    <w:name w:val="Char Char"/>
    <w:qFormat/>
    <w:uiPriority w:val="99"/>
    <w:rPr>
      <w:rFonts w:cs="Times New Roman"/>
      <w:kern w:val="2"/>
      <w:sz w:val="18"/>
      <w:szCs w:val="18"/>
    </w:rPr>
  </w:style>
  <w:style w:type="character" w:customStyle="1" w:styleId="106">
    <w:name w:val="HTML 预设格式 Char1"/>
    <w:semiHidden/>
    <w:qFormat/>
    <w:uiPriority w:val="99"/>
    <w:rPr>
      <w:rFonts w:ascii="Courier New" w:hAnsi="Courier New" w:cs="Courier New"/>
      <w:kern w:val="2"/>
    </w:rPr>
  </w:style>
  <w:style w:type="character" w:customStyle="1" w:styleId="107">
    <w:name w:val="标题 3 Char"/>
    <w:link w:val="7"/>
    <w:qFormat/>
    <w:uiPriority w:val="0"/>
    <w:rPr>
      <w:rFonts w:ascii="宋体" w:hAnsi="Times New Roman"/>
      <w:b/>
      <w:bCs/>
      <w:kern w:val="2"/>
      <w:sz w:val="32"/>
      <w:szCs w:val="32"/>
    </w:rPr>
  </w:style>
  <w:style w:type="character" w:customStyle="1" w:styleId="108">
    <w:name w:val="标题 2 Char"/>
    <w:link w:val="6"/>
    <w:qFormat/>
    <w:uiPriority w:val="99"/>
    <w:rPr>
      <w:rFonts w:ascii="Arial" w:hAnsi="Arial" w:eastAsia="黑体"/>
      <w:b/>
      <w:bCs/>
      <w:kern w:val="2"/>
      <w:sz w:val="32"/>
      <w:szCs w:val="32"/>
    </w:rPr>
  </w:style>
  <w:style w:type="character" w:customStyle="1" w:styleId="109">
    <w:name w:val="批注框文本 Char"/>
    <w:link w:val="31"/>
    <w:semiHidden/>
    <w:qFormat/>
    <w:uiPriority w:val="99"/>
    <w:rPr>
      <w:rFonts w:ascii="Times New Roman" w:hAnsi="Times New Roman"/>
      <w:kern w:val="2"/>
      <w:sz w:val="18"/>
      <w:szCs w:val="18"/>
    </w:rPr>
  </w:style>
  <w:style w:type="character" w:customStyle="1" w:styleId="110">
    <w:name w:val="正文首行缩进 Char"/>
    <w:link w:val="49"/>
    <w:qFormat/>
    <w:uiPriority w:val="0"/>
    <w:rPr>
      <w:rFonts w:ascii="Arial" w:hAnsi="Arial" w:eastAsia="仿宋_GB2312" w:cs="Arial"/>
      <w:kern w:val="2"/>
      <w:sz w:val="24"/>
      <w:szCs w:val="32"/>
    </w:rPr>
  </w:style>
  <w:style w:type="character" w:customStyle="1" w:styleId="111">
    <w:name w:val="纯文本 Char"/>
    <w:semiHidden/>
    <w:qFormat/>
    <w:uiPriority w:val="99"/>
    <w:rPr>
      <w:rFonts w:ascii="宋体" w:hAnsi="Courier New" w:cs="Courier New"/>
      <w:kern w:val="2"/>
      <w:sz w:val="21"/>
      <w:szCs w:val="21"/>
    </w:rPr>
  </w:style>
  <w:style w:type="paragraph" w:customStyle="1" w:styleId="1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C8D7B-C913-4948-A320-742049C803C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41</Pages>
  <Words>3456</Words>
  <Characters>19701</Characters>
  <Lines>164</Lines>
  <Paragraphs>46</Paragraphs>
  <TotalTime>0</TotalTime>
  <ScaleCrop>false</ScaleCrop>
  <LinksUpToDate>false</LinksUpToDate>
  <CharactersWithSpaces>23111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2020-10-27T00:59:00Z</dcterms:created>
  <dc:creator>越友中</dc:creator>
  <cp:lastModifiedBy>小毛</cp:lastModifiedBy>
  <cp:lastPrinted>2019-06-21T00:52:00Z</cp:lastPrinted>
  <dcterms:modified xsi:type="dcterms:W3CDTF">2022-01-12T01:25:44Z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8F21EE23874B4451B4304306328E1E37</vt:lpwstr>
  </property>
</Properties>
</file>