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color w:val="000000" w:themeColor="text1"/>
          <w:sz w:val="52"/>
          <w:szCs w:val="52"/>
          <w14:textFill>
            <w14:solidFill>
              <w14:schemeClr w14:val="tx1"/>
            </w14:solidFill>
          </w14:textFill>
        </w:rPr>
      </w:pPr>
    </w:p>
    <w:p>
      <w:pPr>
        <w:tabs>
          <w:tab w:val="left" w:pos="420"/>
        </w:tabs>
        <w:spacing w:line="1700" w:lineRule="exact"/>
        <w:jc w:val="center"/>
        <w:rPr>
          <w:rFonts w:ascii="宋体" w:hAnsi="宋体"/>
          <w:b/>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货物类标准</w:t>
      </w: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drawing>
          <wp:inline distT="0" distB="0" distL="114300" distR="114300">
            <wp:extent cx="1349375" cy="1301750"/>
            <wp:effectExtent l="0" t="0" r="3175" b="12700"/>
            <wp:docPr id="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9"/>
                    <pic:cNvPicPr>
                      <a:picLocks noChangeAspect="1"/>
                    </pic:cNvPicPr>
                  </pic:nvPicPr>
                  <pic:blipFill>
                    <a:blip r:embed="rId7"/>
                    <a:stretch>
                      <a:fillRect/>
                    </a:stretch>
                  </pic:blipFill>
                  <pic:spPr>
                    <a:xfrm>
                      <a:off x="0" y="0"/>
                      <a:ext cx="1349375" cy="1301750"/>
                    </a:xfrm>
                    <a:prstGeom prst="rect">
                      <a:avLst/>
                    </a:prstGeom>
                    <a:noFill/>
                    <a:ln>
                      <a:noFill/>
                    </a:ln>
                  </pic:spPr>
                </pic:pic>
              </a:graphicData>
            </a:graphic>
          </wp:inline>
        </w:drawing>
      </w:r>
    </w:p>
    <w:p>
      <w:pPr>
        <w:tabs>
          <w:tab w:val="left" w:pos="2410"/>
        </w:tabs>
        <w:autoSpaceDE w:val="0"/>
        <w:autoSpaceDN w:val="0"/>
        <w:adjustRightInd w:val="0"/>
        <w:snapToGrid w:val="0"/>
        <w:spacing w:line="360" w:lineRule="auto"/>
        <w:rPr>
          <w:rFonts w:ascii="Arial Black" w:hAnsi="Arial Black"/>
          <w:color w:val="000000" w:themeColor="text1"/>
          <w:sz w:val="44"/>
          <w14:textFill>
            <w14:solidFill>
              <w14:schemeClr w14:val="tx1"/>
            </w14:solidFill>
          </w14:textFill>
        </w:rPr>
      </w:pPr>
    </w:p>
    <w:p>
      <w:pPr>
        <w:pStyle w:val="2"/>
      </w:pPr>
    </w:p>
    <w:p>
      <w:pPr>
        <w:pStyle w:val="2"/>
      </w:pPr>
    </w:p>
    <w:p>
      <w:pPr>
        <w:pStyle w:val="2"/>
      </w:pPr>
    </w:p>
    <w:p>
      <w:pPr>
        <w:pStyle w:val="2"/>
      </w:pPr>
    </w:p>
    <w:p>
      <w:pPr>
        <w:pStyle w:val="2"/>
        <w:rPr>
          <w:rFonts w:hint="eastAsia"/>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ind w:firstLine="1284" w:firstLineChars="400"/>
        <w:rPr>
          <w:rFonts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项目名称：合肥体育中心游泳馆泳池投药系统采购</w:t>
      </w:r>
    </w:p>
    <w:p>
      <w:pPr>
        <w:tabs>
          <w:tab w:val="left" w:pos="2410"/>
        </w:tabs>
        <w:autoSpaceDE w:val="0"/>
        <w:autoSpaceDN w:val="0"/>
        <w:adjustRightInd w:val="0"/>
        <w:snapToGrid w:val="0"/>
        <w:spacing w:line="360" w:lineRule="auto"/>
        <w:ind w:firstLine="1284" w:firstLineChars="400"/>
        <w:rPr>
          <w:rFonts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项目编号：2022WLBLZB00017号</w:t>
      </w:r>
    </w:p>
    <w:p>
      <w:pPr>
        <w:tabs>
          <w:tab w:val="left" w:pos="2410"/>
        </w:tabs>
        <w:autoSpaceDE w:val="0"/>
        <w:autoSpaceDN w:val="0"/>
        <w:adjustRightInd w:val="0"/>
        <w:snapToGrid w:val="0"/>
        <w:spacing w:line="360" w:lineRule="auto"/>
        <w:ind w:firstLine="1284" w:firstLineChars="400"/>
        <w:rPr>
          <w:rFonts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招 标 人：合肥文旅博览集团有限公司</w:t>
      </w:r>
    </w:p>
    <w:p>
      <w:pPr>
        <w:tabs>
          <w:tab w:val="left" w:pos="2410"/>
        </w:tabs>
        <w:autoSpaceDE w:val="0"/>
        <w:autoSpaceDN w:val="0"/>
        <w:adjustRightInd w:val="0"/>
        <w:snapToGrid w:val="0"/>
        <w:spacing w:line="360" w:lineRule="auto"/>
        <w:ind w:firstLine="1284" w:firstLineChars="400"/>
        <w:rPr>
          <w:rFonts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招标时间：2022年</w:t>
      </w:r>
      <w:r>
        <w:rPr>
          <w:rFonts w:ascii="宋体" w:hAnsi="DotumChe" w:cs="宋体"/>
          <w:b/>
          <w:color w:val="000000" w:themeColor="text1"/>
          <w:spacing w:val="20"/>
          <w:kern w:val="0"/>
          <w:sz w:val="28"/>
          <w:szCs w:val="28"/>
          <w14:textFill>
            <w14:solidFill>
              <w14:schemeClr w14:val="tx1"/>
            </w14:solidFill>
          </w14:textFill>
        </w:rPr>
        <w:t>5</w:t>
      </w:r>
      <w:r>
        <w:rPr>
          <w:rFonts w:hint="eastAsia" w:ascii="宋体" w:hAnsi="DotumChe" w:cs="宋体"/>
          <w:b/>
          <w:color w:val="000000" w:themeColor="text1"/>
          <w:spacing w:val="20"/>
          <w:kern w:val="0"/>
          <w:sz w:val="28"/>
          <w:szCs w:val="28"/>
          <w14:textFill>
            <w14:solidFill>
              <w14:schemeClr w14:val="tx1"/>
            </w14:solidFill>
          </w14:textFill>
        </w:rPr>
        <w:t>月</w:t>
      </w:r>
    </w:p>
    <w:p>
      <w:pPr>
        <w:tabs>
          <w:tab w:val="left" w:pos="2410"/>
        </w:tabs>
        <w:autoSpaceDE w:val="0"/>
        <w:autoSpaceDN w:val="0"/>
        <w:adjustRightInd w:val="0"/>
        <w:snapToGrid w:val="0"/>
        <w:spacing w:line="360" w:lineRule="auto"/>
        <w:ind w:firstLine="1257" w:firstLineChars="348"/>
        <w:rPr>
          <w:rFonts w:ascii="宋体" w:hAnsi="DotumChe" w:cs="宋体"/>
          <w:b/>
          <w:color w:val="000000" w:themeColor="text1"/>
          <w:spacing w:val="20"/>
          <w:kern w:val="0"/>
          <w:sz w:val="32"/>
          <w:szCs w:val="32"/>
          <w14:textFill>
            <w14:solidFill>
              <w14:schemeClr w14:val="tx1"/>
            </w14:solidFill>
          </w14:textFill>
        </w:rPr>
      </w:pPr>
    </w:p>
    <w:p>
      <w:pPr>
        <w:pStyle w:val="50"/>
        <w:ind w:firstLine="723"/>
        <w:rPr>
          <w:rFonts w:ascii="宋体" w:hAnsi="DotumChe" w:cs="宋体"/>
          <w:b/>
          <w:color w:val="000000" w:themeColor="text1"/>
          <w:spacing w:val="20"/>
          <w:kern w:val="0"/>
          <w:sz w:val="32"/>
          <w:szCs w:val="32"/>
          <w14:textFill>
            <w14:solidFill>
              <w14:schemeClr w14:val="tx1"/>
            </w14:solidFill>
          </w14:textFill>
        </w:rPr>
      </w:pPr>
    </w:p>
    <w:p>
      <w:pPr>
        <w:spacing w:before="240" w:beforeLines="100" w:line="440" w:lineRule="exact"/>
        <w:jc w:val="center"/>
        <w:rPr>
          <w:rFonts w:hint="eastAsia" w:ascii="黑体" w:hAnsi="宋体" w:eastAsia="黑体"/>
          <w:b/>
          <w:color w:val="000000" w:themeColor="text1"/>
          <w:sz w:val="32"/>
          <w14:textFill>
            <w14:solidFill>
              <w14:schemeClr w14:val="tx1"/>
            </w14:solidFill>
          </w14:textFill>
        </w:rPr>
      </w:pPr>
    </w:p>
    <w:p>
      <w:pPr>
        <w:spacing w:before="240" w:beforeLines="100" w:line="440" w:lineRule="exact"/>
        <w:jc w:val="center"/>
        <w:rPr>
          <w:rFonts w:ascii="黑体" w:hAnsi="宋体" w:eastAsia="黑体"/>
          <w:b/>
          <w:color w:val="000000" w:themeColor="text1"/>
          <w:sz w:val="32"/>
          <w14:textFill>
            <w14:solidFill>
              <w14:schemeClr w14:val="tx1"/>
            </w14:solidFill>
          </w14:textFill>
        </w:rPr>
      </w:pPr>
      <w:r>
        <w:rPr>
          <w:rFonts w:hint="eastAsia" w:ascii="黑体" w:hAnsi="宋体" w:eastAsia="黑体"/>
          <w:b/>
          <w:color w:val="000000" w:themeColor="text1"/>
          <w:sz w:val="32"/>
          <w14:textFill>
            <w14:solidFill>
              <w14:schemeClr w14:val="tx1"/>
            </w14:solidFill>
          </w14:textFill>
        </w:rPr>
        <w:t>目    录</w:t>
      </w:r>
    </w:p>
    <w:p>
      <w:pPr>
        <w:pStyle w:val="34"/>
        <w:tabs>
          <w:tab w:val="right" w:leader="dot" w:pos="9403"/>
        </w:tabs>
        <w:rPr>
          <w:rFonts w:asciiTheme="minorHAnsi" w:hAnsiTheme="minorHAnsi" w:eastAsiaTheme="minorEastAsia" w:cstheme="minorBidi"/>
          <w:caps w:val="0"/>
          <w:szCs w:val="22"/>
        </w:rPr>
      </w:pPr>
      <w:bookmarkStart w:id="0" w:name="_Hlt526418134"/>
      <w:bookmarkEnd w:id="0"/>
      <w:bookmarkStart w:id="1" w:name="_Hlt533241375"/>
      <w:bookmarkEnd w:id="1"/>
      <w:bookmarkStart w:id="2" w:name="_Hlt519045295"/>
      <w:bookmarkEnd w:id="2"/>
      <w:r>
        <w:rPr>
          <w:rFonts w:hint="eastAsia" w:ascii="宋体" w:hAnsi="宋体" w:cs="宋体"/>
          <w:color w:val="000000" w:themeColor="text1"/>
          <w:sz w:val="28"/>
          <w:szCs w:val="28"/>
          <w14:textFill>
            <w14:solidFill>
              <w14:schemeClr w14:val="tx1"/>
            </w14:solidFill>
          </w14:textFill>
        </w:rPr>
        <w:fldChar w:fldCharType="begin"/>
      </w:r>
      <w:r>
        <w:rPr>
          <w:rFonts w:hint="eastAsia" w:ascii="宋体" w:hAnsi="宋体" w:cs="宋体"/>
          <w:color w:val="000000" w:themeColor="text1"/>
          <w:sz w:val="28"/>
          <w:szCs w:val="28"/>
          <w14:textFill>
            <w14:solidFill>
              <w14:schemeClr w14:val="tx1"/>
            </w14:solidFill>
          </w14:textFill>
        </w:rPr>
        <w:instrText xml:space="preserve">TOC \o "1-3" \h \u </w:instrText>
      </w:r>
      <w:r>
        <w:rPr>
          <w:rFonts w:hint="eastAsia" w:ascii="宋体" w:hAnsi="宋体" w:cs="宋体"/>
          <w:color w:val="000000" w:themeColor="text1"/>
          <w:sz w:val="28"/>
          <w:szCs w:val="28"/>
          <w14:textFill>
            <w14:solidFill>
              <w14:schemeClr w14:val="tx1"/>
            </w14:solidFill>
          </w14:textFill>
        </w:rPr>
        <w:fldChar w:fldCharType="separate"/>
      </w:r>
      <w:r>
        <w:fldChar w:fldCharType="begin"/>
      </w:r>
      <w:r>
        <w:instrText xml:space="preserve"> HYPERLINK \l "_Toc102633619" </w:instrText>
      </w:r>
      <w:r>
        <w:fldChar w:fldCharType="separate"/>
      </w:r>
      <w:r>
        <w:rPr>
          <w:rStyle w:val="57"/>
          <w:rFonts w:ascii="宋体" w:hAnsi="宋体"/>
          <w:b/>
          <w:bCs/>
        </w:rPr>
        <w:t>第一章 投标邀请（招标公告）</w:t>
      </w:r>
      <w:r>
        <w:tab/>
      </w:r>
      <w:r>
        <w:fldChar w:fldCharType="begin"/>
      </w:r>
      <w:r>
        <w:instrText xml:space="preserve"> PAGEREF _Toc102633619 \h </w:instrText>
      </w:r>
      <w:r>
        <w:fldChar w:fldCharType="separate"/>
      </w:r>
      <w:r>
        <w:t>3</w:t>
      </w:r>
      <w:r>
        <w:fldChar w:fldCharType="end"/>
      </w:r>
      <w:r>
        <w:fldChar w:fldCharType="end"/>
      </w:r>
    </w:p>
    <w:p>
      <w:pPr>
        <w:pStyle w:val="34"/>
        <w:tabs>
          <w:tab w:val="right" w:leader="dot" w:pos="9403"/>
        </w:tabs>
        <w:rPr>
          <w:rFonts w:asciiTheme="minorHAnsi" w:hAnsiTheme="minorHAnsi" w:eastAsiaTheme="minorEastAsia" w:cstheme="minorBidi"/>
          <w:caps w:val="0"/>
          <w:szCs w:val="22"/>
        </w:rPr>
      </w:pPr>
      <w:r>
        <w:fldChar w:fldCharType="begin"/>
      </w:r>
      <w:r>
        <w:instrText xml:space="preserve"> HYPERLINK \l "_Toc102633620" </w:instrText>
      </w:r>
      <w:r>
        <w:fldChar w:fldCharType="separate"/>
      </w:r>
      <w:r>
        <w:rPr>
          <w:rStyle w:val="57"/>
          <w:rFonts w:ascii="宋体" w:hAnsi="宋体"/>
          <w:b/>
          <w:bCs/>
        </w:rPr>
        <w:t>第二章 投标人须知前附表</w:t>
      </w:r>
      <w:r>
        <w:tab/>
      </w:r>
      <w:r>
        <w:fldChar w:fldCharType="begin"/>
      </w:r>
      <w:r>
        <w:instrText xml:space="preserve"> PAGEREF _Toc102633620 \h </w:instrText>
      </w:r>
      <w:r>
        <w:fldChar w:fldCharType="separate"/>
      </w:r>
      <w:r>
        <w:t>5</w:t>
      </w:r>
      <w:r>
        <w:fldChar w:fldCharType="end"/>
      </w:r>
      <w:r>
        <w:fldChar w:fldCharType="end"/>
      </w:r>
    </w:p>
    <w:p>
      <w:pPr>
        <w:pStyle w:val="34"/>
        <w:tabs>
          <w:tab w:val="right" w:leader="dot" w:pos="9403"/>
        </w:tabs>
        <w:rPr>
          <w:rFonts w:asciiTheme="minorHAnsi" w:hAnsiTheme="minorHAnsi" w:eastAsiaTheme="minorEastAsia" w:cstheme="minorBidi"/>
          <w:caps w:val="0"/>
          <w:szCs w:val="22"/>
        </w:rPr>
      </w:pPr>
      <w:r>
        <w:fldChar w:fldCharType="begin"/>
      </w:r>
      <w:r>
        <w:instrText xml:space="preserve"> HYPERLINK \l "_Toc102633621" </w:instrText>
      </w:r>
      <w:r>
        <w:fldChar w:fldCharType="separate"/>
      </w:r>
      <w:r>
        <w:rPr>
          <w:rStyle w:val="57"/>
          <w:rFonts w:ascii="宋体" w:hAnsi="宋体"/>
        </w:rPr>
        <w:t>第三章 投标人须知</w:t>
      </w:r>
      <w:r>
        <w:tab/>
      </w:r>
      <w:r>
        <w:fldChar w:fldCharType="begin"/>
      </w:r>
      <w:r>
        <w:instrText xml:space="preserve"> PAGEREF _Toc102633621 \h </w:instrText>
      </w:r>
      <w:r>
        <w:fldChar w:fldCharType="separate"/>
      </w:r>
      <w:r>
        <w:t>8</w:t>
      </w:r>
      <w:r>
        <w:fldChar w:fldCharType="end"/>
      </w:r>
      <w: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"_Toc102633622" </w:instrText>
      </w:r>
      <w:r>
        <w:fldChar w:fldCharType="separate"/>
      </w:r>
      <w:r>
        <w:rPr>
          <w:rStyle w:val="57"/>
          <w:rFonts w:ascii="宋体" w:hAnsi="宋体"/>
          <w:b/>
          <w:bCs/>
          <w:i w:val="0"/>
        </w:rPr>
        <w:t>一．投标文件的编制</w:t>
      </w:r>
      <w:r>
        <w:rPr>
          <w:i w:val="0"/>
        </w:rPr>
        <w:tab/>
      </w:r>
      <w:r>
        <w:rPr>
          <w:i w:val="0"/>
        </w:rPr>
        <w:fldChar w:fldCharType="begin"/>
      </w:r>
      <w:r>
        <w:rPr>
          <w:i w:val="0"/>
        </w:rPr>
        <w:instrText xml:space="preserve"> PAGEREF _Toc102633622 \h </w:instrText>
      </w:r>
      <w:r>
        <w:rPr>
          <w:i w:val="0"/>
        </w:rPr>
        <w:fldChar w:fldCharType="separate"/>
      </w:r>
      <w:r>
        <w:rPr>
          <w:i w:val="0"/>
        </w:rPr>
        <w:t>8</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"_Toc102633623" </w:instrText>
      </w:r>
      <w:r>
        <w:fldChar w:fldCharType="separate"/>
      </w:r>
      <w:r>
        <w:rPr>
          <w:rStyle w:val="57"/>
          <w:rFonts w:ascii="宋体" w:hAnsi="宋体"/>
          <w:b/>
          <w:bCs/>
          <w:i w:val="0"/>
        </w:rPr>
        <w:t>二．投标保证金的缴纳</w:t>
      </w:r>
      <w:r>
        <w:rPr>
          <w:i w:val="0"/>
        </w:rPr>
        <w:tab/>
      </w:r>
      <w:r>
        <w:rPr>
          <w:i w:val="0"/>
        </w:rPr>
        <w:fldChar w:fldCharType="begin"/>
      </w:r>
      <w:r>
        <w:rPr>
          <w:i w:val="0"/>
        </w:rPr>
        <w:instrText xml:space="preserve"> PAGEREF _Toc102633623 \h </w:instrText>
      </w:r>
      <w:r>
        <w:rPr>
          <w:i w:val="0"/>
        </w:rPr>
        <w:fldChar w:fldCharType="separate"/>
      </w:r>
      <w:r>
        <w:rPr>
          <w:i w:val="0"/>
        </w:rPr>
        <w:t>8</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"_Toc102633624" </w:instrText>
      </w:r>
      <w:r>
        <w:fldChar w:fldCharType="separate"/>
      </w:r>
      <w:r>
        <w:rPr>
          <w:rStyle w:val="57"/>
          <w:rFonts w:ascii="宋体" w:hAnsi="宋体"/>
          <w:b/>
          <w:bCs/>
          <w:i w:val="0"/>
        </w:rPr>
        <w:t>三．投标文件的递交</w:t>
      </w:r>
      <w:r>
        <w:rPr>
          <w:i w:val="0"/>
        </w:rPr>
        <w:tab/>
      </w:r>
      <w:r>
        <w:rPr>
          <w:i w:val="0"/>
        </w:rPr>
        <w:fldChar w:fldCharType="begin"/>
      </w:r>
      <w:r>
        <w:rPr>
          <w:i w:val="0"/>
        </w:rPr>
        <w:instrText xml:space="preserve"> PAGEREF _Toc102633624 \h </w:instrText>
      </w:r>
      <w:r>
        <w:rPr>
          <w:i w:val="0"/>
        </w:rPr>
        <w:fldChar w:fldCharType="separate"/>
      </w:r>
      <w:r>
        <w:rPr>
          <w:i w:val="0"/>
        </w:rPr>
        <w:t>9</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"_Toc102633625" </w:instrText>
      </w:r>
      <w:r>
        <w:fldChar w:fldCharType="separate"/>
      </w:r>
      <w:r>
        <w:rPr>
          <w:rStyle w:val="57"/>
          <w:rFonts w:ascii="宋体" w:hAnsi="宋体"/>
          <w:b/>
          <w:bCs/>
          <w:i w:val="0"/>
        </w:rPr>
        <w:t>四．开标、评标及定标</w:t>
      </w:r>
      <w:r>
        <w:rPr>
          <w:i w:val="0"/>
        </w:rPr>
        <w:tab/>
      </w:r>
      <w:r>
        <w:rPr>
          <w:i w:val="0"/>
        </w:rPr>
        <w:fldChar w:fldCharType="begin"/>
      </w:r>
      <w:r>
        <w:rPr>
          <w:i w:val="0"/>
        </w:rPr>
        <w:instrText xml:space="preserve"> PAGEREF _Toc102633625 \h </w:instrText>
      </w:r>
      <w:r>
        <w:rPr>
          <w:i w:val="0"/>
        </w:rPr>
        <w:fldChar w:fldCharType="separate"/>
      </w:r>
      <w:r>
        <w:rPr>
          <w:i w:val="0"/>
        </w:rPr>
        <w:t>10</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"_Toc102633626" </w:instrText>
      </w:r>
      <w:r>
        <w:fldChar w:fldCharType="separate"/>
      </w:r>
      <w:r>
        <w:rPr>
          <w:rStyle w:val="57"/>
          <w:rFonts w:ascii="宋体" w:hAnsi="宋体"/>
          <w:b/>
          <w:bCs/>
          <w:i w:val="0"/>
        </w:rPr>
        <w:t>六．投标文件的澄清</w:t>
      </w:r>
      <w:r>
        <w:rPr>
          <w:i w:val="0"/>
        </w:rPr>
        <w:tab/>
      </w:r>
      <w:r>
        <w:rPr>
          <w:i w:val="0"/>
        </w:rPr>
        <w:fldChar w:fldCharType="begin"/>
      </w:r>
      <w:r>
        <w:rPr>
          <w:i w:val="0"/>
        </w:rPr>
        <w:instrText xml:space="preserve"> PAGEREF _Toc102633626 \h </w:instrText>
      </w:r>
      <w:r>
        <w:rPr>
          <w:i w:val="0"/>
        </w:rPr>
        <w:fldChar w:fldCharType="separate"/>
      </w:r>
      <w:r>
        <w:rPr>
          <w:i w:val="0"/>
        </w:rPr>
        <w:t>12</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"_Toc102633627" </w:instrText>
      </w:r>
      <w:r>
        <w:fldChar w:fldCharType="separate"/>
      </w:r>
      <w:r>
        <w:rPr>
          <w:rStyle w:val="57"/>
          <w:rFonts w:ascii="宋体" w:hAnsi="宋体"/>
          <w:b/>
          <w:bCs/>
          <w:i w:val="0"/>
        </w:rPr>
        <w:t>七.中标通知书</w:t>
      </w:r>
      <w:r>
        <w:rPr>
          <w:i w:val="0"/>
        </w:rPr>
        <w:tab/>
      </w:r>
      <w:r>
        <w:rPr>
          <w:i w:val="0"/>
        </w:rPr>
        <w:fldChar w:fldCharType="begin"/>
      </w:r>
      <w:r>
        <w:rPr>
          <w:i w:val="0"/>
        </w:rPr>
        <w:instrText xml:space="preserve"> PAGEREF _Toc102633627 \h </w:instrText>
      </w:r>
      <w:r>
        <w:rPr>
          <w:i w:val="0"/>
        </w:rPr>
        <w:fldChar w:fldCharType="separate"/>
      </w:r>
      <w:r>
        <w:rPr>
          <w:i w:val="0"/>
        </w:rPr>
        <w:t>12</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"_Toc102633628" </w:instrText>
      </w:r>
      <w:r>
        <w:fldChar w:fldCharType="separate"/>
      </w:r>
      <w:r>
        <w:rPr>
          <w:rStyle w:val="57"/>
          <w:rFonts w:ascii="宋体" w:hAnsi="宋体"/>
          <w:b/>
          <w:bCs/>
          <w:i w:val="0"/>
        </w:rPr>
        <w:t>八.异议处理</w:t>
      </w:r>
      <w:r>
        <w:rPr>
          <w:i w:val="0"/>
        </w:rPr>
        <w:tab/>
      </w:r>
      <w:r>
        <w:rPr>
          <w:i w:val="0"/>
        </w:rPr>
        <w:fldChar w:fldCharType="begin"/>
      </w:r>
      <w:r>
        <w:rPr>
          <w:i w:val="0"/>
        </w:rPr>
        <w:instrText xml:space="preserve"> PAGEREF _Toc102633628 \h </w:instrText>
      </w:r>
      <w:r>
        <w:rPr>
          <w:i w:val="0"/>
        </w:rPr>
        <w:fldChar w:fldCharType="separate"/>
      </w:r>
      <w:r>
        <w:rPr>
          <w:i w:val="0"/>
        </w:rPr>
        <w:t>13</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"_Toc102633629" </w:instrText>
      </w:r>
      <w:r>
        <w:fldChar w:fldCharType="separate"/>
      </w:r>
      <w:r>
        <w:rPr>
          <w:rStyle w:val="57"/>
          <w:rFonts w:ascii="宋体" w:hAnsi="宋体"/>
          <w:b/>
          <w:bCs/>
          <w:i w:val="0"/>
        </w:rPr>
        <w:t>九．签订合同</w:t>
      </w:r>
      <w:r>
        <w:rPr>
          <w:i w:val="0"/>
        </w:rPr>
        <w:tab/>
      </w:r>
      <w:r>
        <w:rPr>
          <w:i w:val="0"/>
        </w:rPr>
        <w:fldChar w:fldCharType="begin"/>
      </w:r>
      <w:r>
        <w:rPr>
          <w:i w:val="0"/>
        </w:rPr>
        <w:instrText xml:space="preserve"> PAGEREF _Toc102633629 \h </w:instrText>
      </w:r>
      <w:r>
        <w:rPr>
          <w:i w:val="0"/>
        </w:rPr>
        <w:fldChar w:fldCharType="separate"/>
      </w:r>
      <w:r>
        <w:rPr>
          <w:i w:val="0"/>
        </w:rPr>
        <w:t>13</w:t>
      </w:r>
      <w:r>
        <w:rPr>
          <w:i w:val="0"/>
        </w:rPr>
        <w:fldChar w:fldCharType="end"/>
      </w:r>
      <w:r>
        <w:rPr>
          <w:i w:val="0"/>
        </w:rPr>
        <w:fldChar w:fldCharType="end"/>
      </w:r>
    </w:p>
    <w:p>
      <w:pPr>
        <w:pStyle w:val="34"/>
        <w:tabs>
          <w:tab w:val="right" w:leader="dot" w:pos="9403"/>
        </w:tabs>
        <w:rPr>
          <w:rFonts w:asciiTheme="minorHAnsi" w:hAnsiTheme="minorHAnsi" w:eastAsiaTheme="minorEastAsia" w:cstheme="minorBidi"/>
          <w:caps w:val="0"/>
          <w:szCs w:val="22"/>
        </w:rPr>
      </w:pPr>
      <w:r>
        <w:fldChar w:fldCharType="begin"/>
      </w:r>
      <w:r>
        <w:instrText xml:space="preserve"> HYPERLINK \l "_Toc102633630" </w:instrText>
      </w:r>
      <w:r>
        <w:fldChar w:fldCharType="separate"/>
      </w:r>
      <w:r>
        <w:rPr>
          <w:rStyle w:val="57"/>
          <w:rFonts w:ascii="宋体" w:hAnsi="宋体"/>
        </w:rPr>
        <w:t>第四章 招标需求</w:t>
      </w:r>
      <w:r>
        <w:tab/>
      </w:r>
      <w:r>
        <w:fldChar w:fldCharType="begin"/>
      </w:r>
      <w:r>
        <w:instrText xml:space="preserve"> PAGEREF _Toc102633630 \h </w:instrText>
      </w:r>
      <w:r>
        <w:fldChar w:fldCharType="separate"/>
      </w:r>
      <w:r>
        <w:t>15</w:t>
      </w:r>
      <w:r>
        <w:fldChar w:fldCharType="end"/>
      </w:r>
      <w:r>
        <w:fldChar w:fldCharType="end"/>
      </w:r>
    </w:p>
    <w:p>
      <w:pPr>
        <w:pStyle w:val="34"/>
        <w:tabs>
          <w:tab w:val="right" w:leader="dot" w:pos="9403"/>
        </w:tabs>
        <w:rPr>
          <w:rFonts w:asciiTheme="minorHAnsi" w:hAnsiTheme="minorHAnsi" w:eastAsiaTheme="minorEastAsia" w:cstheme="minorBidi"/>
          <w:caps w:val="0"/>
          <w:szCs w:val="22"/>
        </w:rPr>
      </w:pPr>
      <w:r>
        <w:fldChar w:fldCharType="begin"/>
      </w:r>
      <w:r>
        <w:instrText xml:space="preserve"> HYPERLINK \l "_Toc102633631" </w:instrText>
      </w:r>
      <w:r>
        <w:fldChar w:fldCharType="separate"/>
      </w:r>
      <w:r>
        <w:rPr>
          <w:rStyle w:val="57"/>
          <w:rFonts w:ascii="宋体" w:hAnsi="宋体"/>
        </w:rPr>
        <w:t>第五章 评标办法</w:t>
      </w:r>
      <w:r>
        <w:tab/>
      </w:r>
      <w:r>
        <w:fldChar w:fldCharType="begin"/>
      </w:r>
      <w:r>
        <w:instrText xml:space="preserve"> PAGEREF _Toc102633631 \h </w:instrText>
      </w:r>
      <w:r>
        <w:fldChar w:fldCharType="separate"/>
      </w:r>
      <w:r>
        <w:t>18</w:t>
      </w:r>
      <w:r>
        <w:fldChar w:fldCharType="end"/>
      </w:r>
      <w:r>
        <w:fldChar w:fldCharType="end"/>
      </w:r>
    </w:p>
    <w:p>
      <w:pPr>
        <w:pStyle w:val="34"/>
        <w:tabs>
          <w:tab w:val="right" w:leader="dot" w:pos="9403"/>
        </w:tabs>
        <w:rPr>
          <w:rFonts w:asciiTheme="minorHAnsi" w:hAnsiTheme="minorHAnsi" w:eastAsiaTheme="minorEastAsia" w:cstheme="minorBidi"/>
          <w:caps w:val="0"/>
          <w:szCs w:val="22"/>
        </w:rPr>
      </w:pPr>
      <w:r>
        <w:fldChar w:fldCharType="begin"/>
      </w:r>
      <w:r>
        <w:instrText xml:space="preserve"> HYPERLINK \l "_Toc102633632" </w:instrText>
      </w:r>
      <w:r>
        <w:fldChar w:fldCharType="separate"/>
      </w:r>
      <w:r>
        <w:rPr>
          <w:rStyle w:val="57"/>
          <w:rFonts w:ascii="宋体" w:hAnsi="宋体"/>
        </w:rPr>
        <w:t>第六章 合同</w:t>
      </w:r>
      <w:r>
        <w:tab/>
      </w:r>
      <w:r>
        <w:fldChar w:fldCharType="begin"/>
      </w:r>
      <w:r>
        <w:instrText xml:space="preserve"> PAGEREF _Toc102633632 \h </w:instrText>
      </w:r>
      <w:r>
        <w:fldChar w:fldCharType="separate"/>
      </w:r>
      <w:r>
        <w:t>24</w:t>
      </w:r>
      <w:r>
        <w:fldChar w:fldCharType="end"/>
      </w:r>
      <w:r>
        <w:fldChar w:fldCharType="end"/>
      </w:r>
    </w:p>
    <w:p>
      <w:pPr>
        <w:pStyle w:val="34"/>
        <w:tabs>
          <w:tab w:val="right" w:leader="dot" w:pos="9403"/>
        </w:tabs>
        <w:rPr>
          <w:rFonts w:asciiTheme="minorHAnsi" w:hAnsiTheme="minorHAnsi" w:eastAsiaTheme="minorEastAsia" w:cstheme="minorBidi"/>
          <w:caps w:val="0"/>
          <w:szCs w:val="22"/>
        </w:rPr>
      </w:pPr>
      <w:r>
        <w:fldChar w:fldCharType="begin"/>
      </w:r>
      <w:r>
        <w:instrText xml:space="preserve"> HYPERLINK \l "_Toc102633633" </w:instrText>
      </w:r>
      <w:r>
        <w:fldChar w:fldCharType="separate"/>
      </w:r>
      <w:r>
        <w:rPr>
          <w:rStyle w:val="57"/>
          <w:rFonts w:ascii="宋体" w:hAnsi="宋体"/>
          <w:b/>
          <w:bCs/>
          <w:lang w:val="zh-CN"/>
        </w:rPr>
        <w:t>第七章 投标文件格式</w:t>
      </w:r>
      <w:r>
        <w:tab/>
      </w:r>
      <w:r>
        <w:fldChar w:fldCharType="begin"/>
      </w:r>
      <w:r>
        <w:instrText xml:space="preserve"> PAGEREF _Toc102633633 \h </w:instrText>
      </w:r>
      <w:r>
        <w:fldChar w:fldCharType="separate"/>
      </w:r>
      <w:r>
        <w:t>32</w:t>
      </w:r>
      <w:r>
        <w:fldChar w:fldCharType="end"/>
      </w:r>
      <w:r>
        <w:fldChar w:fldCharType="end"/>
      </w:r>
    </w:p>
    <w:p>
      <w:pPr>
        <w:pStyle w:val="42"/>
        <w:rPr>
          <w:rFonts w:asciiTheme="minorHAnsi" w:hAnsiTheme="minorHAnsi" w:eastAsiaTheme="minorEastAsia" w:cstheme="minorBidi"/>
          <w:smallCaps w:val="0"/>
          <w:sz w:val="21"/>
          <w:szCs w:val="22"/>
        </w:rPr>
      </w:pPr>
      <w:r>
        <w:fldChar w:fldCharType="begin"/>
      </w:r>
      <w:r>
        <w:instrText xml:space="preserve"> HYPERLINK \l "_Toc102633634" </w:instrText>
      </w:r>
      <w:r>
        <w:fldChar w:fldCharType="separate"/>
      </w:r>
      <w:r>
        <w:rPr>
          <w:rStyle w:val="57"/>
          <w:rFonts w:ascii="Arial" w:hAnsi="Arial" w:cs="Calibri"/>
          <w:b/>
          <w:bCs/>
        </w:rPr>
        <w:t>评审因素索引表</w:t>
      </w:r>
      <w:r>
        <w:tab/>
      </w:r>
      <w:r>
        <w:fldChar w:fldCharType="begin"/>
      </w:r>
      <w:r>
        <w:instrText xml:space="preserve"> PAGEREF _Toc102633634 \h </w:instrText>
      </w:r>
      <w:r>
        <w:fldChar w:fldCharType="separate"/>
      </w:r>
      <w:r>
        <w:t>32</w:t>
      </w:r>
      <w:r>
        <w:fldChar w:fldCharType="end"/>
      </w:r>
      <w: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"_Toc102633635" </w:instrText>
      </w:r>
      <w:r>
        <w:fldChar w:fldCharType="separate"/>
      </w:r>
      <w:r>
        <w:rPr>
          <w:rStyle w:val="57"/>
          <w:rFonts w:ascii="宋体" w:hAnsi="宋体"/>
          <w:b/>
          <w:bCs/>
          <w:i w:val="0"/>
          <w:lang w:val="zh-CN"/>
        </w:rPr>
        <w:t>一．投标函</w:t>
      </w:r>
      <w:r>
        <w:rPr>
          <w:i w:val="0"/>
        </w:rPr>
        <w:tab/>
      </w:r>
      <w:r>
        <w:rPr>
          <w:i w:val="0"/>
        </w:rPr>
        <w:fldChar w:fldCharType="begin"/>
      </w:r>
      <w:r>
        <w:rPr>
          <w:i w:val="0"/>
        </w:rPr>
        <w:instrText xml:space="preserve"> PAGEREF _Toc102633635 \h </w:instrText>
      </w:r>
      <w:r>
        <w:rPr>
          <w:i w:val="0"/>
        </w:rPr>
        <w:fldChar w:fldCharType="separate"/>
      </w:r>
      <w:r>
        <w:rPr>
          <w:i w:val="0"/>
        </w:rPr>
        <w:t>33</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"_Toc102633636" </w:instrText>
      </w:r>
      <w:r>
        <w:fldChar w:fldCharType="separate"/>
      </w:r>
      <w:r>
        <w:rPr>
          <w:rStyle w:val="57"/>
          <w:rFonts w:ascii="宋体" w:hAnsi="宋体"/>
          <w:b/>
          <w:bCs/>
          <w:i w:val="0"/>
          <w:lang w:val="zh-CN"/>
        </w:rPr>
        <w:t>二．投标人情况综合简介</w:t>
      </w:r>
      <w:r>
        <w:rPr>
          <w:i w:val="0"/>
        </w:rPr>
        <w:tab/>
      </w:r>
      <w:r>
        <w:rPr>
          <w:i w:val="0"/>
        </w:rPr>
        <w:fldChar w:fldCharType="begin"/>
      </w:r>
      <w:r>
        <w:rPr>
          <w:i w:val="0"/>
        </w:rPr>
        <w:instrText xml:space="preserve"> PAGEREF _Toc102633636 \h </w:instrText>
      </w:r>
      <w:r>
        <w:rPr>
          <w:i w:val="0"/>
        </w:rPr>
        <w:fldChar w:fldCharType="separate"/>
      </w:r>
      <w:r>
        <w:rPr>
          <w:i w:val="0"/>
        </w:rPr>
        <w:t>35</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"_Toc102633637" </w:instrText>
      </w:r>
      <w:r>
        <w:fldChar w:fldCharType="separate"/>
      </w:r>
      <w:r>
        <w:rPr>
          <w:rStyle w:val="57"/>
          <w:rFonts w:ascii="宋体" w:hAnsi="宋体"/>
          <w:b/>
          <w:bCs/>
          <w:i w:val="0"/>
          <w:lang w:val="zh-CN"/>
        </w:rPr>
        <w:t>三．开标一览表</w:t>
      </w:r>
      <w:r>
        <w:rPr>
          <w:i w:val="0"/>
        </w:rPr>
        <w:tab/>
      </w:r>
      <w:r>
        <w:rPr>
          <w:i w:val="0"/>
        </w:rPr>
        <w:fldChar w:fldCharType="begin"/>
      </w:r>
      <w:r>
        <w:rPr>
          <w:i w:val="0"/>
        </w:rPr>
        <w:instrText xml:space="preserve"> PAGEREF _Toc102633637 \h </w:instrText>
      </w:r>
      <w:r>
        <w:rPr>
          <w:i w:val="0"/>
        </w:rPr>
        <w:fldChar w:fldCharType="separate"/>
      </w:r>
      <w:r>
        <w:rPr>
          <w:i w:val="0"/>
        </w:rPr>
        <w:t>36</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"_Toc102633638" </w:instrText>
      </w:r>
      <w:r>
        <w:fldChar w:fldCharType="separate"/>
      </w:r>
      <w:r>
        <w:rPr>
          <w:rStyle w:val="57"/>
          <w:rFonts w:ascii="宋体" w:hAnsi="宋体"/>
          <w:b/>
          <w:bCs/>
          <w:i w:val="0"/>
          <w:lang w:val="zh-CN"/>
        </w:rPr>
        <w:t>四．投标响应表</w:t>
      </w:r>
      <w:r>
        <w:rPr>
          <w:i w:val="0"/>
        </w:rPr>
        <w:tab/>
      </w:r>
      <w:r>
        <w:rPr>
          <w:i w:val="0"/>
        </w:rPr>
        <w:fldChar w:fldCharType="begin"/>
      </w:r>
      <w:r>
        <w:rPr>
          <w:i w:val="0"/>
        </w:rPr>
        <w:instrText xml:space="preserve"> PAGEREF _Toc102633638 \h </w:instrText>
      </w:r>
      <w:r>
        <w:rPr>
          <w:i w:val="0"/>
        </w:rPr>
        <w:fldChar w:fldCharType="separate"/>
      </w:r>
      <w:r>
        <w:rPr>
          <w:i w:val="0"/>
        </w:rPr>
        <w:t>37</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"_Toc102633639" </w:instrText>
      </w:r>
      <w:r>
        <w:fldChar w:fldCharType="separate"/>
      </w:r>
      <w:r>
        <w:rPr>
          <w:rStyle w:val="57"/>
          <w:rFonts w:hAnsi="宋体"/>
          <w:i w:val="0"/>
        </w:rPr>
        <w:t>五.投标货物及报价表</w:t>
      </w:r>
      <w:r>
        <w:rPr>
          <w:i w:val="0"/>
        </w:rPr>
        <w:tab/>
      </w:r>
      <w:r>
        <w:rPr>
          <w:i w:val="0"/>
        </w:rPr>
        <w:fldChar w:fldCharType="begin"/>
      </w:r>
      <w:r>
        <w:rPr>
          <w:i w:val="0"/>
        </w:rPr>
        <w:instrText xml:space="preserve"> PAGEREF _Toc102633639 \h </w:instrText>
      </w:r>
      <w:r>
        <w:rPr>
          <w:i w:val="0"/>
        </w:rPr>
        <w:fldChar w:fldCharType="separate"/>
      </w:r>
      <w:r>
        <w:rPr>
          <w:i w:val="0"/>
        </w:rPr>
        <w:t>38</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"_Toc102633640" </w:instrText>
      </w:r>
      <w:r>
        <w:fldChar w:fldCharType="separate"/>
      </w:r>
      <w:r>
        <w:rPr>
          <w:rStyle w:val="57"/>
          <w:rFonts w:ascii="宋体" w:hAnsi="宋体"/>
          <w:b/>
          <w:bCs/>
          <w:i w:val="0"/>
          <w:lang w:val="zh-CN"/>
        </w:rPr>
        <w:t>六．投标授权书</w:t>
      </w:r>
      <w:r>
        <w:rPr>
          <w:i w:val="0"/>
        </w:rPr>
        <w:tab/>
      </w:r>
      <w:r>
        <w:rPr>
          <w:i w:val="0"/>
        </w:rPr>
        <w:fldChar w:fldCharType="begin"/>
      </w:r>
      <w:r>
        <w:rPr>
          <w:i w:val="0"/>
        </w:rPr>
        <w:instrText xml:space="preserve"> PAGEREF _Toc102633640 \h </w:instrText>
      </w:r>
      <w:r>
        <w:rPr>
          <w:i w:val="0"/>
        </w:rPr>
        <w:fldChar w:fldCharType="separate"/>
      </w:r>
      <w:r>
        <w:rPr>
          <w:i w:val="0"/>
        </w:rPr>
        <w:t>39</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"_Toc102633641" </w:instrText>
      </w:r>
      <w:r>
        <w:fldChar w:fldCharType="separate"/>
      </w:r>
      <w:r>
        <w:rPr>
          <w:rStyle w:val="57"/>
          <w:rFonts w:ascii="宋体" w:hAnsi="宋体" w:cs="宋体"/>
          <w:b/>
          <w:bCs/>
          <w:i w:val="0"/>
          <w:lang w:val="zh-CN"/>
        </w:rPr>
        <w:t>七．投标人信用承诺</w:t>
      </w:r>
      <w:r>
        <w:rPr>
          <w:i w:val="0"/>
        </w:rPr>
        <w:tab/>
      </w:r>
      <w:r>
        <w:rPr>
          <w:i w:val="0"/>
        </w:rPr>
        <w:fldChar w:fldCharType="begin"/>
      </w:r>
      <w:r>
        <w:rPr>
          <w:i w:val="0"/>
        </w:rPr>
        <w:instrText xml:space="preserve"> PAGEREF _Toc102633641 \h </w:instrText>
      </w:r>
      <w:r>
        <w:rPr>
          <w:i w:val="0"/>
        </w:rPr>
        <w:fldChar w:fldCharType="separate"/>
      </w:r>
      <w:r>
        <w:rPr>
          <w:i w:val="0"/>
        </w:rPr>
        <w:t>40</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"_Toc102633642" </w:instrText>
      </w:r>
      <w:r>
        <w:fldChar w:fldCharType="separate"/>
      </w:r>
      <w:r>
        <w:rPr>
          <w:rStyle w:val="57"/>
          <w:rFonts w:ascii="宋体" w:hAnsi="宋体" w:cs="宋体"/>
          <w:b/>
          <w:bCs/>
          <w:i w:val="0"/>
          <w:lang w:val="zh-CN"/>
        </w:rPr>
        <w:t>八. 投标业绩</w:t>
      </w:r>
      <w:r>
        <w:rPr>
          <w:i w:val="0"/>
        </w:rPr>
        <w:tab/>
      </w:r>
      <w:r>
        <w:rPr>
          <w:i w:val="0"/>
        </w:rPr>
        <w:fldChar w:fldCharType="begin"/>
      </w:r>
      <w:r>
        <w:rPr>
          <w:i w:val="0"/>
        </w:rPr>
        <w:instrText xml:space="preserve"> PAGEREF _Toc102633642 \h </w:instrText>
      </w:r>
      <w:r>
        <w:rPr>
          <w:i w:val="0"/>
        </w:rPr>
        <w:fldChar w:fldCharType="separate"/>
      </w:r>
      <w:r>
        <w:rPr>
          <w:i w:val="0"/>
        </w:rPr>
        <w:t>41</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"_Toc102633643" </w:instrText>
      </w:r>
      <w:r>
        <w:fldChar w:fldCharType="separate"/>
      </w:r>
      <w:r>
        <w:rPr>
          <w:rStyle w:val="57"/>
          <w:rFonts w:ascii="宋体" w:hAnsi="宋体"/>
          <w:b/>
          <w:bCs/>
          <w:i w:val="0"/>
          <w:lang w:val="zh-CN"/>
        </w:rPr>
        <w:t>九．有关证明文件</w:t>
      </w:r>
      <w:r>
        <w:rPr>
          <w:i w:val="0"/>
        </w:rPr>
        <w:tab/>
      </w:r>
      <w:r>
        <w:rPr>
          <w:i w:val="0"/>
        </w:rPr>
        <w:fldChar w:fldCharType="begin"/>
      </w:r>
      <w:r>
        <w:rPr>
          <w:i w:val="0"/>
        </w:rPr>
        <w:instrText xml:space="preserve"> PAGEREF _Toc102633643 \h </w:instrText>
      </w:r>
      <w:r>
        <w:rPr>
          <w:i w:val="0"/>
        </w:rPr>
        <w:fldChar w:fldCharType="separate"/>
      </w:r>
      <w:r>
        <w:rPr>
          <w:i w:val="0"/>
        </w:rPr>
        <w:t>41</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"_Toc102633644" </w:instrText>
      </w:r>
      <w:r>
        <w:fldChar w:fldCharType="separate"/>
      </w:r>
      <w:r>
        <w:rPr>
          <w:rStyle w:val="57"/>
          <w:rFonts w:ascii="宋体" w:hAnsi="宋体"/>
          <w:b/>
          <w:bCs/>
          <w:i w:val="0"/>
          <w:lang w:val="zh-CN"/>
        </w:rPr>
        <w:t>十．生产厂商授权书</w:t>
      </w:r>
      <w:r>
        <w:rPr>
          <w:i w:val="0"/>
        </w:rPr>
        <w:tab/>
      </w:r>
      <w:r>
        <w:rPr>
          <w:i w:val="0"/>
        </w:rPr>
        <w:fldChar w:fldCharType="begin"/>
      </w:r>
      <w:r>
        <w:rPr>
          <w:i w:val="0"/>
        </w:rPr>
        <w:instrText xml:space="preserve"> PAGEREF _Toc102633644 \h </w:instrText>
      </w:r>
      <w:r>
        <w:rPr>
          <w:i w:val="0"/>
        </w:rPr>
        <w:fldChar w:fldCharType="separate"/>
      </w:r>
      <w:r>
        <w:rPr>
          <w:i w:val="0"/>
        </w:rPr>
        <w:t>42</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"_Toc102633645" </w:instrText>
      </w:r>
      <w:r>
        <w:fldChar w:fldCharType="separate"/>
      </w:r>
      <w:r>
        <w:rPr>
          <w:rStyle w:val="57"/>
          <w:rFonts w:ascii="宋体" w:hAnsi="宋体"/>
          <w:b/>
          <w:bCs/>
          <w:i w:val="0"/>
          <w:lang w:val="zh-CN"/>
        </w:rPr>
        <w:t>十一．项目人员配备</w:t>
      </w:r>
      <w:r>
        <w:rPr>
          <w:i w:val="0"/>
        </w:rPr>
        <w:tab/>
      </w:r>
      <w:r>
        <w:rPr>
          <w:i w:val="0"/>
        </w:rPr>
        <w:fldChar w:fldCharType="begin"/>
      </w:r>
      <w:r>
        <w:rPr>
          <w:i w:val="0"/>
        </w:rPr>
        <w:instrText xml:space="preserve"> PAGEREF _Toc102633645 \h </w:instrText>
      </w:r>
      <w:r>
        <w:rPr>
          <w:i w:val="0"/>
        </w:rPr>
        <w:fldChar w:fldCharType="separate"/>
      </w:r>
      <w:r>
        <w:rPr>
          <w:i w:val="0"/>
        </w:rPr>
        <w:t>43</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"_Toc102633646" </w:instrText>
      </w:r>
      <w:r>
        <w:fldChar w:fldCharType="separate"/>
      </w:r>
      <w:r>
        <w:rPr>
          <w:rStyle w:val="57"/>
          <w:rFonts w:ascii="宋体" w:hAnsi="宋体"/>
          <w:b/>
          <w:bCs/>
          <w:i w:val="0"/>
          <w:lang w:val="zh-CN"/>
        </w:rPr>
        <w:t>十二．售后服务体系与检测方案</w:t>
      </w:r>
      <w:r>
        <w:rPr>
          <w:i w:val="0"/>
        </w:rPr>
        <w:tab/>
      </w:r>
      <w:r>
        <w:rPr>
          <w:i w:val="0"/>
        </w:rPr>
        <w:fldChar w:fldCharType="begin"/>
      </w:r>
      <w:r>
        <w:rPr>
          <w:i w:val="0"/>
        </w:rPr>
        <w:instrText xml:space="preserve"> PAGEREF _Toc102633646 \h </w:instrText>
      </w:r>
      <w:r>
        <w:rPr>
          <w:i w:val="0"/>
        </w:rPr>
        <w:fldChar w:fldCharType="separate"/>
      </w:r>
      <w:r>
        <w:rPr>
          <w:i w:val="0"/>
        </w:rPr>
        <w:t>44</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"_Toc102633647" </w:instrText>
      </w:r>
      <w:r>
        <w:fldChar w:fldCharType="separate"/>
      </w:r>
      <w:r>
        <w:rPr>
          <w:rStyle w:val="57"/>
          <w:rFonts w:ascii="宋体" w:hAnsi="宋体"/>
          <w:b/>
          <w:bCs/>
          <w:i w:val="0"/>
          <w:lang w:val="zh-CN"/>
        </w:rPr>
        <w:t>十三．产品质量承诺</w:t>
      </w:r>
      <w:r>
        <w:rPr>
          <w:i w:val="0"/>
        </w:rPr>
        <w:tab/>
      </w:r>
      <w:r>
        <w:rPr>
          <w:i w:val="0"/>
        </w:rPr>
        <w:fldChar w:fldCharType="begin"/>
      </w:r>
      <w:r>
        <w:rPr>
          <w:i w:val="0"/>
        </w:rPr>
        <w:instrText xml:space="preserve"> PAGEREF _Toc102633647 \h </w:instrText>
      </w:r>
      <w:r>
        <w:rPr>
          <w:i w:val="0"/>
        </w:rPr>
        <w:fldChar w:fldCharType="separate"/>
      </w:r>
      <w:r>
        <w:rPr>
          <w:i w:val="0"/>
        </w:rPr>
        <w:t>44</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"_Toc102633648" </w:instrText>
      </w:r>
      <w:r>
        <w:fldChar w:fldCharType="separate"/>
      </w:r>
      <w:r>
        <w:rPr>
          <w:rStyle w:val="57"/>
          <w:rFonts w:ascii="宋体" w:hAnsi="宋体"/>
          <w:b/>
          <w:bCs/>
          <w:i w:val="0"/>
          <w:lang w:val="zh-CN"/>
        </w:rPr>
        <w:t>十四、投标人认为需提供的其他资料</w:t>
      </w:r>
      <w:r>
        <w:rPr>
          <w:i w:val="0"/>
        </w:rPr>
        <w:tab/>
      </w:r>
      <w:r>
        <w:rPr>
          <w:i w:val="0"/>
        </w:rPr>
        <w:fldChar w:fldCharType="begin"/>
      </w:r>
      <w:r>
        <w:rPr>
          <w:i w:val="0"/>
        </w:rPr>
        <w:instrText xml:space="preserve"> PAGEREF _Toc102633648 \h </w:instrText>
      </w:r>
      <w:r>
        <w:rPr>
          <w:i w:val="0"/>
        </w:rPr>
        <w:fldChar w:fldCharType="separate"/>
      </w:r>
      <w:r>
        <w:rPr>
          <w:i w:val="0"/>
        </w:rPr>
        <w:t>44</w:t>
      </w:r>
      <w:r>
        <w:rPr>
          <w:i w:val="0"/>
        </w:rPr>
        <w:fldChar w:fldCharType="end"/>
      </w:r>
      <w:r>
        <w:rPr>
          <w:i w:val="0"/>
        </w:rPr>
        <w:fldChar w:fldCharType="end"/>
      </w:r>
    </w:p>
    <w:p>
      <w:pPr>
        <w:pStyle w:val="25"/>
        <w:rPr>
          <w:rFonts w:asciiTheme="minorHAnsi" w:hAnsiTheme="minorHAnsi" w:eastAsiaTheme="minorEastAsia" w:cstheme="minorBidi"/>
          <w:i w:val="0"/>
          <w:iCs w:val="0"/>
          <w:szCs w:val="22"/>
        </w:rPr>
      </w:pPr>
      <w:r>
        <w:fldChar w:fldCharType="begin"/>
      </w:r>
      <w:r>
        <w:instrText xml:space="preserve"> HYPERLINK \l "_Toc102633649" </w:instrText>
      </w:r>
      <w:r>
        <w:fldChar w:fldCharType="separate"/>
      </w:r>
      <w:r>
        <w:rPr>
          <w:rStyle w:val="57"/>
          <w:rFonts w:ascii="宋体" w:hAnsi="宋体"/>
          <w:b/>
          <w:bCs/>
          <w:i w:val="0"/>
          <w:lang w:val="zh-CN"/>
        </w:rPr>
        <w:t>十五．投标保证金退还声明</w:t>
      </w:r>
      <w:r>
        <w:rPr>
          <w:i w:val="0"/>
        </w:rPr>
        <w:tab/>
      </w:r>
      <w:r>
        <w:rPr>
          <w:i w:val="0"/>
        </w:rPr>
        <w:fldChar w:fldCharType="begin"/>
      </w:r>
      <w:r>
        <w:rPr>
          <w:i w:val="0"/>
        </w:rPr>
        <w:instrText xml:space="preserve"> PAGEREF _Toc102633649 \h </w:instrText>
      </w:r>
      <w:r>
        <w:rPr>
          <w:i w:val="0"/>
        </w:rPr>
        <w:fldChar w:fldCharType="separate"/>
      </w:r>
      <w:r>
        <w:rPr>
          <w:i w:val="0"/>
        </w:rPr>
        <w:t>44</w:t>
      </w:r>
      <w:r>
        <w:rPr>
          <w:i w:val="0"/>
        </w:rPr>
        <w:fldChar w:fldCharType="end"/>
      </w:r>
      <w:r>
        <w:rPr>
          <w:i w:val="0"/>
        </w:rPr>
        <w:fldChar w:fldCharType="end"/>
      </w:r>
    </w:p>
    <w:p>
      <w:pPr>
        <w:spacing w:line="440" w:lineRule="exact"/>
        <w:outlineLvl w:val="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fldChar w:fldCharType="end"/>
      </w:r>
      <w:bookmarkStart w:id="3" w:name="_Toc7187420"/>
    </w:p>
    <w:p>
      <w:pPr>
        <w:spacing w:line="360" w:lineRule="auto"/>
        <w:jc w:val="center"/>
        <w:outlineLvl w:val="0"/>
        <w:rPr>
          <w:rFonts w:ascii="宋体" w:hAnsi="宋体"/>
          <w:b/>
          <w:bCs/>
          <w:color w:val="000000" w:themeColor="text1"/>
          <w:sz w:val="32"/>
          <w:szCs w:val="32"/>
          <w14:textFill>
            <w14:solidFill>
              <w14:schemeClr w14:val="tx1"/>
            </w14:solidFill>
          </w14:textFill>
        </w:rPr>
      </w:pPr>
      <w:bookmarkStart w:id="4" w:name="_Toc102633619"/>
      <w:r>
        <w:rPr>
          <w:rFonts w:hint="eastAsia" w:ascii="宋体" w:hAnsi="宋体"/>
          <w:b/>
          <w:bCs/>
          <w:color w:val="000000" w:themeColor="text1"/>
          <w:sz w:val="32"/>
          <w:szCs w:val="32"/>
          <w14:textFill>
            <w14:solidFill>
              <w14:schemeClr w14:val="tx1"/>
            </w14:solidFill>
          </w14:textFill>
        </w:rPr>
        <w:t>第一章 投标邀请（招标公告）</w:t>
      </w:r>
      <w:bookmarkEnd w:id="3"/>
      <w:bookmarkEnd w:id="4"/>
    </w:p>
    <w:p>
      <w:pPr>
        <w:tabs>
          <w:tab w:val="left" w:pos="2410"/>
        </w:tabs>
        <w:autoSpaceDE w:val="0"/>
        <w:autoSpaceDN w:val="0"/>
        <w:adjustRightInd w:val="0"/>
        <w:snapToGrid w:val="0"/>
        <w:spacing w:line="360" w:lineRule="auto"/>
        <w:ind w:firstLine="480" w:firstLineChars="200"/>
        <w:rPr>
          <w:rFonts w:ascii="宋体" w:hAnsi="DotumChe" w:cs="宋体"/>
          <w:b/>
          <w:color w:val="000000" w:themeColor="text1"/>
          <w:spacing w:val="20"/>
          <w:kern w:val="0"/>
          <w:sz w:val="24"/>
          <w:szCs w:val="24"/>
          <w14:textFill>
            <w14:solidFill>
              <w14:schemeClr w14:val="tx1"/>
            </w14:solidFill>
          </w14:textFill>
        </w:rPr>
      </w:pPr>
      <w:bookmarkStart w:id="5" w:name="_Hlt510343011"/>
      <w:bookmarkStart w:id="6" w:name="_Hlt510342998"/>
      <w:bookmarkStart w:id="211" w:name="_GoBack"/>
      <w:r>
        <w:rPr>
          <w:rFonts w:hint="eastAsia" w:ascii="宋体" w:hAnsi="宋体"/>
          <w:color w:val="000000" w:themeColor="text1"/>
          <w:sz w:val="24"/>
          <w:szCs w:val="24"/>
          <w14:textFill>
            <w14:solidFill>
              <w14:schemeClr w14:val="tx1"/>
            </w14:solidFill>
          </w14:textFill>
        </w:rPr>
        <w:t>合肥文旅博览集团有限公司（以下简称：文旅博览集团）受合肥体育产业投资有限公司委托，现对</w:t>
      </w:r>
      <w:r>
        <w:rPr>
          <w:rFonts w:hint="eastAsia" w:ascii="宋体" w:hAnsi="宋体"/>
          <w:bCs/>
          <w:color w:val="000000" w:themeColor="text1"/>
          <w:sz w:val="24"/>
          <w:szCs w:val="24"/>
          <w14:textFill>
            <w14:solidFill>
              <w14:schemeClr w14:val="tx1"/>
            </w14:solidFill>
          </w14:textFill>
        </w:rPr>
        <w:t>合肥体育中心游泳馆泳池投药系统项目（以下简称：本项目）</w:t>
      </w:r>
      <w:r>
        <w:rPr>
          <w:rFonts w:hint="eastAsia" w:ascii="宋体" w:hAnsi="宋体"/>
          <w:color w:val="000000" w:themeColor="text1"/>
          <w:sz w:val="24"/>
          <w:szCs w:val="24"/>
          <w14:textFill>
            <w14:solidFill>
              <w14:schemeClr w14:val="tx1"/>
            </w14:solidFill>
          </w14:textFill>
        </w:rPr>
        <w:t>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tabs>
          <w:tab w:val="left" w:pos="2410"/>
        </w:tabs>
        <w:autoSpaceDE w:val="0"/>
        <w:autoSpaceDN w:val="0"/>
        <w:adjustRightInd w:val="0"/>
        <w:snapToGrid w:val="0"/>
        <w:spacing w:line="360" w:lineRule="auto"/>
        <w:ind w:firstLine="240" w:firstLineChars="1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1.项目编号：2022WLBLZB00017号</w:t>
      </w:r>
    </w:p>
    <w:p>
      <w:pPr>
        <w:autoSpaceDE w:val="0"/>
        <w:autoSpaceDN w:val="0"/>
        <w:adjustRightInd w:val="0"/>
        <w:spacing w:line="360" w:lineRule="auto"/>
        <w:ind w:left="1681" w:leftChars="114" w:hanging="1442" w:hangingChars="601"/>
        <w:jc w:val="left"/>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2.项目名称：合肥体育中心游泳馆泳池投药系统采购</w:t>
      </w:r>
    </w:p>
    <w:p>
      <w:pPr>
        <w:autoSpaceDE w:val="0"/>
        <w:autoSpaceDN w:val="0"/>
        <w:adjustRightInd w:val="0"/>
        <w:spacing w:line="360" w:lineRule="auto"/>
        <w:ind w:left="1681" w:leftChars="114" w:hanging="1442" w:hangingChars="601"/>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3.项目地点：合肥体育中心</w:t>
      </w:r>
    </w:p>
    <w:p>
      <w:pPr>
        <w:autoSpaceDE w:val="0"/>
        <w:autoSpaceDN w:val="0"/>
        <w:adjustRightInd w:val="0"/>
        <w:spacing w:line="360" w:lineRule="auto"/>
        <w:ind w:firstLine="2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4.项目单位：合肥体育产业投资有限公司 </w:t>
      </w:r>
    </w:p>
    <w:p>
      <w:pPr>
        <w:autoSpaceDE w:val="0"/>
        <w:autoSpaceDN w:val="0"/>
        <w:adjustRightInd w:val="0"/>
        <w:spacing w:line="360" w:lineRule="auto"/>
        <w:ind w:firstLine="2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5.项目概况：详见招标需求</w:t>
      </w:r>
    </w:p>
    <w:p>
      <w:pPr>
        <w:autoSpaceDE w:val="0"/>
        <w:autoSpaceDN w:val="0"/>
        <w:adjustRightInd w:val="0"/>
        <w:spacing w:line="360" w:lineRule="auto"/>
        <w:ind w:firstLine="2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6.资金来源：委托人自筹</w:t>
      </w:r>
    </w:p>
    <w:p>
      <w:pPr>
        <w:autoSpaceDE w:val="0"/>
        <w:autoSpaceDN w:val="0"/>
        <w:adjustRightInd w:val="0"/>
        <w:spacing w:line="360" w:lineRule="auto"/>
        <w:ind w:firstLine="2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7.项目概算:壹拾壹万元整（</w:t>
      </w:r>
      <w:r>
        <w:rPr>
          <w:rFonts w:ascii="宋体" w:hAnsi="宋体"/>
          <w:color w:val="000000" w:themeColor="text1"/>
          <w:sz w:val="24"/>
          <w:szCs w:val="18"/>
          <w14:textFill>
            <w14:solidFill>
              <w14:schemeClr w14:val="tx1"/>
            </w14:solidFill>
          </w14:textFill>
        </w:rPr>
        <w:t>¥</w:t>
      </w:r>
      <w:r>
        <w:rPr>
          <w:rFonts w:hint="eastAsia" w:ascii="宋体" w:hAnsi="宋体"/>
          <w:color w:val="000000" w:themeColor="text1"/>
          <w:sz w:val="24"/>
          <w:szCs w:val="18"/>
          <w14:textFill>
            <w14:solidFill>
              <w14:schemeClr w14:val="tx1"/>
            </w14:solidFill>
          </w14:textFill>
        </w:rPr>
        <w:t>110,000</w:t>
      </w:r>
      <w:r>
        <w:rPr>
          <w:rFonts w:ascii="宋体" w:hAnsi="宋体"/>
          <w:color w:val="000000" w:themeColor="text1"/>
          <w:sz w:val="24"/>
          <w:szCs w:val="18"/>
          <w14:textFill>
            <w14:solidFill>
              <w14:schemeClr w14:val="tx1"/>
            </w14:solidFill>
          </w14:textFill>
        </w:rPr>
        <w:t>.00</w:t>
      </w:r>
      <w:r>
        <w:rPr>
          <w:rFonts w:hint="eastAsia" w:ascii="宋体" w:hAnsi="宋体"/>
          <w:color w:val="000000" w:themeColor="text1"/>
          <w:sz w:val="24"/>
          <w:szCs w:val="18"/>
          <w14:textFill>
            <w14:solidFill>
              <w14:schemeClr w14:val="tx1"/>
            </w14:solidFill>
          </w14:textFill>
        </w:rPr>
        <w:t>）</w:t>
      </w:r>
    </w:p>
    <w:p>
      <w:pPr>
        <w:autoSpaceDE w:val="0"/>
        <w:autoSpaceDN w:val="0"/>
        <w:adjustRightInd w:val="0"/>
        <w:spacing w:line="360" w:lineRule="auto"/>
        <w:ind w:firstLine="2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8.项目类别：货物类</w:t>
      </w:r>
    </w:p>
    <w:p>
      <w:pPr>
        <w:numPr>
          <w:ilvl w:val="0"/>
          <w:numId w:val="4"/>
        </w:numPr>
        <w:autoSpaceDE w:val="0"/>
        <w:autoSpaceDN w:val="0"/>
        <w:adjustRightInd w:val="0"/>
        <w:spacing w:line="360" w:lineRule="auto"/>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投标人资格</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1.具有独立承担民事责任的能力；</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2.经营范围须含有水处理设备、机电设备销售；</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3.具有一家及以上游泳馆水处理设备供应、安装服务业绩；</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4.本项目不接受联合体投标；</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5. 符合下列情形之一：</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6.投标人存在以下不良信用记录情形之一的，不得推荐为中标候选人，不得确定为中标人：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1）投标人被人民法院列入失信被执行人的；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4）投标人被税务部门列入重大税收违法案件当事人名单的。</w:t>
      </w:r>
    </w:p>
    <w:p>
      <w:pPr>
        <w:autoSpaceDE w:val="0"/>
        <w:autoSpaceDN w:val="0"/>
        <w:adjustRightInd w:val="0"/>
        <w:spacing w:line="460" w:lineRule="exact"/>
        <w:ind w:firstLine="241" w:firstLineChars="1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000000" w:themeColor="text1"/>
          <w:kern w:val="0"/>
          <w:sz w:val="24"/>
          <w:szCs w:val="24"/>
          <w:u w:val="single"/>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报名日期：</w:t>
      </w:r>
      <w:r>
        <w:rPr>
          <w:rFonts w:hint="eastAsia" w:ascii="宋体" w:hAnsi="宋体" w:cs="宋体"/>
          <w:color w:val="000000" w:themeColor="text1"/>
          <w:kern w:val="0"/>
          <w:sz w:val="24"/>
          <w:szCs w:val="24"/>
          <w:u w:val="single"/>
          <w14:textFill>
            <w14:solidFill>
              <w14:schemeClr w14:val="tx1"/>
            </w14:solidFill>
          </w14:textFill>
        </w:rPr>
        <w:t>2022年</w:t>
      </w:r>
      <w:r>
        <w:rPr>
          <w:rFonts w:ascii="宋体" w:hAnsi="宋体" w:cs="宋体"/>
          <w:color w:val="000000" w:themeColor="text1"/>
          <w:kern w:val="0"/>
          <w:sz w:val="24"/>
          <w:szCs w:val="24"/>
          <w:u w:val="single"/>
          <w14:textFill>
            <w14:solidFill>
              <w14:schemeClr w14:val="tx1"/>
            </w14:solidFill>
          </w14:textFill>
        </w:rPr>
        <w:t>5</w:t>
      </w:r>
      <w:r>
        <w:rPr>
          <w:rFonts w:hint="eastAsia" w:ascii="宋体" w:hAnsi="宋体" w:cs="宋体"/>
          <w:color w:val="000000" w:themeColor="text1"/>
          <w:kern w:val="0"/>
          <w:sz w:val="24"/>
          <w:szCs w:val="24"/>
          <w:u w:val="single"/>
          <w14:textFill>
            <w14:solidFill>
              <w14:schemeClr w14:val="tx1"/>
            </w14:solidFill>
          </w14:textFill>
        </w:rPr>
        <w:t>月</w:t>
      </w:r>
      <w:r>
        <w:rPr>
          <w:rFonts w:ascii="宋体" w:hAnsi="宋体" w:cs="宋体"/>
          <w:color w:val="000000" w:themeColor="text1"/>
          <w:kern w:val="0"/>
          <w:sz w:val="24"/>
          <w:szCs w:val="24"/>
          <w:u w:val="single"/>
          <w14:textFill>
            <w14:solidFill>
              <w14:schemeClr w14:val="tx1"/>
            </w14:solidFill>
          </w14:textFill>
        </w:rPr>
        <w:t>5</w:t>
      </w:r>
      <w:r>
        <w:rPr>
          <w:rFonts w:hint="eastAsia" w:ascii="宋体" w:hAnsi="宋体" w:cs="宋体"/>
          <w:color w:val="000000" w:themeColor="text1"/>
          <w:kern w:val="0"/>
          <w:sz w:val="24"/>
          <w:szCs w:val="24"/>
          <w:u w:val="single"/>
          <w14:textFill>
            <w14:solidFill>
              <w14:schemeClr w14:val="tx1"/>
            </w14:solidFill>
          </w14:textFill>
        </w:rPr>
        <w:t>日上午09:00至2022年</w:t>
      </w:r>
      <w:r>
        <w:rPr>
          <w:rFonts w:ascii="宋体" w:hAnsi="宋体" w:cs="宋体"/>
          <w:color w:val="000000" w:themeColor="text1"/>
          <w:kern w:val="0"/>
          <w:sz w:val="24"/>
          <w:szCs w:val="24"/>
          <w:u w:val="single"/>
          <w14:textFill>
            <w14:solidFill>
              <w14:schemeClr w14:val="tx1"/>
            </w14:solidFill>
          </w14:textFill>
        </w:rPr>
        <w:t>5</w:t>
      </w:r>
      <w:r>
        <w:rPr>
          <w:rFonts w:hint="eastAsia" w:ascii="宋体" w:hAnsi="宋体" w:cs="宋体"/>
          <w:color w:val="000000" w:themeColor="text1"/>
          <w:kern w:val="0"/>
          <w:sz w:val="24"/>
          <w:szCs w:val="24"/>
          <w:u w:val="single"/>
          <w14:textFill>
            <w14:solidFill>
              <w14:schemeClr w14:val="tx1"/>
            </w14:solidFill>
          </w14:textFill>
        </w:rPr>
        <w:t>月</w:t>
      </w:r>
      <w:r>
        <w:rPr>
          <w:rFonts w:ascii="宋体" w:hAnsi="宋体" w:cs="宋体"/>
          <w:color w:val="000000" w:themeColor="text1"/>
          <w:kern w:val="0"/>
          <w:sz w:val="24"/>
          <w:szCs w:val="24"/>
          <w:u w:val="single"/>
          <w14:textFill>
            <w14:solidFill>
              <w14:schemeClr w14:val="tx1"/>
            </w14:solidFill>
          </w14:textFill>
        </w:rPr>
        <w:t>11</w:t>
      </w:r>
      <w:r>
        <w:rPr>
          <w:rFonts w:hint="eastAsia" w:ascii="宋体" w:hAnsi="宋体" w:cs="宋体"/>
          <w:color w:val="000000" w:themeColor="text1"/>
          <w:kern w:val="0"/>
          <w:sz w:val="24"/>
          <w:szCs w:val="24"/>
          <w:u w:val="single"/>
          <w14:textFill>
            <w14:solidFill>
              <w14:schemeClr w14:val="tx1"/>
            </w14:solidFill>
          </w14:textFill>
        </w:rPr>
        <w:t>日下午17:00</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2.领取方法：登录合肥文旅博览集团有限公司网站</w:t>
      </w:r>
      <w:r>
        <w:rPr>
          <w:rFonts w:ascii="宋体" w:hAnsi="宋体" w:cs="宋体"/>
          <w:color w:val="000000" w:themeColor="text1"/>
          <w:kern w:val="0"/>
          <w:sz w:val="24"/>
          <w:szCs w:val="24"/>
          <w14:textFill>
            <w14:solidFill>
              <w14:schemeClr w14:val="tx1"/>
            </w14:solidFill>
          </w14:textFill>
        </w:rPr>
        <w:t>http://www.zwzcgl.com</w:t>
      </w:r>
      <w:r>
        <w:rPr>
          <w:rFonts w:hint="eastAsia" w:ascii="宋体" w:hAnsi="宋体" w:cs="宋体"/>
          <w:color w:val="000000" w:themeColor="text1"/>
          <w:kern w:val="0"/>
          <w:sz w:val="24"/>
          <w:szCs w:val="24"/>
          <w14:textFill>
            <w14:solidFill>
              <w14:schemeClr w14:val="tx1"/>
            </w14:solidFill>
          </w14:textFill>
        </w:rPr>
        <w:t>下载标书</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3.报名方法：下载附件《××单位投××项目报名信息表》并完整填写信息后在规定的报名日期内发送至邮箱：</w:t>
      </w:r>
      <w:r>
        <w:fldChar w:fldCharType="begin"/>
      </w:r>
      <w:r>
        <w:instrText xml:space="preserve"> HYPERLINK "mailto:120156961@qq.com" </w:instrText>
      </w:r>
      <w:r>
        <w:fldChar w:fldCharType="separate"/>
      </w:r>
      <w:r>
        <w:rPr>
          <w:rStyle w:val="57"/>
          <w:rFonts w:cs="宋体"/>
          <w:color w:val="000000" w:themeColor="text1"/>
          <w:kern w:val="0"/>
          <w:sz w:val="24"/>
          <w:szCs w:val="24"/>
          <w14:textFill>
            <w14:solidFill>
              <w14:schemeClr w14:val="tx1"/>
            </w14:solidFill>
          </w14:textFill>
        </w:rPr>
        <w:t>120156961</w:t>
      </w:r>
      <w:r>
        <w:rPr>
          <w:rStyle w:val="57"/>
          <w:rFonts w:hint="eastAsia" w:cs="宋体"/>
          <w:color w:val="000000" w:themeColor="text1"/>
          <w:kern w:val="0"/>
          <w:sz w:val="24"/>
          <w:szCs w:val="24"/>
          <w14:textFill>
            <w14:solidFill>
              <w14:schemeClr w14:val="tx1"/>
            </w14:solidFill>
          </w14:textFill>
        </w:rPr>
        <w:t>@qq.com</w:t>
      </w:r>
      <w:r>
        <w:rPr>
          <w:rStyle w:val="57"/>
          <w:rFonts w:hint="eastAsia" w:cs="宋体"/>
          <w:color w:val="000000" w:themeColor="text1"/>
          <w:kern w:val="0"/>
          <w:sz w:val="24"/>
          <w:szCs w:val="24"/>
          <w14:textFill>
            <w14:solidFill>
              <w14:schemeClr w14:val="tx1"/>
            </w14:solidFill>
          </w14:textFill>
        </w:rPr>
        <w:fldChar w:fldCharType="end"/>
      </w:r>
    </w:p>
    <w:p>
      <w:pPr>
        <w:autoSpaceDE w:val="0"/>
        <w:autoSpaceDN w:val="0"/>
        <w:adjustRightInd w:val="0"/>
        <w:spacing w:line="360" w:lineRule="auto"/>
        <w:ind w:firstLine="200"/>
        <w:jc w:val="lef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四、投标保证金</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投标保证金缴纳详见第二章投标人须知前附表</w:t>
      </w:r>
    </w:p>
    <w:p>
      <w:pPr>
        <w:autoSpaceDE w:val="0"/>
        <w:autoSpaceDN w:val="0"/>
        <w:adjustRightInd w:val="0"/>
        <w:spacing w:line="360" w:lineRule="auto"/>
        <w:ind w:firstLine="200"/>
        <w:jc w:val="lef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五、开标时间及地点</w:t>
      </w:r>
    </w:p>
    <w:p>
      <w:pPr>
        <w:autoSpaceDE w:val="0"/>
        <w:autoSpaceDN w:val="0"/>
        <w:adjustRightInd w:val="0"/>
        <w:spacing w:line="360" w:lineRule="auto"/>
        <w:ind w:firstLine="200"/>
        <w:jc w:val="left"/>
        <w:rPr>
          <w:rFonts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1.开标时间：</w:t>
      </w:r>
      <w:r>
        <w:rPr>
          <w:rFonts w:hint="eastAsia" w:ascii="宋体" w:hAnsi="宋体" w:cs="宋体"/>
          <w:color w:val="000000" w:themeColor="text1"/>
          <w:kern w:val="0"/>
          <w:sz w:val="24"/>
          <w:szCs w:val="24"/>
          <w:u w:val="single"/>
          <w14:textFill>
            <w14:solidFill>
              <w14:schemeClr w14:val="tx1"/>
            </w14:solidFill>
          </w14:textFill>
        </w:rPr>
        <w:t>2022年</w:t>
      </w:r>
      <w:r>
        <w:rPr>
          <w:rFonts w:ascii="宋体" w:hAnsi="宋体" w:cs="宋体"/>
          <w:color w:val="000000" w:themeColor="text1"/>
          <w:kern w:val="0"/>
          <w:sz w:val="24"/>
          <w:szCs w:val="24"/>
          <w:u w:val="single"/>
          <w14:textFill>
            <w14:solidFill>
              <w14:schemeClr w14:val="tx1"/>
            </w14:solidFill>
          </w14:textFill>
        </w:rPr>
        <w:t>5</w:t>
      </w:r>
      <w:r>
        <w:rPr>
          <w:rFonts w:hint="eastAsia" w:ascii="宋体" w:hAnsi="宋体" w:cs="宋体"/>
          <w:color w:val="000000" w:themeColor="text1"/>
          <w:kern w:val="0"/>
          <w:sz w:val="24"/>
          <w:szCs w:val="24"/>
          <w:u w:val="single"/>
          <w14:textFill>
            <w14:solidFill>
              <w14:schemeClr w14:val="tx1"/>
            </w14:solidFill>
          </w14:textFill>
        </w:rPr>
        <w:t>月</w:t>
      </w:r>
      <w:r>
        <w:rPr>
          <w:rFonts w:ascii="宋体" w:hAnsi="宋体" w:cs="宋体"/>
          <w:color w:val="000000" w:themeColor="text1"/>
          <w:kern w:val="0"/>
          <w:sz w:val="24"/>
          <w:szCs w:val="24"/>
          <w:u w:val="single"/>
          <w14:textFill>
            <w14:solidFill>
              <w14:schemeClr w14:val="tx1"/>
            </w14:solidFill>
          </w14:textFill>
        </w:rPr>
        <w:t>13</w:t>
      </w:r>
      <w:r>
        <w:rPr>
          <w:rFonts w:hint="eastAsia" w:ascii="宋体" w:hAnsi="宋体" w:cs="宋体"/>
          <w:color w:val="000000" w:themeColor="text1"/>
          <w:kern w:val="0"/>
          <w:sz w:val="24"/>
          <w:szCs w:val="24"/>
          <w:u w:val="single"/>
          <w14:textFill>
            <w14:solidFill>
              <w14:schemeClr w14:val="tx1"/>
            </w14:solidFill>
          </w14:textFill>
        </w:rPr>
        <w:t>日</w:t>
      </w:r>
      <w:r>
        <w:rPr>
          <w:rFonts w:ascii="宋体" w:hAnsi="宋体" w:cs="宋体"/>
          <w:color w:val="000000" w:themeColor="text1"/>
          <w:kern w:val="0"/>
          <w:sz w:val="24"/>
          <w:szCs w:val="24"/>
          <w:u w:val="single"/>
          <w14:textFill>
            <w14:solidFill>
              <w14:schemeClr w14:val="tx1"/>
            </w14:solidFill>
          </w14:textFill>
        </w:rPr>
        <w:t>9</w:t>
      </w:r>
      <w:r>
        <w:rPr>
          <w:rFonts w:hint="eastAsia" w:ascii="宋体" w:hAnsi="宋体" w:cs="宋体"/>
          <w:color w:val="000000" w:themeColor="text1"/>
          <w:kern w:val="0"/>
          <w:sz w:val="24"/>
          <w:szCs w:val="24"/>
          <w:u w:val="single"/>
          <w14:textFill>
            <w14:solidFill>
              <w14:schemeClr w14:val="tx1"/>
            </w14:solidFill>
          </w14:textFill>
        </w:rPr>
        <w:t>：00</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2.开标地点：合肥市蜀山区习友路与茂荫路交口投资大厦</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楼多功能厅</w:t>
      </w:r>
    </w:p>
    <w:p>
      <w:pPr>
        <w:autoSpaceDE w:val="0"/>
        <w:autoSpaceDN w:val="0"/>
        <w:adjustRightInd w:val="0"/>
        <w:spacing w:line="360" w:lineRule="auto"/>
        <w:ind w:firstLine="200"/>
        <w:jc w:val="lef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六、投标截止时间</w:t>
      </w:r>
    </w:p>
    <w:p>
      <w:pPr>
        <w:autoSpaceDE w:val="0"/>
        <w:autoSpaceDN w:val="0"/>
        <w:adjustRightInd w:val="0"/>
        <w:spacing w:line="360" w:lineRule="auto"/>
        <w:ind w:firstLine="200"/>
        <w:jc w:val="left"/>
        <w:rPr>
          <w:rFonts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u w:val="single"/>
          <w14:textFill>
            <w14:solidFill>
              <w14:schemeClr w14:val="tx1"/>
            </w14:solidFill>
          </w14:textFill>
        </w:rPr>
        <w:t>2022年5月13日9：00</w:t>
      </w:r>
    </w:p>
    <w:p>
      <w:pPr>
        <w:autoSpaceDE w:val="0"/>
        <w:autoSpaceDN w:val="0"/>
        <w:adjustRightInd w:val="0"/>
        <w:spacing w:line="360" w:lineRule="auto"/>
        <w:ind w:firstLine="200"/>
        <w:jc w:val="lef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七、联系方法</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招 标 人：合肥文旅博览集团有限公司</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    址：合肥市蜀山区习友路与茂荫路交口投资大厦</w:t>
      </w:r>
    </w:p>
    <w:p>
      <w:pPr>
        <w:autoSpaceDE w:val="0"/>
        <w:autoSpaceDN w:val="0"/>
        <w:adjustRightInd w:val="0"/>
        <w:spacing w:line="360" w:lineRule="auto"/>
        <w:ind w:firstLine="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 系 人：胡工   电话：0551-63530687</w:t>
      </w:r>
    </w:p>
    <w:bookmarkEnd w:id="211"/>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pStyle w:val="50"/>
        <w:rPr>
          <w:color w:val="000000" w:themeColor="text1"/>
          <w14:textFill>
            <w14:solidFill>
              <w14:schemeClr w14:val="tx1"/>
            </w14:solidFill>
          </w14:textFill>
        </w:rPr>
      </w:pPr>
    </w:p>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autoSpaceDE w:val="0"/>
        <w:autoSpaceDN w:val="0"/>
        <w:adjustRightInd w:val="0"/>
        <w:spacing w:line="360" w:lineRule="auto"/>
        <w:outlineLvl w:val="0"/>
        <w:rPr>
          <w:rFonts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jc w:val="center"/>
        <w:outlineLvl w:val="0"/>
        <w:rPr>
          <w:rFonts w:ascii="宋体" w:hAnsi="宋体"/>
          <w:bCs/>
          <w:color w:val="000000" w:themeColor="text1"/>
          <w:sz w:val="24"/>
          <w:szCs w:val="24"/>
          <w14:textFill>
            <w14:solidFill>
              <w14:schemeClr w14:val="tx1"/>
            </w14:solidFill>
          </w14:textFill>
        </w:rPr>
      </w:pPr>
      <w:bookmarkStart w:id="7" w:name="_Toc102633620"/>
      <w:r>
        <w:rPr>
          <w:rFonts w:hint="eastAsia" w:ascii="宋体" w:hAnsi="宋体"/>
          <w:b/>
          <w:bCs/>
          <w:color w:val="000000" w:themeColor="text1"/>
          <w:sz w:val="32"/>
          <w:szCs w:val="32"/>
          <w14:textFill>
            <w14:solidFill>
              <w14:schemeClr w14:val="tx1"/>
            </w14:solidFill>
          </w14:textFill>
        </w:rPr>
        <w:t>第二章 投标人须</w:t>
      </w:r>
      <w:bookmarkEnd w:id="5"/>
      <w:r>
        <w:rPr>
          <w:rFonts w:hint="eastAsia" w:ascii="宋体" w:hAnsi="宋体"/>
          <w:b/>
          <w:bCs/>
          <w:color w:val="000000" w:themeColor="text1"/>
          <w:sz w:val="32"/>
          <w:szCs w:val="32"/>
          <w14:textFill>
            <w14:solidFill>
              <w14:schemeClr w14:val="tx1"/>
            </w14:solidFill>
          </w14:textFill>
        </w:rPr>
        <w:t>知</w:t>
      </w:r>
      <w:bookmarkEnd w:id="6"/>
      <w:r>
        <w:rPr>
          <w:rFonts w:hint="eastAsia" w:ascii="宋体" w:hAnsi="宋体"/>
          <w:b/>
          <w:bCs/>
          <w:color w:val="000000" w:themeColor="text1"/>
          <w:sz w:val="32"/>
          <w:szCs w:val="32"/>
          <w14:textFill>
            <w14:solidFill>
              <w14:schemeClr w14:val="tx1"/>
            </w14:solidFill>
          </w14:textFill>
        </w:rPr>
        <w:t>前附表</w:t>
      </w:r>
      <w:bookmarkEnd w:id="7"/>
    </w:p>
    <w:tbl>
      <w:tblPr>
        <w:tblStyle w:val="5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559"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7077" w:type="dxa"/>
            <w:vAlign w:val="center"/>
          </w:tcPr>
          <w:p>
            <w:pPr>
              <w:pStyle w:val="75"/>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66"/>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55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7077" w:type="dxa"/>
            <w:vAlign w:val="center"/>
          </w:tcPr>
          <w:p>
            <w:pPr>
              <w:pStyle w:val="75"/>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p>
        </w:tc>
        <w:tc>
          <w:tcPr>
            <w:tcW w:w="155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委托人</w:t>
            </w:r>
          </w:p>
        </w:tc>
        <w:tc>
          <w:tcPr>
            <w:tcW w:w="7077" w:type="dxa"/>
            <w:vAlign w:val="center"/>
          </w:tcPr>
          <w:p>
            <w:pPr>
              <w:pStyle w:val="75"/>
              <w:widowControl w:val="0"/>
              <w:spacing w:before="0" w:beforeAutospacing="0" w:after="0" w:afterAutospacing="0"/>
              <w:jc w:val="both"/>
              <w:rPr>
                <w:b w:val="0"/>
                <w:bCs w:val="0"/>
                <w:color w:val="000000" w:themeColor="text1"/>
                <w:sz w:val="24"/>
                <w:szCs w:val="18"/>
                <w14:textFill>
                  <w14:solidFill>
                    <w14:schemeClr w14:val="tx1"/>
                  </w14:solidFill>
                </w14:textFill>
              </w:rPr>
            </w:pPr>
            <w:r>
              <w:rPr>
                <w:rFonts w:hint="eastAsia"/>
                <w:b w:val="0"/>
                <w:bCs w:val="0"/>
                <w:color w:val="000000" w:themeColor="text1"/>
                <w:sz w:val="24"/>
                <w:szCs w:val="18"/>
                <w14:textFill>
                  <w14:solidFill>
                    <w14:schemeClr w14:val="tx1"/>
                  </w14:solidFill>
                </w14:textFill>
              </w:rPr>
              <w:t>合肥体育产业投资有限公司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077" w:type="dxa"/>
            <w:vAlign w:val="center"/>
          </w:tcPr>
          <w:p>
            <w:pPr>
              <w:tabs>
                <w:tab w:val="left" w:pos="2410"/>
              </w:tabs>
              <w:autoSpaceDE w:val="0"/>
              <w:autoSpaceDN w:val="0"/>
              <w:adjustRightInd w:val="0"/>
              <w:snapToGrid w:val="0"/>
              <w:spacing w:line="360" w:lineRule="auto"/>
              <w:rPr>
                <w:rFonts w:ascii="宋体" w:hAnsi="宋体"/>
                <w:color w:val="000000" w:themeColor="text1"/>
                <w:kern w:val="0"/>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合肥体育中心游泳馆泳池投药系统采购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p>
        </w:tc>
        <w:tc>
          <w:tcPr>
            <w:tcW w:w="1559" w:type="dxa"/>
            <w:vAlign w:val="center"/>
          </w:tcPr>
          <w:p>
            <w:pPr>
              <w:jc w:val="center"/>
              <w:rPr>
                <w:rFonts w:ascii="宋体" w:hAnsi="宋体"/>
                <w:color w:val="000000" w:themeColor="text1"/>
                <w:kern w:val="0"/>
                <w:sz w:val="24"/>
                <w:szCs w:val="18"/>
                <w14:textFill>
                  <w14:solidFill>
                    <w14:schemeClr w14:val="tx1"/>
                  </w14:solidFill>
                </w14:textFill>
              </w:rPr>
            </w:pPr>
            <w:r>
              <w:rPr>
                <w:rFonts w:hint="eastAsia" w:ascii="宋体" w:hAnsi="宋体"/>
                <w:color w:val="000000" w:themeColor="text1"/>
                <w:kern w:val="0"/>
                <w:sz w:val="24"/>
                <w:szCs w:val="18"/>
                <w14:textFill>
                  <w14:solidFill>
                    <w14:schemeClr w14:val="tx1"/>
                  </w14:solidFill>
                </w14:textFill>
              </w:rPr>
              <w:t>项目编号</w:t>
            </w:r>
          </w:p>
        </w:tc>
        <w:tc>
          <w:tcPr>
            <w:tcW w:w="7077" w:type="dxa"/>
            <w:vAlign w:val="center"/>
          </w:tcPr>
          <w:p>
            <w:pPr>
              <w:autoSpaceDE w:val="0"/>
              <w:autoSpaceDN w:val="0"/>
              <w:adjustRightInd w:val="0"/>
              <w:spacing w:line="430" w:lineRule="exact"/>
              <w:jc w:val="left"/>
              <w:rPr>
                <w:rFonts w:ascii="宋体" w:hAnsi="宋体"/>
                <w:color w:val="000000" w:themeColor="text1"/>
                <w:kern w:val="0"/>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2022WLBLZB00017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项目性质</w:t>
            </w:r>
          </w:p>
        </w:tc>
        <w:tc>
          <w:tcPr>
            <w:tcW w:w="7077" w:type="dxa"/>
            <w:vAlign w:val="center"/>
          </w:tcPr>
          <w:p>
            <w:pPr>
              <w:pStyle w:val="75"/>
              <w:widowControl w:val="0"/>
              <w:spacing w:before="0" w:beforeAutospacing="0" w:after="0" w:afterAutospacing="0"/>
              <w:jc w:val="both"/>
              <w:rPr>
                <w:b w:val="0"/>
                <w:bCs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资金来源</w:t>
            </w:r>
          </w:p>
        </w:tc>
        <w:tc>
          <w:tcPr>
            <w:tcW w:w="7077" w:type="dxa"/>
            <w:vAlign w:val="center"/>
          </w:tcPr>
          <w:p>
            <w:pPr>
              <w:pStyle w:val="75"/>
              <w:widowControl w:val="0"/>
              <w:spacing w:before="0" w:beforeAutospacing="0" w:after="0" w:afterAutospacing="0"/>
              <w:jc w:val="both"/>
              <w:rPr>
                <w:b w:val="0"/>
                <w:bCs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 xml:space="preserve">□财政投资    </w:t>
            </w:r>
            <w:r>
              <w:rPr>
                <w:rFonts w:hint="eastAsia"/>
                <w:b w:val="0"/>
                <w:bCs w:val="0"/>
                <w:color w:val="000000" w:themeColor="text1"/>
                <w:sz w:val="24"/>
                <w14:textFill>
                  <w14:solidFill>
                    <w14:schemeClr w14:val="tx1"/>
                  </w14:solidFill>
                </w14:textFill>
              </w:rPr>
              <w:sym w:font="Wingdings" w:char="F0FE"/>
            </w:r>
            <w:r>
              <w:rPr>
                <w:rFonts w:hint="eastAsia"/>
                <w:b w:val="0"/>
                <w:bCs w:val="0"/>
                <w:color w:val="000000" w:themeColor="text1"/>
                <w:sz w:val="24"/>
                <w14:textFill>
                  <w14:solidFill>
                    <w14:schemeClr w14:val="tx1"/>
                  </w14:solidFill>
                </w14:textFill>
              </w:rPr>
              <w:t>委托人</w:t>
            </w:r>
            <w:r>
              <w:rPr>
                <w:rFonts w:hint="eastAsia"/>
                <w:b w:val="0"/>
                <w:color w:val="000000" w:themeColor="text1"/>
                <w:sz w:val="24"/>
                <w14:textFill>
                  <w14:solidFill>
                    <w14:schemeClr w14:val="tx1"/>
                  </w14:solidFill>
                </w14:textFill>
              </w:rPr>
              <w:t xml:space="preserve">自筹    </w:t>
            </w:r>
            <w:r>
              <w:rPr>
                <w:rFonts w:hint="eastAsia"/>
                <w:b w:val="0"/>
                <w:bCs w:val="0"/>
                <w:color w:val="000000" w:themeColor="text1"/>
                <w:sz w:val="24"/>
                <w14:textFill>
                  <w14:solidFill>
                    <w14:schemeClr w14:val="tx1"/>
                  </w14:solidFill>
                </w14:textFill>
              </w:rPr>
              <w:t>□</w:t>
            </w:r>
            <w:r>
              <w:rPr>
                <w:rFonts w:hint="eastAsia"/>
                <w:b w:val="0"/>
                <w:color w:val="000000" w:themeColor="text1"/>
                <w:sz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w:t>
            </w:r>
          </w:p>
        </w:tc>
        <w:tc>
          <w:tcPr>
            <w:tcW w:w="1559" w:type="dxa"/>
          </w:tcPr>
          <w:p>
            <w:pPr>
              <w:spacing w:line="500" w:lineRule="exact"/>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标段划分</w:t>
            </w:r>
          </w:p>
        </w:tc>
        <w:tc>
          <w:tcPr>
            <w:tcW w:w="7077" w:type="dxa"/>
            <w:vAlign w:val="center"/>
          </w:tcPr>
          <w:p>
            <w:pPr>
              <w:spacing w:line="500" w:lineRule="exact"/>
              <w:ind w:left="841" w:hanging="841"/>
              <w:rPr>
                <w:rFonts w:ascii="宋体" w:hAnsi="宋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sym w:font="Wingdings" w:char="F0FE"/>
            </w:r>
            <w:r>
              <w:rPr>
                <w:rFonts w:hint="eastAsia" w:ascii="宋体" w:hAnsi="宋体"/>
                <w:color w:val="000000" w:themeColor="text1"/>
                <w:sz w:val="24"/>
                <w14:textFill>
                  <w14:solidFill>
                    <w14:schemeClr w14:val="tx1"/>
                  </w14:solidFill>
                </w14:textFill>
              </w:rPr>
              <w:t>不分标段   □分为  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09" w:type="dxa"/>
            <w:vAlign w:val="center"/>
          </w:tcPr>
          <w:p>
            <w:pPr>
              <w:spacing w:line="500" w:lineRule="exact"/>
              <w:ind w:right="102"/>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8</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7077" w:type="dxa"/>
          </w:tcPr>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合同签订后，中标人产品到货安装完成并经委托人验收合格后1</w:t>
            </w:r>
            <w:r>
              <w:rPr>
                <w:rFonts w:ascii="宋体" w:hAnsi="宋体"/>
                <w:bCs/>
                <w:color w:val="000000" w:themeColor="text1"/>
                <w:sz w:val="24"/>
                <w14:textFill>
                  <w14:solidFill>
                    <w14:schemeClr w14:val="tx1"/>
                  </w14:solidFill>
                </w14:textFill>
              </w:rPr>
              <w:t>0</w:t>
            </w:r>
            <w:r>
              <w:rPr>
                <w:rFonts w:hint="eastAsia" w:ascii="宋体" w:hAnsi="宋体"/>
                <w:bCs/>
                <w:color w:val="000000" w:themeColor="text1"/>
                <w:sz w:val="24"/>
                <w14:textFill>
                  <w14:solidFill>
                    <w14:schemeClr w14:val="tx1"/>
                  </w14:solidFill>
                </w14:textFill>
              </w:rPr>
              <w:t>个工作日内支付至中标价97%，质保期（2年）满后回访无质量问题支付余款（无息）。</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付款前中标人需向委托人交付等额的合法有效的增值税专用发票（税</w:t>
            </w:r>
            <w:r>
              <w:rPr>
                <w:rFonts w:hint="eastAsia" w:ascii="宋体" w:hAnsi="宋体"/>
                <w:bCs/>
                <w:color w:val="000000" w:themeColor="text1"/>
                <w:sz w:val="24"/>
                <w:highlight w:val="yellow"/>
                <w14:textFill>
                  <w14:solidFill>
                    <w14:schemeClr w14:val="tx1"/>
                  </w14:solidFill>
                </w14:textFill>
              </w:rPr>
              <w:t>率13%</w:t>
            </w:r>
            <w:r>
              <w:rPr>
                <w:rFonts w:hint="eastAsia" w:ascii="宋体" w:hAnsi="宋体"/>
                <w:bCs/>
                <w:color w:val="000000" w:themeColor="text1"/>
                <w:sz w:val="24"/>
                <w14:textFill>
                  <w14:solidFill>
                    <w14:schemeClr w14:val="tx1"/>
                  </w14:solidFill>
                </w14:textFill>
              </w:rPr>
              <w:t>），否则委托人有权拒绝或者延迟付款，且不承担违约责任。</w:t>
            </w:r>
          </w:p>
          <w:p>
            <w:pPr>
              <w:spacing w:line="360" w:lineRule="auto"/>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联合体投标</w:t>
            </w:r>
          </w:p>
        </w:tc>
        <w:tc>
          <w:tcPr>
            <w:tcW w:w="7077"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zh-CN"/>
                <w14:textFill>
                  <w14:solidFill>
                    <w14:schemeClr w14:val="tx1"/>
                  </w14:solidFill>
                </w14:textFill>
              </w:rPr>
              <w:t xml:space="preserve">接受  </w:t>
            </w:r>
            <w:r>
              <w:rPr>
                <w:b/>
                <w:bCs/>
                <w:color w:val="000000" w:themeColor="text1"/>
                <w:sz w:val="24"/>
                <w14:textFill>
                  <w14:solidFill>
                    <w14:schemeClr w14:val="tx1"/>
                  </w14:solidFill>
                </w14:textFill>
              </w:rPr>
              <w:sym w:font="Wingdings" w:char="F0FE"/>
            </w:r>
            <w:r>
              <w:rPr>
                <w:rFonts w:hint="eastAsia" w:ascii="宋体" w:hAnsi="宋体"/>
                <w:color w:val="000000" w:themeColor="text1"/>
                <w:sz w:val="24"/>
                <w14:textFill>
                  <w14:solidFill>
                    <w14:schemeClr w14:val="tx1"/>
                  </w14:solidFill>
                </w14:textFill>
              </w:rPr>
              <w:t>不</w:t>
            </w:r>
            <w:r>
              <w:rPr>
                <w:rFonts w:hint="eastAsia" w:ascii="宋体" w:hAnsi="宋体"/>
                <w:color w:val="000000" w:themeColor="text1"/>
                <w:sz w:val="24"/>
                <w:lang w:val="zh-CN"/>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投标有效期</w:t>
            </w:r>
          </w:p>
        </w:tc>
        <w:tc>
          <w:tcPr>
            <w:tcW w:w="7077" w:type="dxa"/>
            <w:vAlign w:val="center"/>
          </w:tcPr>
          <w:p>
            <w:pPr>
              <w:spacing w:line="500" w:lineRule="exac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供货地点</w:t>
            </w:r>
          </w:p>
        </w:tc>
        <w:tc>
          <w:tcPr>
            <w:tcW w:w="7077" w:type="dxa"/>
            <w:vAlign w:val="center"/>
          </w:tcPr>
          <w:p>
            <w:pPr>
              <w:spacing w:line="500" w:lineRule="exac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合肥体育中心游泳馆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供货期限</w:t>
            </w:r>
          </w:p>
        </w:tc>
        <w:tc>
          <w:tcPr>
            <w:tcW w:w="7077" w:type="dxa"/>
            <w:vAlign w:val="center"/>
          </w:tcPr>
          <w:p>
            <w:pPr>
              <w:autoSpaceDE w:val="0"/>
              <w:autoSpaceDN w:val="0"/>
              <w:adjustRightInd w:val="0"/>
              <w:spacing w:line="440" w:lineRule="exact"/>
              <w:jc w:val="left"/>
              <w:rPr>
                <w:rFonts w:ascii="宋体" w:hAnsi="宋体" w:cs="宋体"/>
                <w:b/>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合肥体育中心游泳馆：自合同签订之日起10个工作日内。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1559" w:type="dxa"/>
            <w:vAlign w:val="center"/>
          </w:tcPr>
          <w:p>
            <w:pPr>
              <w:spacing w:line="500" w:lineRule="exact"/>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免费质保期</w:t>
            </w:r>
          </w:p>
        </w:tc>
        <w:tc>
          <w:tcPr>
            <w:tcW w:w="7077" w:type="dxa"/>
            <w:vAlign w:val="center"/>
          </w:tcPr>
          <w:p>
            <w:pPr>
              <w:adjustRightInd w:val="0"/>
              <w:spacing w:line="460" w:lineRule="exact"/>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自全部设备安装完毕并经委托人验收合格之日起二年。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w:t>
            </w:r>
          </w:p>
        </w:tc>
        <w:tc>
          <w:tcPr>
            <w:tcW w:w="1559" w:type="dxa"/>
            <w:vAlign w:val="center"/>
          </w:tcPr>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踏勘现场</w:t>
            </w:r>
          </w:p>
        </w:tc>
        <w:tc>
          <w:tcPr>
            <w:tcW w:w="7077" w:type="dxa"/>
            <w:vAlign w:val="center"/>
          </w:tcPr>
          <w:p>
            <w:pPr>
              <w:spacing w:line="500" w:lineRule="exact"/>
              <w:rPr>
                <w:rFonts w:ascii="宋体" w:hAnsi="宋体"/>
                <w:color w:val="000000" w:themeColor="text1"/>
                <w:sz w:val="24"/>
                <w:lang w:val="zh-CN"/>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自行踏勘  </w:t>
            </w:r>
            <w:r>
              <w:rPr>
                <w:rFonts w:hint="eastAsia" w:ascii="宋体" w:hAnsi="宋体"/>
                <w:color w:val="000000" w:themeColor="text1"/>
                <w:sz w:val="24"/>
                <w14:textFill>
                  <w14:solidFill>
                    <w14:schemeClr w14:val="tx1"/>
                  </w14:solidFill>
                </w14:textFill>
              </w:rPr>
              <w:t>□招标人</w:t>
            </w:r>
            <w:r>
              <w:rPr>
                <w:rFonts w:hint="eastAsia" w:ascii="宋体" w:hAnsi="宋体"/>
                <w:color w:val="000000" w:themeColor="text1"/>
                <w:sz w:val="24"/>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p>
        </w:tc>
        <w:tc>
          <w:tcPr>
            <w:tcW w:w="1559" w:type="dxa"/>
            <w:vAlign w:val="center"/>
          </w:tcPr>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投标文件</w:t>
            </w:r>
          </w:p>
        </w:tc>
        <w:tc>
          <w:tcPr>
            <w:tcW w:w="7077" w:type="dxa"/>
            <w:vAlign w:val="center"/>
          </w:tcPr>
          <w:p>
            <w:pPr>
              <w:spacing w:line="500" w:lineRule="exact"/>
              <w:rPr>
                <w:b/>
                <w:bCs/>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正、副本各一，装订成册并封装于一个文件袋内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开标时间</w:t>
            </w:r>
          </w:p>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及地点</w:t>
            </w:r>
          </w:p>
        </w:tc>
        <w:tc>
          <w:tcPr>
            <w:tcW w:w="7077" w:type="dxa"/>
            <w:vAlign w:val="center"/>
          </w:tcPr>
          <w:p>
            <w:pPr>
              <w:spacing w:line="500" w:lineRule="exact"/>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开标时间：</w:t>
            </w:r>
            <w:r>
              <w:rPr>
                <w:rFonts w:hint="eastAsia" w:ascii="宋体" w:hAnsi="宋体"/>
                <w:color w:val="000000" w:themeColor="text1"/>
                <w:sz w:val="24"/>
                <w:lang w:val="zh-CN"/>
                <w14:textFill>
                  <w14:solidFill>
                    <w14:schemeClr w14:val="tx1"/>
                  </w14:solidFill>
                </w14:textFill>
              </w:rPr>
              <w:t>详见招标公告</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开标地点：</w:t>
            </w:r>
            <w:r>
              <w:rPr>
                <w:rFonts w:hint="eastAsia" w:ascii="宋体" w:hAnsi="宋体"/>
                <w:color w:val="000000" w:themeColor="text1"/>
                <w:sz w:val="24"/>
                <w:lang w:val="zh-CN"/>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评标办法</w:t>
            </w:r>
          </w:p>
        </w:tc>
        <w:tc>
          <w:tcPr>
            <w:tcW w:w="7077"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综合评分法。</w:t>
            </w:r>
            <w:r>
              <w:rPr>
                <w:rFonts w:hint="eastAsia" w:ascii="宋体" w:hAnsi="宋体"/>
                <w:color w:val="000000" w:themeColor="text1"/>
                <w:sz w:val="24"/>
                <w14:textFill>
                  <w14:solidFill>
                    <w14:schemeClr w14:val="tx1"/>
                  </w14:solidFill>
                </w14:textFill>
              </w:rPr>
              <w:t>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p>
        </w:tc>
        <w:tc>
          <w:tcPr>
            <w:tcW w:w="1559" w:type="dxa"/>
            <w:vAlign w:val="center"/>
          </w:tcPr>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u w:color="FFFFFF"/>
                <w14:textFill>
                  <w14:solidFill>
                    <w14:schemeClr w14:val="tx1"/>
                  </w14:solidFill>
                </w14:textFill>
              </w:rPr>
              <w:t>踏勘</w:t>
            </w:r>
            <w:r>
              <w:rPr>
                <w:rFonts w:hint="eastAsia" w:ascii="宋体" w:hAnsi="宋体"/>
                <w:bCs/>
                <w:color w:val="000000" w:themeColor="text1"/>
                <w:sz w:val="24"/>
                <w14:textFill>
                  <w14:solidFill>
                    <w14:schemeClr w14:val="tx1"/>
                  </w14:solidFill>
                </w14:textFill>
              </w:rPr>
              <w:t>现场</w:t>
            </w:r>
          </w:p>
        </w:tc>
        <w:tc>
          <w:tcPr>
            <w:tcW w:w="7077" w:type="dxa"/>
            <w:vAlign w:val="center"/>
          </w:tcPr>
          <w:p>
            <w:pPr>
              <w:spacing w:line="500" w:lineRule="exact"/>
              <w:rPr>
                <w:rFonts w:ascii="宋体" w:hAnsi="宋体"/>
                <w:color w:val="000000" w:themeColor="text1"/>
                <w:sz w:val="24"/>
                <w:lang w:val="zh-CN"/>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自行</w:t>
            </w:r>
            <w:r>
              <w:rPr>
                <w:rFonts w:hint="eastAsia" w:ascii="宋体" w:hAnsi="宋体"/>
                <w:bCs/>
                <w:color w:val="000000" w:themeColor="text1"/>
                <w:sz w:val="24"/>
                <w:u w:color="FFFFFF"/>
                <w14:textFill>
                  <w14:solidFill>
                    <w14:schemeClr w14:val="tx1"/>
                  </w14:solidFill>
                </w14:textFill>
              </w:rPr>
              <w:t>踏勘</w:t>
            </w:r>
            <w:r>
              <w:rPr>
                <w:rFonts w:hint="eastAsia" w:ascii="宋体" w:hAnsi="宋体"/>
                <w:bCs/>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□招标人</w:t>
            </w:r>
            <w:r>
              <w:rPr>
                <w:rFonts w:hint="eastAsia" w:ascii="宋体" w:hAnsi="宋体"/>
                <w:color w:val="000000" w:themeColor="text1"/>
                <w:sz w:val="24"/>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投标保证金金额</w:t>
            </w:r>
          </w:p>
        </w:tc>
        <w:tc>
          <w:tcPr>
            <w:tcW w:w="7077" w:type="dxa"/>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人民币大写：</w:t>
            </w:r>
            <w:r>
              <w:rPr>
                <w:rFonts w:hint="eastAsia" w:ascii="宋体" w:hAnsi="宋体"/>
                <w:color w:val="000000" w:themeColor="text1"/>
                <w:sz w:val="24"/>
                <w:szCs w:val="24"/>
                <w:u w:val="single"/>
                <w14:textFill>
                  <w14:solidFill>
                    <w14:schemeClr w14:val="tx1"/>
                  </w14:solidFill>
                </w14:textFill>
              </w:rPr>
              <w:t>贰仟贰佰元整（￥2200.00），</w:t>
            </w:r>
            <w:r>
              <w:rPr>
                <w:rFonts w:hint="eastAsia" w:ascii="宋体" w:hAnsi="宋体"/>
                <w:color w:val="000000" w:themeColor="text1"/>
                <w:sz w:val="24"/>
                <w:szCs w:val="24"/>
                <w14:textFill>
                  <w14:solidFill>
                    <w14:schemeClr w14:val="tx1"/>
                  </w14:solidFill>
                </w14:textFill>
              </w:rPr>
              <w:t>投标保证金应当在报名截止时间前足额金额转入本次招标公告指定账号（项目多标的，应向所投标的对应账号交纳），且应当从投标人本单位账号转出。</w:t>
            </w:r>
          </w:p>
          <w:p>
            <w:pPr>
              <w:widowControl/>
              <w:jc w:val="left"/>
              <w:rPr>
                <w:color w:val="000000" w:themeColor="text1"/>
                <w:spacing w:val="-5"/>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投标保证金交纳账号</w:t>
            </w:r>
          </w:p>
        </w:tc>
        <w:tc>
          <w:tcPr>
            <w:tcW w:w="7077" w:type="dxa"/>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单位名称：合肥文旅博览集团有限公司</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开户银行账号：1302010509200182305</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开户银行：中国工商银行合肥望江路支行</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（1）转帐时请备注“××项目投标保证金，并将转账凭证扫描件发送至120156961@qq.com邮箱；</w:t>
            </w:r>
          </w:p>
          <w:p>
            <w:pPr>
              <w:spacing w:line="360" w:lineRule="auto"/>
              <w:rPr>
                <w:color w:val="000000" w:themeColor="text1"/>
                <w:spacing w:val="-5"/>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w:t>
            </w:r>
          </w:p>
        </w:tc>
        <w:tc>
          <w:tcPr>
            <w:tcW w:w="1559" w:type="dxa"/>
            <w:vAlign w:val="center"/>
          </w:tcPr>
          <w:p>
            <w:pPr>
              <w:spacing w:line="500" w:lineRule="exact"/>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履约保证金</w:t>
            </w:r>
          </w:p>
        </w:tc>
        <w:tc>
          <w:tcPr>
            <w:tcW w:w="7077" w:type="dxa"/>
            <w:vAlign w:val="center"/>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1.履约保证金数额：中标价的</w:t>
            </w:r>
            <w:r>
              <w:rPr>
                <w:rFonts w:hint="eastAsia" w:ascii="宋体" w:hAnsi="宋体"/>
                <w:color w:val="000000" w:themeColor="text1"/>
                <w:sz w:val="24"/>
                <w:szCs w:val="24"/>
                <w:u w:val="single"/>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w:t>
            </w:r>
          </w:p>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2.收受方式为：□现金保证 □现金支票 □银行汇票</w:t>
            </w:r>
          </w:p>
          <w:p>
            <w:pPr>
              <w:adjustRightInd w:val="0"/>
              <w:snapToGrid w:val="0"/>
              <w:spacing w:line="360" w:lineRule="auto"/>
              <w:ind w:firstLine="840" w:firstLineChars="3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□银行保函</w:t>
            </w:r>
            <w:r>
              <w:rPr>
                <w:rFonts w:hint="eastAsia" w:ascii="MS Mincho" w:hAnsi="MS Mincho" w:eastAsia="MS Mincho" w:cs="MS Mincho"/>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银行转账 □工程担保  □保证保险</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3.收受人为:□招标人 </w:t>
            </w:r>
            <w:r>
              <w:rPr>
                <w:rFonts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sym w:font="Wingdings" w:char="F0FE"/>
            </w:r>
            <w:r>
              <w:rPr>
                <w:rFonts w:hint="eastAsia" w:ascii="宋体" w:hAnsi="宋体"/>
                <w:color w:val="000000" w:themeColor="text1"/>
                <w:sz w:val="24"/>
                <w:szCs w:val="24"/>
                <w14:textFill>
                  <w14:solidFill>
                    <w14:schemeClr w14:val="tx1"/>
                  </w14:solidFill>
                </w14:textFill>
              </w:rPr>
              <w:t>委托人</w:t>
            </w:r>
          </w:p>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4.提交时限：合同签订前按规定提交履约保证金，若中标人在规定时限内未提交保证金的，招标人将书面通知中标人，</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日内不能办理的，招标人将有权取消其中标资格。</w:t>
            </w:r>
          </w:p>
          <w:p>
            <w:pPr>
              <w:adjustRightInd w:val="0"/>
              <w:snapToGrid w:val="0"/>
              <w:spacing w:line="44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5.退还：</w:t>
            </w:r>
            <w:r>
              <w:rPr>
                <w:rFonts w:hint="eastAsia" w:ascii="宋体" w:hAnsi="宋体"/>
                <w:color w:val="000000" w:themeColor="text1"/>
                <w:sz w:val="24"/>
                <w:szCs w:val="24"/>
                <w:u w:val="single"/>
                <w14:textFill>
                  <w14:solidFill>
                    <w14:schemeClr w14:val="tx1"/>
                  </w14:solidFill>
                </w14:textFill>
              </w:rPr>
              <w:t>合同履行完成后30日内一次性无息退还。</w:t>
            </w:r>
            <w:r>
              <w:rPr>
                <w:rFonts w:hint="eastAsia" w:ascii="宋体" w:hAnsi="宋体"/>
                <w:color w:val="000000" w:themeColor="text1"/>
                <w:sz w:val="24"/>
                <w:szCs w:val="24"/>
                <w14:textFill>
                  <w14:solidFill>
                    <w14:schemeClr w14:val="tx1"/>
                  </w14:solidFill>
                </w14:textFill>
              </w:rPr>
              <w:t xml:space="preserve">         </w:t>
            </w:r>
          </w:p>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6.如采用银行保函，银行保函由合肥本地银行或在合肥具有分支机构的银行出具的见索即付无条件保函。</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7.如采用工程担保，工程担保由注册地在合肥市或在合肥具有分支机构的国有担保公司出具的无条件担保。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业绩要求</w:t>
            </w:r>
          </w:p>
        </w:tc>
        <w:tc>
          <w:tcPr>
            <w:tcW w:w="7077"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本招标文件中要求的业绩须为:</w:t>
            </w:r>
          </w:p>
          <w:p>
            <w:pPr>
              <w:spacing w:line="50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sym w:font="Wingdings 2" w:char="0052"/>
            </w:r>
            <w:r>
              <w:rPr>
                <w:rFonts w:hint="eastAsia" w:ascii="宋体" w:hAnsi="宋体"/>
                <w:b/>
                <w:bCs/>
                <w:color w:val="000000" w:themeColor="text1"/>
                <w:sz w:val="24"/>
                <w:szCs w:val="24"/>
                <w14:textFill>
                  <w14:solidFill>
                    <w14:schemeClr w14:val="tx1"/>
                  </w14:solidFill>
                </w14:textFill>
              </w:rPr>
              <w:t>已完成的业绩：投标文件中提供业绩合同扫描件。</w:t>
            </w:r>
          </w:p>
          <w:p>
            <w:pPr>
              <w:spacing w:line="50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sym w:font="Wingdings 2" w:char="00A3"/>
            </w:r>
            <w:r>
              <w:rPr>
                <w:rFonts w:hint="eastAsia" w:ascii="宋体" w:hAnsi="宋体"/>
                <w:b/>
                <w:bCs/>
                <w:color w:val="000000" w:themeColor="text1"/>
                <w:sz w:val="24"/>
                <w:szCs w:val="24"/>
                <w14:textFill>
                  <w14:solidFill>
                    <w14:schemeClr w14:val="tx1"/>
                  </w14:solidFill>
                </w14:textFill>
              </w:rPr>
              <w:t>正在履约或已完成的业绩均可：投标文件中提供业绩合同扫描件。</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备注：已签订合同但尚未实施的业绩不予认可。即截至投标截止时间，项目如存在目前尚未开始履约、人员进场但尚未实质性开展、处于暂停等情况的，该业绩不予认可。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本地化服务</w:t>
            </w:r>
          </w:p>
        </w:tc>
        <w:tc>
          <w:tcPr>
            <w:tcW w:w="7077"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本项目是否要求本地化服务能力：</w:t>
            </w:r>
            <w:r>
              <w:rPr>
                <w:rFonts w:hint="eastAsia" w:ascii="宋体" w:hAnsi="宋体"/>
                <w:b/>
                <w:color w:val="000000" w:themeColor="text1"/>
                <w:sz w:val="24"/>
                <w14:textFill>
                  <w14:solidFill>
                    <w14:schemeClr w14:val="tx1"/>
                  </w14:solidFill>
                </w14:textFill>
              </w:rPr>
              <w:sym w:font="Wingdings" w:char="00A8"/>
            </w:r>
            <w:r>
              <w:rPr>
                <w:rFonts w:hint="eastAsia" w:ascii="宋体" w:hAnsi="宋体"/>
                <w:b/>
                <w:color w:val="000000" w:themeColor="text1"/>
                <w:sz w:val="24"/>
                <w14:textFill>
                  <w14:solidFill>
                    <w14:schemeClr w14:val="tx1"/>
                  </w14:solidFill>
                </w14:textFill>
              </w:rPr>
              <w:t xml:space="preserve">要求   </w:t>
            </w:r>
            <w:r>
              <w:rPr>
                <w:rFonts w:hint="eastAsia" w:ascii="宋体" w:hAnsi="宋体"/>
                <w:b/>
                <w:color w:val="000000" w:themeColor="text1"/>
                <w:sz w:val="24"/>
                <w14:textFill>
                  <w14:solidFill>
                    <w14:schemeClr w14:val="tx1"/>
                  </w14:solidFill>
                </w14:textFill>
              </w:rPr>
              <w:sym w:font="Wingdings 2" w:char="0052"/>
            </w:r>
            <w:r>
              <w:rPr>
                <w:rFonts w:hint="eastAsia" w:ascii="宋体" w:hAnsi="宋体"/>
                <w:b/>
                <w:color w:val="000000" w:themeColor="text1"/>
                <w:sz w:val="24"/>
                <w14:textFill>
                  <w14:solidFill>
                    <w14:schemeClr w14:val="tx1"/>
                  </w14:solidFill>
                </w14:textFill>
              </w:rPr>
              <w:t>不要求</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本地化服务的能力是指具有下列条件之一：</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1.在本地具有固定的办公场所及人员；</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2.投标人在本地注册成立或者本地有分支机构的；</w:t>
            </w:r>
          </w:p>
          <w:p>
            <w:pPr>
              <w:spacing w:line="50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3.承诺中标即设立本地化服务机构。</w:t>
            </w:r>
          </w:p>
        </w:tc>
      </w:tr>
    </w:tbl>
    <w:p>
      <w:pPr>
        <w:rPr>
          <w:color w:val="000000" w:themeColor="text1"/>
          <w14:textFill>
            <w14:solidFill>
              <w14:schemeClr w14:val="tx1"/>
            </w14:solidFill>
          </w14:textFill>
        </w:rPr>
      </w:pPr>
      <w:bookmarkStart w:id="8" w:name="_Hlt519045778"/>
      <w:bookmarkEnd w:id="8"/>
      <w:bookmarkStart w:id="9" w:name="_Hlt509650027"/>
      <w:bookmarkEnd w:id="9"/>
      <w:bookmarkStart w:id="10" w:name="_Toc7187421"/>
      <w:bookmarkStart w:id="11" w:name="_Toc508363589"/>
      <w:bookmarkStart w:id="12" w:name="_Toc459990137"/>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spacing w:before="0" w:line="500" w:lineRule="exact"/>
        <w:jc w:val="center"/>
        <w:rPr>
          <w:rFonts w:ascii="宋体" w:hAnsi="宋体"/>
          <w:color w:val="000000" w:themeColor="text1"/>
          <w14:textFill>
            <w14:solidFill>
              <w14:schemeClr w14:val="tx1"/>
            </w14:solidFill>
          </w14:textFill>
        </w:rPr>
      </w:pPr>
      <w:bookmarkStart w:id="13" w:name="_Toc102633621"/>
      <w:r>
        <w:rPr>
          <w:rFonts w:hint="eastAsia" w:ascii="宋体" w:hAnsi="宋体"/>
          <w:color w:val="000000" w:themeColor="text1"/>
          <w14:textFill>
            <w14:solidFill>
              <w14:schemeClr w14:val="tx1"/>
            </w14:solidFill>
          </w14:textFill>
        </w:rPr>
        <w:t>第三章 投标人须知</w:t>
      </w:r>
      <w:bookmarkEnd w:id="10"/>
      <w:bookmarkEnd w:id="13"/>
      <w:bookmarkStart w:id="14" w:name="_Toc459990138"/>
    </w:p>
    <w:bookmarkEnd w:id="11"/>
    <w:bookmarkEnd w:id="12"/>
    <w:bookmarkEnd w:id="14"/>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15" w:name="_Hlt509650351"/>
      <w:bookmarkEnd w:id="15"/>
      <w:bookmarkStart w:id="16" w:name="_Hlt516969057"/>
      <w:bookmarkEnd w:id="16"/>
      <w:bookmarkStart w:id="17" w:name="_Hlt204508754"/>
      <w:bookmarkEnd w:id="17"/>
      <w:bookmarkStart w:id="18" w:name="_Toc51505239"/>
      <w:bookmarkStart w:id="19" w:name="_Toc22888330"/>
      <w:bookmarkStart w:id="20" w:name="_Toc102633622"/>
      <w:bookmarkStart w:id="21" w:name="_Toc27068"/>
      <w:bookmarkStart w:id="22" w:name="_Toc25480"/>
      <w:bookmarkStart w:id="23" w:name="_Toc19733"/>
      <w:bookmarkStart w:id="24" w:name="_Toc508363595"/>
      <w:r>
        <w:rPr>
          <w:rFonts w:hint="eastAsia" w:ascii="宋体" w:hAnsi="宋体"/>
          <w:b/>
          <w:bCs/>
          <w:color w:val="000000" w:themeColor="text1"/>
          <w:sz w:val="28"/>
          <w:szCs w:val="32"/>
          <w14:textFill>
            <w14:solidFill>
              <w14:schemeClr w14:val="tx1"/>
            </w14:solidFill>
          </w14:textFill>
        </w:rPr>
        <w:t>一．投标文件的编制</w:t>
      </w:r>
      <w:bookmarkEnd w:id="18"/>
      <w:bookmarkEnd w:id="19"/>
      <w:bookmarkEnd w:id="20"/>
    </w:p>
    <w:p>
      <w:pPr>
        <w:spacing w:line="360" w:lineRule="auto"/>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360" w:lineRule="auto"/>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25" w:name="_Toc102633623"/>
      <w:bookmarkStart w:id="26" w:name="_Toc19773335"/>
      <w:bookmarkStart w:id="27" w:name="_Toc51505240"/>
      <w:bookmarkStart w:id="28" w:name="_Toc22888331"/>
      <w:r>
        <w:rPr>
          <w:rFonts w:hint="eastAsia" w:ascii="宋体" w:hAnsi="宋体"/>
          <w:b/>
          <w:bCs/>
          <w:color w:val="000000" w:themeColor="text1"/>
          <w:sz w:val="28"/>
          <w:szCs w:val="32"/>
          <w14:textFill>
            <w14:solidFill>
              <w14:schemeClr w14:val="tx1"/>
            </w14:solidFill>
          </w14:textFill>
        </w:rPr>
        <w:t>二．投标保证金的缴纳</w:t>
      </w:r>
      <w:bookmarkEnd w:id="25"/>
      <w:bookmarkEnd w:id="26"/>
      <w:bookmarkEnd w:id="27"/>
      <w:bookmarkEnd w:id="28"/>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1投标前，投标人应向文旅博览集团提交投标人须知前附表规定金额的投标保证金，作为投标的一部分，投标保证金应当从投标人账户转出，并在报名截止时间前足额到达招标公告指定账号。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开标后，文旅博览集团将从投标保证金查询系统中查询投标保证金信息，并提交评标委员会评审。</w:t>
      </w:r>
    </w:p>
    <w:p>
      <w:pPr>
        <w:spacing w:line="360" w:lineRule="auto"/>
        <w:ind w:firstLine="54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 xml:space="preserve"> 投标保证金可采取下列形式：</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2.1本地转帐。</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4未按要求提交投标保证金的投标，将被视为非响应性投标而导致投标无效。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6有下列情形之一的，招标人不予退还投标保证金，如果该投标保证金不足以弥补因投标人过错而给招标人造成的损失，招标人有权要求投标人继续赔偿：</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6.1投标人在规定的投标有效期内撤回或修改其投标；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6.3弄虚作假或与其他投标人串通骗取中标；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6.4因中标人过错被取消中标资格的其他情况；</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6.5其它法律、规章规定或损害招标人利益的情形.</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7由于投标人行为导致招标人或合肥文旅博览集团有限公司损失的，相应损失由投标人承担，从投标保证金中扣除。投标保证金扣除后仍不足以弥补损失的，投标人应当对超过部分予以赔偿。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29" w:name="_Toc22888332"/>
      <w:bookmarkStart w:id="30" w:name="_Toc459990139"/>
      <w:bookmarkStart w:id="31" w:name="_Toc102633624"/>
      <w:bookmarkStart w:id="32" w:name="_Toc19773336"/>
      <w:bookmarkStart w:id="33" w:name="_Toc7187423"/>
      <w:bookmarkStart w:id="34" w:name="_Toc51505241"/>
      <w:r>
        <w:rPr>
          <w:rFonts w:hint="eastAsia" w:ascii="宋体" w:hAnsi="宋体"/>
          <w:b/>
          <w:bCs/>
          <w:color w:val="000000" w:themeColor="text1"/>
          <w:sz w:val="28"/>
          <w:szCs w:val="32"/>
          <w14:textFill>
            <w14:solidFill>
              <w14:schemeClr w14:val="tx1"/>
            </w14:solidFill>
          </w14:textFill>
        </w:rPr>
        <w:t>三．投标文件的递交</w:t>
      </w:r>
      <w:bookmarkEnd w:id="29"/>
      <w:bookmarkEnd w:id="30"/>
      <w:bookmarkEnd w:id="31"/>
      <w:bookmarkEnd w:id="32"/>
      <w:bookmarkEnd w:id="33"/>
      <w:bookmarkEnd w:id="34"/>
      <w:bookmarkStart w:id="35" w:name="_Hlt509649414"/>
      <w:bookmarkEnd w:id="35"/>
    </w:p>
    <w:p>
      <w:pPr>
        <w:widowControl/>
        <w:spacing w:line="360" w:lineRule="auto"/>
        <w:rPr>
          <w:rFonts w:ascii="宋体" w:hAnsi="宋体" w:cs="宋体"/>
          <w:b/>
          <w:color w:val="000000" w:themeColor="text1"/>
          <w:kern w:val="0"/>
          <w:sz w:val="24"/>
          <w14:textFill>
            <w14:solidFill>
              <w14:schemeClr w14:val="tx1"/>
            </w14:solidFill>
          </w14:textFill>
        </w:rPr>
      </w:pPr>
      <w:bookmarkStart w:id="36" w:name="_Toc459990140"/>
      <w:bookmarkStart w:id="37" w:name="_Toc459990141"/>
      <w:bookmarkStart w:id="38" w:name="_Toc51696909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1.1投标文件装订成册、密封，并在封面注明招标编号、投标项目等，同时在密封处加盖骑缝章；</w:t>
      </w:r>
    </w:p>
    <w:p>
      <w:pPr>
        <w:widowControl/>
        <w:spacing w:line="360" w:lineRule="auto"/>
        <w:jc w:val="left"/>
        <w:rPr>
          <w:rFonts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1.2投标文件要求：</w:t>
      </w:r>
      <w:r>
        <w:rPr>
          <w:rFonts w:hint="eastAsia" w:ascii="宋体" w:hAnsi="宋体" w:cs="宋体"/>
          <w:bCs/>
          <w:color w:val="000000" w:themeColor="text1"/>
          <w:kern w:val="0"/>
          <w:sz w:val="24"/>
          <w14:textFill>
            <w14:solidFill>
              <w14:schemeClr w14:val="tx1"/>
            </w14:solidFill>
          </w14:textFill>
        </w:rPr>
        <w:t>正、副本各一份。</w:t>
      </w:r>
    </w:p>
    <w:p>
      <w:pPr>
        <w:widowControl/>
        <w:spacing w:line="360" w:lineRule="auto"/>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 xml:space="preserve">    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39" w:name="_Toc102633625"/>
      <w:bookmarkStart w:id="40" w:name="_Toc7187424"/>
      <w:bookmarkStart w:id="41" w:name="_Toc19773337"/>
      <w:bookmarkStart w:id="42" w:name="_Toc51505242"/>
      <w:bookmarkStart w:id="43" w:name="_Toc22888333"/>
      <w:r>
        <w:rPr>
          <w:rFonts w:hint="eastAsia" w:ascii="宋体" w:hAnsi="宋体"/>
          <w:b/>
          <w:bCs/>
          <w:color w:val="000000" w:themeColor="text1"/>
          <w:sz w:val="28"/>
          <w:szCs w:val="32"/>
          <w14:textFill>
            <w14:solidFill>
              <w14:schemeClr w14:val="tx1"/>
            </w14:solidFill>
          </w14:textFill>
        </w:rPr>
        <w:t>四．</w:t>
      </w:r>
      <w:bookmarkEnd w:id="36"/>
      <w:r>
        <w:rPr>
          <w:rFonts w:hint="eastAsia" w:ascii="宋体" w:hAnsi="宋体"/>
          <w:b/>
          <w:bCs/>
          <w:color w:val="000000" w:themeColor="text1"/>
          <w:sz w:val="28"/>
          <w:szCs w:val="32"/>
          <w14:textFill>
            <w14:solidFill>
              <w14:schemeClr w14:val="tx1"/>
            </w14:solidFill>
          </w14:textFill>
        </w:rPr>
        <w:t>开标、评标及定标</w:t>
      </w:r>
      <w:bookmarkEnd w:id="39"/>
      <w:bookmarkEnd w:id="40"/>
      <w:bookmarkEnd w:id="41"/>
      <w:bookmarkEnd w:id="42"/>
      <w:bookmarkEnd w:id="43"/>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投标人一名授权代表参加商务标的开标</w:t>
      </w:r>
      <w:r>
        <w:rPr>
          <w:rFonts w:hint="eastAsia" w:ascii="宋体" w:hAnsi="宋体" w:cs="宋体"/>
          <w:color w:val="000000" w:themeColor="text1"/>
          <w:kern w:val="0"/>
          <w:sz w:val="24"/>
          <w14:textFill>
            <w14:solidFill>
              <w14:schemeClr w14:val="tx1"/>
            </w14:solidFill>
          </w14:textFill>
        </w:rPr>
        <w:t>。（授权代表须出示身份证原件）</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文旅博览集团</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14:textFill>
            <w14:solidFill>
              <w14:schemeClr w14:val="tx1"/>
            </w14:solidFill>
          </w14:textFill>
        </w:rPr>
        <w:t>文旅博览集团将当众宣读</w:t>
      </w:r>
      <w:r>
        <w:rPr>
          <w:rFonts w:hint="eastAsia" w:ascii="宋体" w:hAnsi="宋体"/>
          <w:color w:val="000000" w:themeColor="text1"/>
          <w:sz w:val="24"/>
          <w:szCs w:val="24"/>
          <w14:textFill>
            <w14:solidFill>
              <w14:schemeClr w14:val="tx1"/>
            </w14:solidFill>
          </w14:textFill>
        </w:rPr>
        <w:t>投标人名称、投标价格以及文旅博览集团认为合适的其它详细内容。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540" w:firstLineChars="224"/>
        <w:rPr>
          <w:rFonts w:ascii="宋体" w:hAnsi="宋体"/>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2评标方法：</w:t>
      </w:r>
      <w:r>
        <w:rPr>
          <w:rFonts w:hint="eastAsia" w:ascii="宋体" w:hAnsi="宋体"/>
          <w:bCs/>
          <w:color w:val="000000" w:themeColor="text1"/>
          <w:sz w:val="24"/>
          <w:szCs w:val="24"/>
          <w14:textFill>
            <w14:solidFill>
              <w14:schemeClr w14:val="tx1"/>
            </w14:solidFill>
          </w14:textFill>
        </w:rPr>
        <w:t>本次项目评标采用综合评分法作为对投标人标书的比较方法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3.6.8评标委员会评议认为构成废标的其他情况；</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3.6.9投标人未按要求提交投标保证金的；</w:t>
      </w:r>
    </w:p>
    <w:p>
      <w:pPr>
        <w:spacing w:line="360" w:lineRule="auto"/>
        <w:ind w:firstLine="54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3.6.10</w:t>
      </w:r>
      <w:r>
        <w:rPr>
          <w:rFonts w:hint="eastAsia" w:ascii="宋体" w:hAnsi="宋体"/>
          <w:color w:val="000000" w:themeColor="text1"/>
          <w:sz w:val="24"/>
          <w:szCs w:val="24"/>
          <w14:textFill>
            <w14:solidFill>
              <w14:schemeClr w14:val="tx1"/>
            </w14:solidFill>
          </w14:textFill>
        </w:rPr>
        <w:t>其他未实质性响应招标文件要求的。</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4.3原则上把合同授予实质上响应招标文件要求的排名最前的中标候选人或通过上条资格审查的中标候选人。 </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525" w:firstLineChars="218"/>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本招标文件所要求的证书、认证、资质，均应当是有权机构颁发，且在有效期内的。</w:t>
      </w:r>
    </w:p>
    <w:p>
      <w:pPr>
        <w:spacing w:line="360" w:lineRule="auto"/>
        <w:ind w:firstLine="562" w:firstLineChars="200"/>
        <w:jc w:val="center"/>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五.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1.与本次招标活动相关的信息，将在合肥文旅博览集团有限公司网(h</w:t>
      </w:r>
      <w:r>
        <w:rPr>
          <w:rFonts w:ascii="宋体" w:hAnsi="宋体"/>
          <w:color w:val="000000" w:themeColor="text1"/>
          <w:sz w:val="24"/>
          <w:szCs w:val="24"/>
          <w:u w:val="single"/>
          <w14:textFill>
            <w14:solidFill>
              <w14:schemeClr w14:val="tx1"/>
            </w14:solidFill>
          </w14:textFill>
        </w:rPr>
        <w:t>ttp://www.zwzcgl.com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44" w:name="_Toc22888334"/>
      <w:bookmarkStart w:id="45" w:name="_Toc51505243"/>
      <w:bookmarkStart w:id="46" w:name="_Toc19773338"/>
      <w:bookmarkStart w:id="47" w:name="_Toc102633626"/>
      <w:bookmarkStart w:id="48" w:name="_Toc7187425"/>
      <w:r>
        <w:rPr>
          <w:rFonts w:hint="eastAsia" w:ascii="宋体" w:hAnsi="宋体"/>
          <w:b/>
          <w:bCs/>
          <w:color w:val="000000" w:themeColor="text1"/>
          <w:sz w:val="28"/>
          <w:szCs w:val="32"/>
          <w14:textFill>
            <w14:solidFill>
              <w14:schemeClr w14:val="tx1"/>
            </w14:solidFill>
          </w14:textFill>
        </w:rPr>
        <w:t>六．投标文件的澄清</w:t>
      </w:r>
      <w:bookmarkEnd w:id="44"/>
      <w:bookmarkEnd w:id="45"/>
      <w:bookmarkEnd w:id="46"/>
      <w:bookmarkEnd w:id="47"/>
      <w:bookmarkEnd w:id="48"/>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2.重要的澄清应是书面的，但不得对投标内容进行实质性修改。</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49" w:name="_Toc51505244"/>
      <w:bookmarkStart w:id="50" w:name="_Toc102633627"/>
      <w:bookmarkStart w:id="51" w:name="_Toc22888335"/>
      <w:bookmarkStart w:id="52" w:name="_Toc19773339"/>
      <w:bookmarkStart w:id="53" w:name="_Toc7187426"/>
      <w:r>
        <w:rPr>
          <w:rFonts w:hint="eastAsia" w:ascii="宋体" w:hAnsi="宋体"/>
          <w:b/>
          <w:bCs/>
          <w:color w:val="000000" w:themeColor="text1"/>
          <w:sz w:val="28"/>
          <w:szCs w:val="32"/>
          <w14:textFill>
            <w14:solidFill>
              <w14:schemeClr w14:val="tx1"/>
            </w14:solidFill>
          </w14:textFill>
        </w:rPr>
        <w:t>七.中标通知书</w:t>
      </w:r>
      <w:bookmarkEnd w:id="49"/>
      <w:bookmarkEnd w:id="50"/>
      <w:bookmarkEnd w:id="51"/>
      <w:bookmarkEnd w:id="52"/>
      <w:bookmarkEnd w:id="53"/>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文旅博览集团将以中标通知书形式通知中标人，其投标已被接受。</w:t>
      </w:r>
    </w:p>
    <w:p>
      <w:pPr>
        <w:tabs>
          <w:tab w:val="left" w:pos="709"/>
        </w:tabs>
        <w:snapToGrid w:val="0"/>
        <w:spacing w:line="360" w:lineRule="auto"/>
        <w:ind w:left="566"/>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文旅博览集团对未中标的投标人不做未中标原因的解释。</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中标公示期满后，中标人请在3个工作日内委派专人凭介绍信或公司授权书（须同时携带有效身份证明）领取中标通知书（联系人及联系方式：胡工  0551-63530687，地址：</w:t>
      </w:r>
      <w:r>
        <w:rPr>
          <w:rFonts w:hint="eastAsia" w:ascii="宋体" w:hAnsi="宋体"/>
          <w:bCs/>
          <w:color w:val="000000" w:themeColor="text1"/>
          <w:sz w:val="24"/>
          <w:szCs w:val="18"/>
          <w14:textFill>
            <w14:solidFill>
              <w14:schemeClr w14:val="tx1"/>
            </w14:solidFill>
          </w14:textFill>
        </w:rPr>
        <w:t>合肥市蜀山区习友路与茂荫路交口投资大厦2楼招标采购部</w:t>
      </w:r>
      <w:r>
        <w:rPr>
          <w:rFonts w:hint="eastAsia" w:ascii="宋体" w:hAnsi="宋体"/>
          <w:color w:val="000000" w:themeColor="text1"/>
          <w:sz w:val="24"/>
          <w14:textFill>
            <w14:solidFill>
              <w14:schemeClr w14:val="tx1"/>
            </w14:solidFill>
          </w14:textFill>
        </w:rPr>
        <w:t>）。</w:t>
      </w:r>
      <w:bookmarkEnd w:id="37"/>
      <w:bookmarkEnd w:id="38"/>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54" w:name="_Toc51505245"/>
      <w:bookmarkStart w:id="55" w:name="_Toc7187427"/>
      <w:bookmarkStart w:id="56" w:name="_Toc22888336"/>
      <w:bookmarkStart w:id="57" w:name="_Toc19773340"/>
      <w:bookmarkStart w:id="58" w:name="_Toc102633628"/>
      <w:r>
        <w:rPr>
          <w:rFonts w:hint="eastAsia" w:ascii="宋体" w:hAnsi="宋体"/>
          <w:b/>
          <w:bCs/>
          <w:color w:val="000000" w:themeColor="text1"/>
          <w:sz w:val="28"/>
          <w:szCs w:val="32"/>
          <w14:textFill>
            <w14:solidFill>
              <w14:schemeClr w14:val="tx1"/>
            </w14:solidFill>
          </w14:textFill>
        </w:rPr>
        <w:t>八.异议处理</w:t>
      </w:r>
      <w:bookmarkEnd w:id="54"/>
      <w:bookmarkEnd w:id="55"/>
      <w:bookmarkEnd w:id="56"/>
      <w:bookmarkEnd w:id="57"/>
      <w:bookmarkEnd w:id="58"/>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4.文旅博览集团将在收到书面质疑后5个工作日内审查异议事项，作出答复或相关处理决定，并以书面形式通知异议人，但答复的内容不涉及商业秘密。</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59" w:name="_Toc51505246"/>
      <w:bookmarkStart w:id="60" w:name="_Toc22888337"/>
      <w:bookmarkStart w:id="61" w:name="_Toc19773341"/>
      <w:bookmarkStart w:id="62" w:name="_Toc102633629"/>
      <w:bookmarkStart w:id="63" w:name="_Toc7187428"/>
      <w:r>
        <w:rPr>
          <w:rFonts w:hint="eastAsia" w:ascii="宋体" w:hAnsi="宋体"/>
          <w:b/>
          <w:bCs/>
          <w:color w:val="000000" w:themeColor="text1"/>
          <w:sz w:val="28"/>
          <w:szCs w:val="32"/>
          <w14:textFill>
            <w14:solidFill>
              <w14:schemeClr w14:val="tx1"/>
            </w14:solidFill>
          </w14:textFill>
        </w:rPr>
        <w:t>九．签订合同</w:t>
      </w:r>
      <w:bookmarkEnd w:id="59"/>
      <w:bookmarkEnd w:id="60"/>
      <w:bookmarkEnd w:id="61"/>
      <w:bookmarkEnd w:id="62"/>
      <w:bookmarkEnd w:id="63"/>
    </w:p>
    <w:p>
      <w:pPr>
        <w:spacing w:line="360" w:lineRule="auto"/>
        <w:ind w:firstLine="549"/>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1.履约保证金</w:t>
      </w:r>
    </w:p>
    <w:p>
      <w:pPr>
        <w:spacing w:line="360" w:lineRule="auto"/>
        <w:ind w:firstLine="549"/>
        <w:rPr>
          <w:rFonts w:ascii="宋体" w:hAnsi="宋体"/>
          <w:dstrike/>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1.1签订合同前，投标人应提交履约保证金。履约保证金金额、收受方式及收受人见投标人须知前附表规定。</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1.2投标人须知前附表约定收取履约保证金或免收履约保证金的，从其规定。</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2.5中标人不与委托人签订合同的，招标人可单方面取消其中标资格，并追究其责任。</w:t>
      </w:r>
    </w:p>
    <w:p>
      <w:pPr>
        <w:pStyle w:val="78"/>
        <w:numPr>
          <w:ilvl w:val="1"/>
          <w:numId w:val="5"/>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合同履行完毕后，经委托人考核合格，双方可续签合同。</w:t>
      </w:r>
    </w:p>
    <w:p>
      <w:pPr>
        <w:spacing w:line="360" w:lineRule="auto"/>
        <w:rPr>
          <w:rFonts w:ascii="宋体" w:hAnsi="宋体"/>
          <w:color w:val="000000" w:themeColor="text1"/>
          <w:sz w:val="24"/>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ind w:firstLine="0" w:firstLineChars="0"/>
        <w:rPr>
          <w:color w:val="000000" w:themeColor="text1"/>
          <w14:textFill>
            <w14:solidFill>
              <w14:schemeClr w14:val="tx1"/>
            </w14:solidFill>
          </w14:textFill>
        </w:rPr>
      </w:pPr>
    </w:p>
    <w:p>
      <w:pPr>
        <w:pStyle w:val="3"/>
        <w:spacing w:line="500" w:lineRule="exact"/>
        <w:jc w:val="center"/>
        <w:rPr>
          <w:rFonts w:ascii="宋体" w:hAnsi="宋体"/>
          <w:color w:val="000000" w:themeColor="text1"/>
          <w:szCs w:val="36"/>
          <w14:textFill>
            <w14:solidFill>
              <w14:schemeClr w14:val="tx1"/>
            </w14:solidFill>
          </w14:textFill>
        </w:rPr>
      </w:pPr>
      <w:bookmarkStart w:id="64" w:name="_Toc102633630"/>
      <w:r>
        <w:rPr>
          <w:rFonts w:hint="eastAsia" w:ascii="宋体" w:hAnsi="宋体"/>
          <w:color w:val="000000" w:themeColor="text1"/>
          <w14:textFill>
            <w14:solidFill>
              <w14:schemeClr w14:val="tx1"/>
            </w14:solidFill>
          </w14:textFill>
        </w:rPr>
        <w:t>第</w:t>
      </w:r>
      <w:bookmarkStart w:id="65" w:name="_Hlt240110027"/>
      <w:bookmarkEnd w:id="65"/>
      <w:r>
        <w:rPr>
          <w:rFonts w:hint="eastAsia" w:ascii="宋体" w:hAnsi="宋体"/>
          <w:color w:val="000000" w:themeColor="text1"/>
          <w14:textFill>
            <w14:solidFill>
              <w14:schemeClr w14:val="tx1"/>
            </w14:solidFill>
          </w14:textFill>
        </w:rPr>
        <w:t>四章</w:t>
      </w:r>
      <w:bookmarkStart w:id="66" w:name="_Hlt509716920"/>
      <w:bookmarkEnd w:id="66"/>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36"/>
          <w14:textFill>
            <w14:solidFill>
              <w14:schemeClr w14:val="tx1"/>
            </w14:solidFill>
          </w14:textFill>
        </w:rPr>
        <w:t>招标需求</w:t>
      </w:r>
      <w:bookmarkEnd w:id="21"/>
      <w:bookmarkEnd w:id="22"/>
      <w:bookmarkEnd w:id="23"/>
      <w:bookmarkEnd w:id="64"/>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1.投标人自行考虑税收费用及风险，中标后须按国家相关规定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ascii="宋体" w:hAnsi="宋体"/>
          <w:color w:val="000000" w:themeColor="text1"/>
          <w:sz w:val="24"/>
          <w:szCs w:val="28"/>
          <w14:textFill>
            <w14:solidFill>
              <w14:schemeClr w14:val="tx1"/>
            </w14:solidFill>
          </w14:textFill>
        </w:rPr>
        <w:t>税金并按委托人要求提供发票，费用含在本次投标总价中，中标后不作调整。</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2.如对本招标文件有任何疑问或澄清要求，请按本招标文件“投标人须知前附表”中的约定方式联系文旅博览集团，或接受答疑截止时间前联系招标人。否则视同理解和接受。</w:t>
      </w:r>
    </w:p>
    <w:p>
      <w:pPr>
        <w:spacing w:line="360" w:lineRule="auto"/>
        <w:rPr>
          <w:color w:val="000000" w:themeColor="text1"/>
          <w14:textFill>
            <w14:solidFill>
              <w14:schemeClr w14:val="tx1"/>
            </w14:solidFill>
          </w14:textFill>
        </w:rPr>
      </w:pPr>
    </w:p>
    <w:p>
      <w:pPr>
        <w:pStyle w:val="78"/>
        <w:numPr>
          <w:ilvl w:val="0"/>
          <w:numId w:val="6"/>
        </w:numPr>
        <w:spacing w:line="360" w:lineRule="auto"/>
        <w:ind w:firstLineChars="0"/>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项目简介</w:t>
      </w:r>
    </w:p>
    <w:p>
      <w:pPr>
        <w:pStyle w:val="78"/>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肥体育中心建设标准可承办全国运动会及单项国际赛事的大型公共体育设施场馆，体育中心风格定位为开放式体育公园，是集体育运动和比赛、展览、办公、会议、餐饮、休闲为一体的综合性、智能化建筑体系。</w:t>
      </w:r>
    </w:p>
    <w:p>
      <w:pPr>
        <w:autoSpaceDE w:val="0"/>
        <w:autoSpaceDN w:val="0"/>
        <w:adjustRightInd w:val="0"/>
        <w:spacing w:line="360" w:lineRule="auto"/>
        <w:ind w:firstLine="354" w:firstLineChars="147"/>
        <w:jc w:val="left"/>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二、招标需求</w:t>
      </w:r>
    </w:p>
    <w:p>
      <w:pPr>
        <w:spacing w:line="360" w:lineRule="auto"/>
        <w:ind w:left="420" w:leftChars="20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w:t>
      </w:r>
      <w:r>
        <w:rPr>
          <w:rFonts w:hint="eastAsia" w:ascii="宋体" w:hAnsi="宋体"/>
          <w:color w:val="000000" w:themeColor="text1"/>
          <w:sz w:val="24"/>
          <w:szCs w:val="18"/>
          <w14:textFill>
            <w14:solidFill>
              <w14:schemeClr w14:val="tx1"/>
            </w14:solidFill>
          </w14:textFill>
        </w:rPr>
        <w:t>合肥体育中心游泳馆泳池投药系统3套</w:t>
      </w:r>
      <w:r>
        <w:rPr>
          <w:rFonts w:hint="eastAsia" w:ascii="宋体" w:hAnsi="宋体" w:cs="宋体"/>
          <w:color w:val="000000" w:themeColor="text1"/>
          <w:sz w:val="24"/>
          <w:szCs w:val="24"/>
          <w14:textFill>
            <w14:solidFill>
              <w14:schemeClr w14:val="tx1"/>
            </w14:solidFill>
          </w14:textFill>
        </w:rPr>
        <w:t>，分别为训练池</w:t>
      </w:r>
      <w:bookmarkStart w:id="67" w:name="_Hlk98170479"/>
      <w:r>
        <w:rPr>
          <w:rFonts w:hint="eastAsia" w:ascii="宋体" w:hAnsi="宋体" w:cs="宋体"/>
          <w:color w:val="000000" w:themeColor="text1"/>
          <w:sz w:val="24"/>
          <w:szCs w:val="24"/>
          <w14:textFill>
            <w14:solidFill>
              <w14:schemeClr w14:val="tx1"/>
            </w14:solidFill>
          </w14:textFill>
        </w:rPr>
        <w:t>（容积</w:t>
      </w:r>
      <w:r>
        <w:rPr>
          <w:rFonts w:ascii="宋体" w:hAnsi="宋体" w:cs="宋体"/>
          <w:color w:val="000000" w:themeColor="text1"/>
          <w:sz w:val="24"/>
          <w:szCs w:val="24"/>
          <w14:textFill>
            <w14:solidFill>
              <w14:schemeClr w14:val="tx1"/>
            </w14:solidFill>
          </w14:textFill>
        </w:rPr>
        <w:t>1650</w:t>
      </w:r>
      <w:r>
        <w:rPr>
          <w:rFonts w:hint="eastAsia" w:ascii="Segoe UI Symbol" w:hAnsi="Segoe UI Symbol" w:eastAsia="Segoe UI Symbol" w:cs="Segoe UI Symbol"/>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bookmarkEnd w:id="67"/>
      <w:r>
        <w:rPr>
          <w:rFonts w:hint="eastAsia" w:ascii="宋体" w:hAnsi="宋体" w:cs="宋体"/>
          <w:color w:val="000000" w:themeColor="text1"/>
          <w:sz w:val="24"/>
          <w:szCs w:val="24"/>
          <w14:textFill>
            <w14:solidFill>
              <w14:schemeClr w14:val="tx1"/>
            </w14:solidFill>
          </w14:textFill>
        </w:rPr>
        <w:t>、竞赛池（容积</w:t>
      </w:r>
      <w:r>
        <w:rPr>
          <w:rFonts w:ascii="宋体" w:hAnsi="宋体" w:cs="宋体"/>
          <w:color w:val="000000" w:themeColor="text1"/>
          <w:sz w:val="24"/>
          <w:szCs w:val="24"/>
          <w14:textFill>
            <w14:solidFill>
              <w14:schemeClr w14:val="tx1"/>
            </w14:solidFill>
          </w14:textFill>
        </w:rPr>
        <w:t>3750</w:t>
      </w:r>
      <w:r>
        <w:rPr>
          <w:rFonts w:hint="eastAsia" w:ascii="Segoe UI Symbol" w:hAnsi="Segoe UI Symbol" w:eastAsia="Segoe UI Symbol" w:cs="Segoe UI Symbol"/>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）、跳水池（容积</w:t>
      </w:r>
      <w:r>
        <w:rPr>
          <w:rFonts w:ascii="宋体" w:hAnsi="宋体" w:cs="宋体"/>
          <w:color w:val="000000" w:themeColor="text1"/>
          <w:sz w:val="24"/>
          <w:szCs w:val="24"/>
          <w14:textFill>
            <w14:solidFill>
              <w14:schemeClr w14:val="tx1"/>
            </w14:solidFill>
          </w14:textFill>
        </w:rPr>
        <w:t>3750</w:t>
      </w:r>
      <w:r>
        <w:rPr>
          <w:rFonts w:hint="eastAsia" w:ascii="Segoe UI Symbol" w:hAnsi="Segoe UI Symbol" w:eastAsia="Segoe UI Symbol" w:cs="Segoe UI Symbol"/>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r>
        <w:rPr>
          <w:rFonts w:hint="eastAsia" w:ascii="Segoe UI Symbol" w:hAnsi="Segoe UI Symbol" w:cs="Segoe UI Symbol"/>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儿童戏水池，其中儿童戏水池可以与训练池共用一套设备。投药系统包含但不限于自动水质检测系统、投药泵、储药桶、远程信息显示信号传输，其中远程信号传输需投标人自行勘察现场并提供安装所需一切工程材料，最终满足招标人验收要求。</w:t>
      </w:r>
    </w:p>
    <w:p>
      <w:pPr>
        <w:spacing w:line="360" w:lineRule="auto"/>
        <w:ind w:left="330"/>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三、投药系统采购需求</w:t>
      </w:r>
    </w:p>
    <w:tbl>
      <w:tblPr>
        <w:tblStyle w:val="51"/>
        <w:tblW w:w="9796" w:type="dxa"/>
        <w:tblInd w:w="93" w:type="dxa"/>
        <w:tblLayout w:type="fixed"/>
        <w:tblCellMar>
          <w:top w:w="0" w:type="dxa"/>
          <w:left w:w="108" w:type="dxa"/>
          <w:bottom w:w="0" w:type="dxa"/>
          <w:right w:w="108" w:type="dxa"/>
        </w:tblCellMar>
      </w:tblPr>
      <w:tblGrid>
        <w:gridCol w:w="1238"/>
        <w:gridCol w:w="762"/>
        <w:gridCol w:w="4961"/>
        <w:gridCol w:w="1559"/>
        <w:gridCol w:w="1276"/>
      </w:tblGrid>
      <w:tr>
        <w:tblPrEx>
          <w:tblCellMar>
            <w:top w:w="0" w:type="dxa"/>
            <w:left w:w="108" w:type="dxa"/>
            <w:bottom w:w="0" w:type="dxa"/>
            <w:right w:w="108" w:type="dxa"/>
          </w:tblCellMar>
        </w:tblPrEx>
        <w:trPr>
          <w:trHeight w:val="424"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设备名称</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数量</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技术参数</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推荐品牌</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备注</w:t>
            </w:r>
          </w:p>
        </w:tc>
      </w:tr>
      <w:tr>
        <w:tblPrEx>
          <w:tblCellMar>
            <w:top w:w="0" w:type="dxa"/>
            <w:left w:w="108" w:type="dxa"/>
            <w:bottom w:w="0" w:type="dxa"/>
            <w:right w:w="108" w:type="dxa"/>
          </w:tblCellMar>
        </w:tblPrEx>
        <w:trPr>
          <w:trHeight w:val="416"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自动水质检测系统</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3台</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（1）手触屏,彩屏显示,控制监测PH值、余氯、ORP、温度 ,余氯探头的测量次数要求每秒超过1次自我诊断和自动校准功能,内置远程信号输出(WIFI,GSM或网线连接输出),RS485输出,智能云端操作功能,支持输出的数据传输到甲方指定显示器、手机客户端,手机客户端可通过微信操控水质监控仪。</w:t>
            </w:r>
          </w:p>
          <w:p>
            <w:pPr>
              <w:pStyle w:val="2"/>
              <w:spacing w:line="360" w:lineRule="auto"/>
              <w:ind w:firstLine="0" w:firstLineChars="0"/>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（2）温度：量程0-50℃，精度±0.5℃；</w:t>
            </w:r>
          </w:p>
          <w:p>
            <w:pPr>
              <w:pStyle w:val="2"/>
              <w:spacing w:line="360" w:lineRule="auto"/>
              <w:ind w:firstLine="0" w:firstLineChars="0"/>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（3）pH值:量程0-14，精度±0.1；</w:t>
            </w:r>
          </w:p>
          <w:p>
            <w:pPr>
              <w:pStyle w:val="2"/>
              <w:spacing w:line="360" w:lineRule="auto"/>
              <w:ind w:firstLine="0" w:firstLineChars="0"/>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（4）余氯：量程0-5mg/L，精度±0.05mg/L;</w:t>
            </w:r>
          </w:p>
          <w:p>
            <w:pPr>
              <w:pStyle w:val="2"/>
              <w:ind w:firstLine="0" w:firstLineChars="0"/>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（5）ORP:量程±1500mV,精度±20mV</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西科、懿华、欧池帝、科瑞德 手触式远程水质监控仪</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2"/>
                <w:lang w:bidi="ar"/>
                <w14:textFill>
                  <w14:solidFill>
                    <w14:schemeClr w14:val="tx1"/>
                  </w14:solidFill>
                </w14:textFill>
              </w:rPr>
            </w:pPr>
          </w:p>
        </w:tc>
      </w:tr>
      <w:tr>
        <w:tblPrEx>
          <w:tblCellMar>
            <w:top w:w="0" w:type="dxa"/>
            <w:left w:w="108" w:type="dxa"/>
            <w:bottom w:w="0" w:type="dxa"/>
            <w:right w:w="108" w:type="dxa"/>
          </w:tblCellMar>
        </w:tblPrEx>
        <w:trPr>
          <w:trHeight w:val="1243"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投药泵</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9台</w:t>
            </w:r>
          </w:p>
        </w:tc>
        <w:tc>
          <w:tcPr>
            <w:tcW w:w="4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 xml:space="preserve">型 </w:t>
            </w:r>
            <w:r>
              <w:rPr>
                <w:rFonts w:ascii="宋体" w:hAnsi="宋体" w:cs="宋体"/>
                <w:color w:val="000000" w:themeColor="text1"/>
                <w:kern w:val="0"/>
                <w:sz w:val="24"/>
                <w:szCs w:val="24"/>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号：0～54L/h</w:t>
            </w:r>
          </w:p>
          <w:p>
            <w:pPr>
              <w:widowControl/>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输送介质：消毒药剂</w:t>
            </w:r>
          </w:p>
          <w:p>
            <w:pPr>
              <w:widowControl/>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技术参数:Q=63L/h，H=7bar</w:t>
            </w:r>
          </w:p>
          <w:p>
            <w:pPr>
              <w:pStyle w:val="2"/>
              <w:ind w:firstLine="0" w:firstLineChars="0"/>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 xml:space="preserve">功 </w:t>
            </w:r>
            <w:r>
              <w:rPr>
                <w:rFonts w:ascii="宋体" w:hAnsi="宋体" w:cs="宋体"/>
                <w:color w:val="000000" w:themeColor="text1"/>
                <w:kern w:val="0"/>
                <w:sz w:val="24"/>
                <w:szCs w:val="24"/>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率：≥40W</w:t>
            </w:r>
          </w:p>
          <w:p>
            <w:pPr>
              <w:widowControl/>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 xml:space="preserve">泵 </w:t>
            </w:r>
            <w:r>
              <w:rPr>
                <w:rFonts w:ascii="宋体" w:hAnsi="宋体" w:cs="宋体"/>
                <w:color w:val="000000" w:themeColor="text1"/>
                <w:kern w:val="0"/>
                <w:sz w:val="24"/>
                <w:szCs w:val="24"/>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头：聚偏二佛乙烯</w:t>
            </w:r>
          </w:p>
          <w:p>
            <w:pPr>
              <w:widowControl/>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药管口径：≥20mm</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西科、懿华、欧池帝、科瑞德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kern w:val="0"/>
                <w:sz w:val="22"/>
                <w:lang w:bidi="ar"/>
                <w14:textFill>
                  <w14:solidFill>
                    <w14:schemeClr w14:val="tx1"/>
                  </w14:solidFill>
                </w14:textFill>
              </w:rPr>
            </w:pPr>
          </w:p>
        </w:tc>
      </w:tr>
      <w:tr>
        <w:tblPrEx>
          <w:tblCellMar>
            <w:top w:w="0" w:type="dxa"/>
            <w:left w:w="108" w:type="dxa"/>
            <w:bottom w:w="0" w:type="dxa"/>
            <w:right w:w="108" w:type="dxa"/>
          </w:tblCellMar>
        </w:tblPrEx>
        <w:trPr>
          <w:trHeight w:val="528"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储药桶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9个</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容量：500L</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4"/>
                <w:szCs w:val="24"/>
                <w:lang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2"/>
                <w:lang w:bidi="ar"/>
                <w14:textFill>
                  <w14:solidFill>
                    <w14:schemeClr w14:val="tx1"/>
                  </w14:solidFill>
                </w14:textFill>
              </w:rPr>
            </w:pPr>
          </w:p>
        </w:tc>
      </w:tr>
      <w:tr>
        <w:tblPrEx>
          <w:tblCellMar>
            <w:top w:w="0" w:type="dxa"/>
            <w:left w:w="108" w:type="dxa"/>
            <w:bottom w:w="0" w:type="dxa"/>
            <w:right w:w="108" w:type="dxa"/>
          </w:tblCellMar>
        </w:tblPrEx>
        <w:trPr>
          <w:trHeight w:val="1065"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安装费</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包含电线、投药水管等所有安装所需的辅材，并将监测数据传输到游泳馆一楼委托人指定显示器上。</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4"/>
                <w:szCs w:val="24"/>
                <w:lang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2"/>
                <w:lang w:bidi="ar"/>
                <w14:textFill>
                  <w14:solidFill>
                    <w14:schemeClr w14:val="tx1"/>
                  </w14:solidFill>
                </w14:textFill>
              </w:rPr>
            </w:pPr>
          </w:p>
        </w:tc>
      </w:tr>
    </w:tbl>
    <w:p>
      <w:pPr>
        <w:pStyle w:val="2"/>
        <w:ind w:firstLine="0" w:firstLineChars="0"/>
        <w:rPr>
          <w:color w:val="000000" w:themeColor="text1"/>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注：（1）中标人须免费将所有货物送至招标人指定地点并安装完成。</w:t>
      </w:r>
    </w:p>
    <w:p>
      <w:pPr>
        <w:pStyle w:val="2"/>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（2）投标人提供的设备须等于或高于招标人推荐品牌。</w:t>
      </w:r>
    </w:p>
    <w:p>
      <w:pPr>
        <w:pStyle w:val="2"/>
        <w:rPr>
          <w:color w:val="000000" w:themeColor="text1"/>
          <w14:textFill>
            <w14:solidFill>
              <w14:schemeClr w14:val="tx1"/>
            </w14:solidFill>
          </w14:textFill>
        </w:rPr>
      </w:pPr>
    </w:p>
    <w:p>
      <w:pPr>
        <w:spacing w:line="360" w:lineRule="auto"/>
        <w:ind w:firstLine="241" w:firstLineChars="1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四、</w:t>
      </w:r>
      <w:r>
        <w:rPr>
          <w:rFonts w:hint="eastAsia" w:ascii="宋体" w:hAnsi="宋体"/>
          <w:b/>
          <w:color w:val="000000" w:themeColor="text1"/>
          <w:sz w:val="24"/>
          <w:szCs w:val="24"/>
          <w14:textFill>
            <w14:solidFill>
              <w14:schemeClr w14:val="tx1"/>
            </w14:solidFill>
          </w14:textFill>
        </w:rPr>
        <w:t>报价要求</w:t>
      </w:r>
    </w:p>
    <w:p>
      <w:pPr>
        <w:spacing w:line="360" w:lineRule="auto"/>
        <w:ind w:firstLine="470" w:firstLineChars="196"/>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1.投标人须按此数量报投标总价并在投标分项报价表中列明每种货物的综合单价，投标总价作为定标的依据。成交后，最终数量按实结算，允许多退少补，综合单价不变。</w:t>
      </w:r>
    </w:p>
    <w:p>
      <w:pPr>
        <w:spacing w:line="360" w:lineRule="auto"/>
        <w:ind w:firstLine="470" w:firstLineChars="196"/>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综合单价是指完成招标需求全部内容的单位综合价格。包括材料的生产、包装、运输、装卸、加工（含加工过程中的主要及辅助材料损耗）、验收、维保、培训、利润、税金等全部费用，并作为项目结算依据。投标报价总价不得高于项目概算。否则，作为废标处理。</w:t>
      </w:r>
    </w:p>
    <w:p>
      <w:pPr>
        <w:spacing w:line="360" w:lineRule="auto"/>
        <w:ind w:firstLine="470" w:firstLineChars="196"/>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3.供货范围中必须全部在投标文件中报价，不得有漏项，否则为无效投标。</w:t>
      </w:r>
    </w:p>
    <w:p>
      <w:pPr>
        <w:spacing w:line="360" w:lineRule="auto"/>
        <w:ind w:firstLine="470" w:firstLineChars="196"/>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（1）若各项报价累计之和小于最终投标报价，则以综合单价为准；</w:t>
      </w:r>
    </w:p>
    <w:p>
      <w:pPr>
        <w:spacing w:line="360" w:lineRule="auto"/>
        <w:ind w:firstLine="470" w:firstLineChars="196"/>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（2）若各项报价累计之和大于最终投标报价，则以投标总价为准调整单价（各单价同比例调整）。</w:t>
      </w:r>
    </w:p>
    <w:p>
      <w:pPr>
        <w:pStyle w:val="50"/>
        <w:spacing w:after="0" w:line="360" w:lineRule="auto"/>
        <w:ind w:left="0" w:leftChars="0" w:firstLine="595" w:firstLineChars="247"/>
        <w:rPr>
          <w:rFonts w:ascii="宋体" w:hAnsi="宋体" w:eastAsia="宋体" w:cs="Times New Roman"/>
          <w:b/>
          <w:color w:val="000000" w:themeColor="text1"/>
          <w:sz w:val="24"/>
          <w:szCs w:val="28"/>
          <w14:textFill>
            <w14:solidFill>
              <w14:schemeClr w14:val="tx1"/>
            </w14:solidFill>
          </w14:textFill>
        </w:rPr>
      </w:pPr>
      <w:r>
        <w:rPr>
          <w:rFonts w:hint="eastAsia" w:ascii="宋体" w:hAnsi="宋体" w:eastAsia="宋体" w:cs="Times New Roman"/>
          <w:b/>
          <w:color w:val="000000" w:themeColor="text1"/>
          <w:sz w:val="24"/>
          <w:szCs w:val="28"/>
          <w14:textFill>
            <w14:solidFill>
              <w14:schemeClr w14:val="tx1"/>
            </w14:solidFill>
          </w14:textFill>
        </w:rPr>
        <w:t>五、质量要求及验收标准</w:t>
      </w:r>
    </w:p>
    <w:p>
      <w:pPr>
        <w:pStyle w:val="50"/>
        <w:spacing w:after="0" w:line="360" w:lineRule="auto"/>
        <w:ind w:left="0" w:leftChars="0" w:firstLine="480"/>
        <w:rPr>
          <w:rFonts w:ascii="宋体" w:hAnsi="宋体" w:eastAsia="宋体" w:cs="Times New Roman"/>
          <w:color w:val="000000" w:themeColor="text1"/>
          <w:sz w:val="24"/>
          <w:szCs w:val="28"/>
          <w14:textFill>
            <w14:solidFill>
              <w14:schemeClr w14:val="tx1"/>
            </w14:solidFill>
          </w14:textFill>
        </w:rPr>
      </w:pPr>
      <w:r>
        <w:rPr>
          <w:rFonts w:hint="eastAsia" w:ascii="宋体" w:hAnsi="宋体" w:eastAsia="宋体" w:cs="Times New Roman"/>
          <w:color w:val="000000" w:themeColor="text1"/>
          <w:sz w:val="24"/>
          <w:szCs w:val="28"/>
          <w14:textFill>
            <w14:solidFill>
              <w14:schemeClr w14:val="tx1"/>
            </w14:solidFill>
          </w14:textFill>
        </w:rPr>
        <w:t>1. 所有产品的供货严格按照招标文件采购清单和技术要求进行，保证所供货产品质量及规格与招标文件中的清单及技术要求相一致，并符合国家、地方、行业相关的标准规范。</w:t>
      </w:r>
    </w:p>
    <w:p>
      <w:pPr>
        <w:pStyle w:val="50"/>
        <w:spacing w:after="0" w:line="360" w:lineRule="auto"/>
        <w:ind w:left="0" w:leftChars="0" w:firstLine="480"/>
        <w:rPr>
          <w:rFonts w:ascii="宋体" w:hAnsi="宋体" w:eastAsia="宋体" w:cs="Times New Roman"/>
          <w:color w:val="000000" w:themeColor="text1"/>
          <w:sz w:val="24"/>
          <w:szCs w:val="28"/>
          <w14:textFill>
            <w14:solidFill>
              <w14:schemeClr w14:val="tx1"/>
            </w14:solidFill>
          </w14:textFill>
        </w:rPr>
      </w:pPr>
      <w:r>
        <w:rPr>
          <w:rFonts w:hint="eastAsia" w:ascii="宋体" w:hAnsi="宋体" w:eastAsia="宋体" w:cs="Times New Roman"/>
          <w:color w:val="000000" w:themeColor="text1"/>
          <w:sz w:val="24"/>
          <w:szCs w:val="28"/>
          <w14:textFill>
            <w14:solidFill>
              <w14:schemeClr w14:val="tx1"/>
            </w14:solidFill>
          </w14:textFill>
        </w:rPr>
        <w:t>2. 投标人所供产品均应满足招标文件技术要求，产品材料均应达到国家或行业标准。所有用品须经委托人考察认可，方可供货。</w:t>
      </w:r>
    </w:p>
    <w:p>
      <w:pPr>
        <w:pStyle w:val="50"/>
        <w:spacing w:after="0" w:line="360" w:lineRule="auto"/>
        <w:ind w:left="0" w:leftChars="0" w:firstLine="480"/>
        <w:rPr>
          <w:rFonts w:ascii="宋体" w:hAnsi="宋体" w:eastAsia="宋体" w:cs="Times New Roman"/>
          <w:color w:val="000000" w:themeColor="text1"/>
          <w:sz w:val="24"/>
          <w:szCs w:val="28"/>
          <w14:textFill>
            <w14:solidFill>
              <w14:schemeClr w14:val="tx1"/>
            </w14:solidFill>
          </w14:textFill>
        </w:rPr>
      </w:pPr>
      <w:r>
        <w:rPr>
          <w:rFonts w:hint="eastAsia" w:ascii="宋体" w:hAnsi="宋体" w:eastAsia="宋体" w:cs="Times New Roman"/>
          <w:color w:val="000000" w:themeColor="text1"/>
          <w:sz w:val="24"/>
          <w:szCs w:val="28"/>
          <w14:textFill>
            <w14:solidFill>
              <w14:schemeClr w14:val="tx1"/>
            </w14:solidFill>
          </w14:textFill>
        </w:rPr>
        <w:t>3.所供产品将严格按招标文件技术要求中的材质进行验收。</w:t>
      </w:r>
    </w:p>
    <w:p>
      <w:pPr>
        <w:pStyle w:val="50"/>
        <w:numPr>
          <w:ilvl w:val="0"/>
          <w:numId w:val="7"/>
        </w:numPr>
        <w:spacing w:after="0" w:line="360" w:lineRule="auto"/>
        <w:ind w:left="0" w:leftChars="0" w:firstLine="480"/>
        <w:rPr>
          <w:rFonts w:ascii="宋体" w:hAnsi="宋体" w:eastAsia="宋体" w:cs="Times New Roman"/>
          <w:color w:val="000000" w:themeColor="text1"/>
          <w:sz w:val="24"/>
          <w:szCs w:val="28"/>
          <w14:textFill>
            <w14:solidFill>
              <w14:schemeClr w14:val="tx1"/>
            </w14:solidFill>
          </w14:textFill>
        </w:rPr>
      </w:pPr>
      <w:r>
        <w:rPr>
          <w:rFonts w:hint="eastAsia" w:ascii="宋体" w:hAnsi="宋体" w:eastAsia="宋体" w:cs="Times New Roman"/>
          <w:color w:val="000000" w:themeColor="text1"/>
          <w:sz w:val="24"/>
          <w:szCs w:val="28"/>
          <w14:textFill>
            <w14:solidFill>
              <w14:schemeClr w14:val="tx1"/>
            </w14:solidFill>
          </w14:textFill>
        </w:rPr>
        <w:t>中标人所供产品的材质、尺寸、外观颜色等规格参数，要严格遵照招标人提供的要求；</w:t>
      </w:r>
    </w:p>
    <w:p>
      <w:pPr>
        <w:pStyle w:val="50"/>
        <w:numPr>
          <w:ilvl w:val="0"/>
          <w:numId w:val="7"/>
        </w:numPr>
        <w:spacing w:after="0" w:line="360" w:lineRule="auto"/>
        <w:ind w:left="0" w:leftChars="0" w:firstLine="480"/>
        <w:rPr>
          <w:rFonts w:ascii="宋体" w:hAnsi="宋体" w:eastAsia="宋体" w:cs="Times New Roman"/>
          <w:color w:val="000000" w:themeColor="text1"/>
          <w:sz w:val="24"/>
          <w:szCs w:val="28"/>
          <w14:textFill>
            <w14:solidFill>
              <w14:schemeClr w14:val="tx1"/>
            </w14:solidFill>
          </w14:textFill>
        </w:rPr>
      </w:pPr>
      <w:r>
        <w:rPr>
          <w:rFonts w:hint="eastAsia" w:ascii="宋体" w:hAnsi="宋体" w:eastAsia="宋体" w:cs="Times New Roman"/>
          <w:color w:val="000000" w:themeColor="text1"/>
          <w:sz w:val="24"/>
          <w:szCs w:val="28"/>
          <w14:textFill>
            <w14:solidFill>
              <w14:schemeClr w14:val="tx1"/>
            </w14:solidFill>
          </w14:textFill>
        </w:rPr>
        <w:t>供货的产品数量以货到现场，实收数量为准，如有缺失、破损，中标人无条件免费补货且不得影响招标方正常使用；</w:t>
      </w:r>
    </w:p>
    <w:p>
      <w:pPr>
        <w:pStyle w:val="50"/>
        <w:numPr>
          <w:ilvl w:val="0"/>
          <w:numId w:val="7"/>
        </w:numPr>
        <w:spacing w:after="0" w:line="360" w:lineRule="auto"/>
        <w:ind w:left="0" w:leftChars="0" w:firstLine="480" w:firstLineChars="0"/>
        <w:rPr>
          <w:rFonts w:ascii="宋体" w:hAnsi="宋体" w:eastAsia="宋体" w:cs="Times New Roman"/>
          <w:color w:val="000000" w:themeColor="text1"/>
          <w:sz w:val="24"/>
          <w:szCs w:val="28"/>
          <w14:textFill>
            <w14:solidFill>
              <w14:schemeClr w14:val="tx1"/>
            </w14:solidFill>
          </w14:textFill>
        </w:rPr>
      </w:pPr>
      <w:r>
        <w:rPr>
          <w:rFonts w:hint="eastAsia" w:ascii="宋体" w:hAnsi="宋体" w:eastAsia="宋体" w:cs="Times New Roman"/>
          <w:color w:val="000000" w:themeColor="text1"/>
          <w:sz w:val="24"/>
          <w:szCs w:val="28"/>
          <w14:textFill>
            <w14:solidFill>
              <w14:schemeClr w14:val="tx1"/>
            </w14:solidFill>
          </w14:textFill>
        </w:rPr>
        <w:t>供货的产品质量必须符合国家检验质量3C标准、CE认证。</w:t>
      </w:r>
      <w:bookmarkStart w:id="68" w:name="_Toc7187430"/>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Chars="0" w:firstLineChars="0"/>
        <w:rPr>
          <w:rFonts w:ascii="宋体" w:hAnsi="宋体" w:eastAsia="宋体" w:cs="Times New Roman"/>
          <w:color w:val="000000" w:themeColor="text1"/>
          <w:sz w:val="24"/>
          <w:szCs w:val="28"/>
          <w14:textFill>
            <w14:solidFill>
              <w14:schemeClr w14:val="tx1"/>
            </w14:solidFill>
          </w14:textFill>
        </w:rPr>
      </w:pPr>
    </w:p>
    <w:p>
      <w:pPr>
        <w:pStyle w:val="50"/>
        <w:spacing w:after="0" w:line="360" w:lineRule="auto"/>
        <w:ind w:left="0" w:leftChars="0" w:firstLine="0" w:firstLineChars="0"/>
        <w:rPr>
          <w:rFonts w:ascii="宋体" w:hAnsi="宋体" w:eastAsia="宋体" w:cs="Times New Roman"/>
          <w:color w:val="000000" w:themeColor="text1"/>
          <w:sz w:val="24"/>
          <w:szCs w:val="28"/>
          <w14:textFill>
            <w14:solidFill>
              <w14:schemeClr w14:val="tx1"/>
            </w14:solidFill>
          </w14:textFill>
        </w:rPr>
      </w:pPr>
    </w:p>
    <w:p>
      <w:pPr>
        <w:pStyle w:val="3"/>
        <w:spacing w:line="500" w:lineRule="exact"/>
        <w:jc w:val="center"/>
        <w:rPr>
          <w:rFonts w:ascii="宋体" w:hAnsi="宋体"/>
          <w:color w:val="000000" w:themeColor="text1"/>
          <w14:textFill>
            <w14:solidFill>
              <w14:schemeClr w14:val="tx1"/>
            </w14:solidFill>
          </w14:textFill>
        </w:rPr>
      </w:pPr>
      <w:bookmarkStart w:id="69" w:name="_Toc102633631"/>
      <w:r>
        <w:rPr>
          <w:rFonts w:hint="eastAsia" w:ascii="宋体" w:hAnsi="宋体"/>
          <w:color w:val="000000" w:themeColor="text1"/>
          <w14:textFill>
            <w14:solidFill>
              <w14:schemeClr w14:val="tx1"/>
            </w14:solidFill>
          </w14:textFill>
        </w:rPr>
        <w:t>第五章 评标办法</w:t>
      </w:r>
      <w:bookmarkEnd w:id="24"/>
      <w:bookmarkEnd w:id="68"/>
      <w:bookmarkEnd w:id="69"/>
    </w:p>
    <w:p>
      <w:pPr>
        <w:adjustRightInd w:val="0"/>
        <w:snapToGrid w:val="0"/>
        <w:spacing w:line="360" w:lineRule="auto"/>
        <w:ind w:left="420" w:leftChars="200" w:right="-1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合肥体育中心游泳馆泳池投药系统采购项目（项目编号：2022WLBLZB00017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bCs/>
          <w:color w:val="000000" w:themeColor="text1"/>
          <w:sz w:val="24"/>
          <w:szCs w:val="24"/>
          <w14:textFill>
            <w14:solidFill>
              <w14:schemeClr w14:val="tx1"/>
            </w14:solidFill>
          </w14:textFill>
        </w:rPr>
      </w:pPr>
      <w:bookmarkStart w:id="70" w:name="_Toc220232391"/>
      <w:r>
        <w:rPr>
          <w:rFonts w:hint="eastAsia" w:ascii="宋体" w:hAnsi="宋体"/>
          <w:b/>
          <w:bCs/>
          <w:color w:val="000000" w:themeColor="text1"/>
          <w:sz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本次项目评标采用</w:t>
      </w:r>
      <w:r>
        <w:rPr>
          <w:rFonts w:hint="eastAsia" w:ascii="宋体" w:hAnsi="宋体"/>
          <w:bCs/>
          <w:color w:val="000000" w:themeColor="text1"/>
          <w:sz w:val="24"/>
          <w:szCs w:val="24"/>
          <w:u w:val="single"/>
          <w14:textFill>
            <w14:solidFill>
              <w14:schemeClr w14:val="tx1"/>
            </w14:solidFill>
          </w14:textFill>
        </w:rPr>
        <w:t>综合评分法</w:t>
      </w:r>
      <w:r>
        <w:rPr>
          <w:rFonts w:hint="eastAsia" w:ascii="宋体" w:hAnsi="宋体"/>
          <w:bCs/>
          <w:color w:val="000000" w:themeColor="text1"/>
          <w:sz w:val="24"/>
          <w:szCs w:val="24"/>
          <w14:textFill>
            <w14:solidFill>
              <w14:schemeClr w14:val="tx1"/>
            </w14:solidFill>
          </w14:textFill>
        </w:rPr>
        <w:t>作为对投标人标书的比较方法</w:t>
      </w:r>
      <w:r>
        <w:rPr>
          <w:rFonts w:hint="eastAsia" w:ascii="宋体" w:hAnsi="宋体"/>
          <w:color w:val="000000" w:themeColor="text1"/>
          <w:sz w:val="24"/>
          <w14:textFill>
            <w14:solidFill>
              <w14:schemeClr w14:val="tx1"/>
            </w14:solidFill>
          </w14:textFill>
        </w:rPr>
        <w:t>。</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b/>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482" w:firstLineChars="2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422" w:firstLineChars="175"/>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8.</w:t>
      </w:r>
      <w:r>
        <w:rPr>
          <w:rFonts w:hint="eastAsia" w:ascii="宋体" w:hAnsi="宋体"/>
          <w:bCs/>
          <w:color w:val="000000" w:themeColor="text1"/>
          <w:sz w:val="24"/>
          <w14:textFill>
            <w14:solidFill>
              <w14:schemeClr w14:val="tx1"/>
            </w14:solidFill>
          </w14:textFill>
        </w:rPr>
        <w:t>评审程序</w:t>
      </w:r>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本项目采用</w:t>
      </w:r>
      <w:r>
        <w:rPr>
          <w:rFonts w:hint="eastAsia" w:ascii="宋体" w:hAnsi="宋体"/>
          <w:bCs/>
          <w:color w:val="000000" w:themeColor="text1"/>
          <w:sz w:val="24"/>
          <w14:textFill>
            <w14:solidFill>
              <w14:schemeClr w14:val="tx1"/>
            </w14:solidFill>
          </w14:textFill>
        </w:rPr>
        <w:t>综合评分法</w:t>
      </w:r>
      <w:r>
        <w:rPr>
          <w:rFonts w:hint="eastAsia" w:ascii="宋体" w:hAnsi="宋体"/>
          <w:bCs/>
          <w:color w:val="000000" w:themeColor="text1"/>
          <w:sz w:val="24"/>
          <w:szCs w:val="24"/>
          <w14:textFill>
            <w14:solidFill>
              <w14:schemeClr w14:val="tx1"/>
            </w14:solidFill>
          </w14:textFill>
        </w:rPr>
        <w:t>进行评审，</w:t>
      </w:r>
      <w:r>
        <w:rPr>
          <w:rFonts w:hint="eastAsia" w:ascii="宋体" w:hAnsi="宋体"/>
          <w:bCs/>
          <w:color w:val="000000" w:themeColor="text1"/>
          <w:sz w:val="24"/>
          <w14:textFill>
            <w14:solidFill>
              <w14:schemeClr w14:val="tx1"/>
            </w14:solidFill>
          </w14:textFill>
        </w:rPr>
        <w:t>在最大限度地满足招标文件实质性要求前提下，按照招标文件中规定的各项因素进行综合评审。综合评分法的主要因素是：技术部分、商务部分以及相应的比重。</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评标委员会遵循规定评标原则，对投标人进行初审、详细评审、商务部分得分计算和确定中标候选人。</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51"/>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19"/>
        <w:gridCol w:w="2835"/>
        <w:gridCol w:w="127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0349" w:type="dxa"/>
            <w:gridSpan w:val="5"/>
            <w:vAlign w:val="center"/>
          </w:tcPr>
          <w:p>
            <w:pPr>
              <w:pStyle w:val="66"/>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ascii="宋体" w:hAnsi="宋体"/>
                <w:b/>
                <w:color w:val="000000" w:themeColor="text1"/>
                <w14:textFill>
                  <w14:solidFill>
                    <w14:schemeClr w14:val="tx1"/>
                  </w14:solidFill>
                </w14:textFill>
              </w:rPr>
              <w:t>项目</w:t>
            </w: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817"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019" w:type="dxa"/>
            <w:tcBorders>
              <w:bottom w:val="single" w:color="auto" w:sz="4" w:space="0"/>
            </w:tcBorders>
            <w:vAlign w:val="center"/>
          </w:tcPr>
          <w:p>
            <w:pPr>
              <w:pStyle w:val="66"/>
              <w:pBdr>
                <w:bottom w:val="none" w:color="auto" w:sz="0" w:space="0"/>
              </w:pBdr>
              <w:tabs>
                <w:tab w:val="clear" w:pos="4153"/>
                <w:tab w:val="clear" w:pos="8306"/>
              </w:tabs>
              <w:snapToGrid w:val="0"/>
              <w:spacing w:line="360" w:lineRule="auto"/>
              <w:ind w:right="-10"/>
              <w:jc w:val="both"/>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1276"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3402"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817"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2019" w:type="dxa"/>
            <w:tcBorders>
              <w:bottom w:val="single" w:color="auto" w:sz="4" w:space="0"/>
            </w:tcBorders>
            <w:vAlign w:val="center"/>
          </w:tcPr>
          <w:p>
            <w:pPr>
              <w:pStyle w:val="113"/>
              <w:spacing w:line="360" w:lineRule="auto"/>
              <w:jc w:val="center"/>
              <w:rPr>
                <w:rFonts w:ascii="宋体" w:hAnsi="宋体" w:eastAsia="宋体"/>
                <w:color w:val="000000" w:themeColor="text1"/>
                <w:kern w:val="2"/>
                <w14:textFill>
                  <w14:solidFill>
                    <w14:schemeClr w14:val="tx1"/>
                  </w14:solidFill>
                </w14:textFill>
              </w:rPr>
            </w:pPr>
            <w:r>
              <w:rPr>
                <w:rFonts w:ascii="宋体" w:hAnsi="宋体" w:eastAsia="宋体"/>
                <w:color w:val="000000" w:themeColor="text1"/>
                <w:kern w:val="2"/>
                <w14:textFill>
                  <w14:solidFill>
                    <w14:schemeClr w14:val="tx1"/>
                  </w14:solidFill>
                </w14:textFill>
              </w:rPr>
              <w:t>投标人名称</w:t>
            </w:r>
          </w:p>
        </w:tc>
        <w:tc>
          <w:tcPr>
            <w:tcW w:w="2835" w:type="dxa"/>
            <w:tcBorders>
              <w:bottom w:val="single" w:color="auto" w:sz="4" w:space="0"/>
            </w:tcBorders>
            <w:vAlign w:val="center"/>
          </w:tcPr>
          <w:p>
            <w:pPr>
              <w:pStyle w:val="113"/>
              <w:spacing w:line="360" w:lineRule="auto"/>
              <w:jc w:val="center"/>
              <w:rPr>
                <w:rFonts w:ascii="宋体" w:hAnsi="宋体" w:eastAsia="宋体"/>
                <w:color w:val="000000" w:themeColor="text1"/>
                <w:kern w:val="2"/>
                <w14:textFill>
                  <w14:solidFill>
                    <w14:schemeClr w14:val="tx1"/>
                  </w14:solidFill>
                </w14:textFill>
              </w:rPr>
            </w:pPr>
            <w:r>
              <w:rPr>
                <w:rFonts w:ascii="宋体" w:hAnsi="宋体" w:eastAsia="宋体"/>
                <w:color w:val="000000" w:themeColor="text1"/>
                <w:kern w:val="2"/>
                <w14:textFill>
                  <w14:solidFill>
                    <w14:schemeClr w14:val="tx1"/>
                  </w14:solidFill>
                </w14:textFill>
              </w:rPr>
              <w:t>与营业执照一致</w:t>
            </w:r>
          </w:p>
        </w:tc>
        <w:tc>
          <w:tcPr>
            <w:tcW w:w="1276"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402"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817"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2019"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1276"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3402" w:type="dxa"/>
            <w:tcBorders>
              <w:bottom w:val="single" w:color="auto" w:sz="4" w:space="0"/>
            </w:tcBorders>
            <w:vAlign w:val="center"/>
          </w:tcPr>
          <w:p>
            <w:pPr>
              <w:adjustRightInd w:val="0"/>
              <w:snapToGrid w:val="0"/>
              <w:spacing w:line="420" w:lineRule="exact"/>
              <w:ind w:right="-11"/>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r>
              <w:rPr>
                <w:rFonts w:hint="eastAsia" w:ascii="宋体" w:hAnsi="宋体"/>
                <w:bCs/>
                <w:color w:val="000000" w:themeColor="text1"/>
                <w:sz w:val="24"/>
                <w:szCs w:val="24"/>
                <w14:textFill>
                  <w14:solidFill>
                    <w14:schemeClr w14:val="tx1"/>
                  </w14:solidFill>
                </w14:textFill>
              </w:rPr>
              <w:t>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019"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6"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402" w:type="dxa"/>
            <w:vAlign w:val="center"/>
          </w:tcPr>
          <w:p>
            <w:pPr>
              <w:adjustRightInd w:val="0"/>
              <w:snapToGrid w:val="0"/>
              <w:spacing w:line="360" w:lineRule="auto"/>
              <w:ind w:right="-1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019"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6"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402" w:type="dxa"/>
            <w:vAlign w:val="center"/>
          </w:tcPr>
          <w:p>
            <w:pPr>
              <w:adjustRightInd w:val="0"/>
              <w:snapToGrid w:val="0"/>
              <w:spacing w:line="360" w:lineRule="auto"/>
              <w:ind w:right="-1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要求详见第七章投标文件格式“投标授权书”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019"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6"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402" w:type="dxa"/>
            <w:vAlign w:val="center"/>
          </w:tcPr>
          <w:p>
            <w:pPr>
              <w:adjustRightInd w:val="0"/>
              <w:snapToGrid w:val="0"/>
              <w:spacing w:line="360" w:lineRule="auto"/>
              <w:ind w:right="-1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具体详见</w:t>
            </w:r>
            <w:r>
              <w:rPr>
                <w:rFonts w:hint="eastAsia" w:ascii="宋体" w:hAnsi="宋体"/>
                <w:color w:val="000000" w:themeColor="text1"/>
                <w:sz w:val="24"/>
                <w:szCs w:val="24"/>
                <w14:textFill>
                  <w14:solidFill>
                    <w14:schemeClr w14:val="tx1"/>
                  </w14:solidFill>
                </w14:textFill>
              </w:rPr>
              <w:t>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201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符合招标文件要求</w:t>
            </w:r>
          </w:p>
        </w:tc>
        <w:tc>
          <w:tcPr>
            <w:tcW w:w="1276"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40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201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投标报价</w:t>
            </w:r>
          </w:p>
        </w:tc>
        <w:tc>
          <w:tcPr>
            <w:tcW w:w="283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符合招标文件要求</w:t>
            </w:r>
          </w:p>
        </w:tc>
        <w:tc>
          <w:tcPr>
            <w:tcW w:w="1276"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40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201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投标人资格</w:t>
            </w:r>
          </w:p>
        </w:tc>
        <w:tc>
          <w:tcPr>
            <w:tcW w:w="283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符合招标公告要求</w:t>
            </w:r>
          </w:p>
        </w:tc>
        <w:tc>
          <w:tcPr>
            <w:tcW w:w="1276"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40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1.详见第一章投标邀请“投标人资格”；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p>
        </w:tc>
        <w:tc>
          <w:tcPr>
            <w:tcW w:w="2019" w:type="dxa"/>
            <w:vAlign w:val="center"/>
          </w:tcPr>
          <w:p>
            <w:pPr>
              <w:autoSpaceDE w:val="0"/>
              <w:autoSpaceDN w:val="0"/>
              <w:adjustRightInd w:val="0"/>
              <w:spacing w:line="400" w:lineRule="exact"/>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w:t>
            </w:r>
          </w:p>
        </w:tc>
        <w:tc>
          <w:tcPr>
            <w:tcW w:w="2835" w:type="dxa"/>
            <w:vAlign w:val="center"/>
          </w:tcPr>
          <w:p>
            <w:pPr>
              <w:spacing w:line="400" w:lineRule="exact"/>
              <w:ind w:right="-11"/>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76"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40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p>
        </w:tc>
        <w:tc>
          <w:tcPr>
            <w:tcW w:w="2019" w:type="dxa"/>
            <w:vAlign w:val="center"/>
          </w:tcPr>
          <w:p>
            <w:pPr>
              <w:autoSpaceDE w:val="0"/>
              <w:autoSpaceDN w:val="0"/>
              <w:adjustRightInd w:val="0"/>
              <w:spacing w:line="400" w:lineRule="exact"/>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标书响应情况</w:t>
            </w:r>
          </w:p>
        </w:tc>
        <w:tc>
          <w:tcPr>
            <w:tcW w:w="2835" w:type="dxa"/>
            <w:vAlign w:val="center"/>
          </w:tcPr>
          <w:p>
            <w:pPr>
              <w:autoSpaceDE w:val="0"/>
              <w:autoSpaceDN w:val="0"/>
              <w:adjustRightInd w:val="0"/>
              <w:spacing w:line="40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付款响应、服务期限响应等</w:t>
            </w:r>
          </w:p>
        </w:tc>
        <w:tc>
          <w:tcPr>
            <w:tcW w:w="1276" w:type="dxa"/>
            <w:vAlign w:val="center"/>
          </w:tcPr>
          <w:p>
            <w:pPr>
              <w:adjustRightInd w:val="0"/>
              <w:snapToGrid w:val="0"/>
              <w:spacing w:line="360" w:lineRule="auto"/>
              <w:ind w:right="-10"/>
              <w:jc w:val="center"/>
              <w:rPr>
                <w:rFonts w:ascii="宋体" w:hAnsi="宋体"/>
                <w:color w:val="000000" w:themeColor="text1"/>
                <w:sz w:val="24"/>
                <w:szCs w:val="28"/>
                <w14:textFill>
                  <w14:solidFill>
                    <w14:schemeClr w14:val="tx1"/>
                  </w14:solidFill>
                </w14:textFill>
              </w:rPr>
            </w:pPr>
          </w:p>
        </w:tc>
        <w:tc>
          <w:tcPr>
            <w:tcW w:w="3402" w:type="dxa"/>
            <w:vAlign w:val="center"/>
          </w:tcPr>
          <w:p>
            <w:pPr>
              <w:adjustRightInd w:val="0"/>
              <w:snapToGrid w:val="0"/>
              <w:spacing w:line="360" w:lineRule="auto"/>
              <w:ind w:right="-10"/>
              <w:jc w:val="center"/>
              <w:rPr>
                <w:rFonts w:ascii="宋体" w:hAnsi="宋体"/>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1</w:t>
            </w:r>
          </w:p>
        </w:tc>
        <w:tc>
          <w:tcPr>
            <w:tcW w:w="2019" w:type="dxa"/>
            <w:vAlign w:val="center"/>
          </w:tcPr>
          <w:p>
            <w:pPr>
              <w:autoSpaceDE w:val="0"/>
              <w:autoSpaceDN w:val="0"/>
              <w:adjustRightInd w:val="0"/>
              <w:spacing w:line="400" w:lineRule="exact"/>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autoSpaceDE w:val="0"/>
              <w:autoSpaceDN w:val="0"/>
              <w:adjustRightInd w:val="0"/>
              <w:spacing w:line="400" w:lineRule="exact"/>
              <w:jc w:val="left"/>
              <w:rPr>
                <w:rFonts w:ascii="宋体" w:hAnsi="宋体"/>
                <w:color w:val="000000" w:themeColor="text1"/>
                <w:sz w:val="24"/>
                <w:szCs w:val="24"/>
                <w14:textFill>
                  <w14:solidFill>
                    <w14:schemeClr w14:val="tx1"/>
                  </w14:solidFill>
                </w14:textFill>
              </w:rPr>
            </w:pPr>
          </w:p>
        </w:tc>
        <w:tc>
          <w:tcPr>
            <w:tcW w:w="1276" w:type="dxa"/>
            <w:vAlign w:val="center"/>
          </w:tcPr>
          <w:p>
            <w:pPr>
              <w:adjustRightInd w:val="0"/>
              <w:snapToGrid w:val="0"/>
              <w:spacing w:line="360" w:lineRule="auto"/>
              <w:ind w:right="-10"/>
              <w:jc w:val="center"/>
              <w:rPr>
                <w:rFonts w:ascii="宋体" w:hAnsi="宋体"/>
                <w:color w:val="000000" w:themeColor="text1"/>
                <w:sz w:val="24"/>
                <w:szCs w:val="28"/>
                <w14:textFill>
                  <w14:solidFill>
                    <w14:schemeClr w14:val="tx1"/>
                  </w14:solidFill>
                </w14:textFill>
              </w:rPr>
            </w:pPr>
          </w:p>
        </w:tc>
        <w:tc>
          <w:tcPr>
            <w:tcW w:w="3402" w:type="dxa"/>
            <w:vAlign w:val="center"/>
          </w:tcPr>
          <w:p>
            <w:pPr>
              <w:adjustRightInd w:val="0"/>
              <w:snapToGrid w:val="0"/>
              <w:spacing w:line="360" w:lineRule="auto"/>
              <w:ind w:right="-10"/>
              <w:jc w:val="center"/>
              <w:rPr>
                <w:rFonts w:ascii="宋体" w:hAnsi="宋体"/>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2</w:t>
            </w:r>
          </w:p>
        </w:tc>
        <w:tc>
          <w:tcPr>
            <w:tcW w:w="2019"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其他要求</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上述指标中未列出，但国家相关法律法规或招标文件有明确规定的</w:t>
            </w:r>
          </w:p>
        </w:tc>
        <w:tc>
          <w:tcPr>
            <w:tcW w:w="1276"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402"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49" w:type="dxa"/>
            <w:gridSpan w:val="5"/>
            <w:vAlign w:val="center"/>
          </w:tcPr>
          <w:p>
            <w:pPr>
              <w:spacing w:before="139" w:line="400" w:lineRule="exact"/>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0"/>
                <w14:textFill>
                  <w14:solidFill>
                    <w14:schemeClr w14:val="tx1"/>
                  </w14:solidFill>
                </w14:textFill>
              </w:rPr>
              <w:t>评</w:t>
            </w:r>
            <w:r>
              <w:rPr>
                <w:rFonts w:hint="eastAsia" w:ascii="宋体" w:hAnsi="宋体"/>
                <w:color w:val="000000" w:themeColor="text1"/>
                <w:sz w:val="24"/>
                <w:szCs w:val="28"/>
                <w14:textFill>
                  <w14:solidFill>
                    <w14:schemeClr w14:val="tx1"/>
                  </w14:solidFill>
                </w14:textFill>
              </w:rPr>
              <w:t>审指标通过标准：</w:t>
            </w:r>
          </w:p>
          <w:p>
            <w:pPr>
              <w:spacing w:before="139"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（1）资格审查采用定性方法，符合性评审，所有评审选项必须全部通过方为合格。</w:t>
            </w:r>
          </w:p>
          <w:p>
            <w:pPr>
              <w:adjustRightInd w:val="0"/>
              <w:snapToGrid w:val="0"/>
              <w:spacing w:line="360" w:lineRule="auto"/>
              <w:ind w:right="-1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spacing w:line="360" w:lineRule="auto"/>
        <w:ind w:left="143" w:leftChars="68" w:firstLine="480" w:firstLineChars="200"/>
        <w:rPr>
          <w:rFonts w:ascii="宋体" w:hAnsi="宋体"/>
          <w:bCs/>
          <w:color w:val="000000" w:themeColor="text1"/>
          <w:sz w:val="24"/>
          <w14:textFill>
            <w14:solidFill>
              <w14:schemeClr w14:val="tx1"/>
            </w14:solidFill>
          </w14:textFill>
        </w:rPr>
      </w:pP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bookmarkStart w:id="71" w:name="_Hlk514734618"/>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详细评审</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.2.1</w:t>
      </w:r>
      <w:bookmarkStart w:id="72" w:name="_Hlk514734853"/>
      <w:r>
        <w:rPr>
          <w:rFonts w:hint="eastAsia" w:ascii="宋体" w:hAnsi="宋体"/>
          <w:bCs/>
          <w:color w:val="000000" w:themeColor="text1"/>
          <w:sz w:val="24"/>
          <w14:textFill>
            <w14:solidFill>
              <w14:schemeClr w14:val="tx1"/>
            </w14:solidFill>
          </w14:textFill>
        </w:rPr>
        <w:t>评标委员会将对所有通过初审的投标文件进行详细评审，具体如下：</w:t>
      </w:r>
      <w:bookmarkEnd w:id="72"/>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根据评分的细则，评委应对进入详细评审的所有投标文件进行评分，并分别填写打分表。</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将投标人每个分值项得分进行汇总并计算出平均值，得到该投标人该分值项的得分。</w:t>
      </w:r>
    </w:p>
    <w:p>
      <w:pPr>
        <w:adjustRightInd w:val="0"/>
        <w:snapToGrid w:val="0"/>
        <w:spacing w:line="360" w:lineRule="auto"/>
        <w:ind w:right="-10" w:firstLine="900" w:firstLineChars="3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投标人的各项得分均保留小数点后两位（小数点后第三位四舍五入）。</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8.2.2</w:t>
      </w:r>
      <w:r>
        <w:rPr>
          <w:rFonts w:hint="eastAsia" w:ascii="宋体" w:hAnsi="宋体"/>
          <w:color w:val="000000" w:themeColor="text1"/>
          <w:sz w:val="24"/>
          <w:szCs w:val="24"/>
          <w14:textFill>
            <w14:solidFill>
              <w14:schemeClr w14:val="tx1"/>
            </w14:solidFill>
          </w14:textFill>
        </w:rPr>
        <w:t>技术部分详细评审</w:t>
      </w:r>
      <w:bookmarkStart w:id="73" w:name="_Hlk514734883"/>
      <w:r>
        <w:rPr>
          <w:rFonts w:hint="eastAsia" w:ascii="宋体" w:hAnsi="宋体"/>
          <w:bCs/>
          <w:color w:val="000000" w:themeColor="text1"/>
          <w:sz w:val="24"/>
          <w14:textFill>
            <w14:solidFill>
              <w14:schemeClr w14:val="tx1"/>
            </w14:solidFill>
          </w14:textFill>
        </w:rPr>
        <w:t>指标如下：</w:t>
      </w:r>
      <w:bookmarkEnd w:id="71"/>
      <w:bookmarkEnd w:id="73"/>
    </w:p>
    <w:tbl>
      <w:tblPr>
        <w:tblStyle w:val="51"/>
        <w:tblW w:w="5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103"/>
        <w:gridCol w:w="8078"/>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gridSpan w:val="4"/>
          </w:tcPr>
          <w:p>
            <w:pPr>
              <w:adjustRightInd w:val="0"/>
              <w:snapToGrid w:val="0"/>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技术部分详细评审表（</w:t>
            </w:r>
            <w:r>
              <w:rPr>
                <w:rFonts w:ascii="宋体" w:hAnsi="宋体"/>
                <w:b/>
                <w:color w:val="000000" w:themeColor="text1"/>
                <w:sz w:val="24"/>
                <w:szCs w:val="24"/>
                <w14:textFill>
                  <w14:solidFill>
                    <w14:schemeClr w14:val="tx1"/>
                  </w14:solidFill>
                </w14:textFill>
              </w:rPr>
              <w:t>60</w:t>
            </w:r>
            <w:r>
              <w:rPr>
                <w:rFonts w:hint="eastAsia" w:ascii="宋体" w:hAnsi="宋体"/>
                <w:b/>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tcPr>
          <w:p>
            <w:pPr>
              <w:adjustRightInd w:val="0"/>
              <w:snapToGrid w:val="0"/>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序号</w:t>
            </w:r>
          </w:p>
        </w:tc>
        <w:tc>
          <w:tcPr>
            <w:tcW w:w="494" w:type="pct"/>
          </w:tcPr>
          <w:p>
            <w:pPr>
              <w:adjustRightInd w:val="0"/>
              <w:snapToGrid w:val="0"/>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指标</w:t>
            </w:r>
          </w:p>
        </w:tc>
        <w:tc>
          <w:tcPr>
            <w:tcW w:w="3618" w:type="pct"/>
          </w:tcPr>
          <w:p>
            <w:pPr>
              <w:adjustRightInd w:val="0"/>
              <w:snapToGrid w:val="0"/>
              <w:spacing w:line="360" w:lineRule="auto"/>
              <w:ind w:firstLine="482" w:firstLineChars="20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指标描述</w:t>
            </w:r>
          </w:p>
        </w:tc>
        <w:tc>
          <w:tcPr>
            <w:tcW w:w="544" w:type="pct"/>
          </w:tcPr>
          <w:p>
            <w:pPr>
              <w:adjustRightInd w:val="0"/>
              <w:snapToGrid w:val="0"/>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494" w:type="pct"/>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投标人实力</w:t>
            </w:r>
          </w:p>
        </w:tc>
        <w:tc>
          <w:tcPr>
            <w:tcW w:w="3618" w:type="pct"/>
            <w:vAlign w:val="center"/>
          </w:tcPr>
          <w:p>
            <w:pPr>
              <w:numPr>
                <w:ilvl w:val="0"/>
                <w:numId w:val="8"/>
              </w:numPr>
              <w:spacing w:line="360" w:lineRule="auto"/>
              <w:ind w:left="0" w:firstLine="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自2</w:t>
            </w:r>
            <w:r>
              <w:rPr>
                <w:rFonts w:ascii="宋体" w:hAnsi="宋体" w:cs="宋体"/>
                <w:color w:val="000000" w:themeColor="text1"/>
                <w:sz w:val="24"/>
                <w:szCs w:val="32"/>
                <w14:textFill>
                  <w14:solidFill>
                    <w14:schemeClr w14:val="tx1"/>
                  </w14:solidFill>
                </w14:textFill>
              </w:rPr>
              <w:t>017</w:t>
            </w:r>
            <w:r>
              <w:rPr>
                <w:rFonts w:hint="eastAsia" w:ascii="宋体" w:hAnsi="宋体" w:cs="宋体"/>
                <w:color w:val="000000" w:themeColor="text1"/>
                <w:sz w:val="24"/>
                <w:szCs w:val="32"/>
                <w14:textFill>
                  <w14:solidFill>
                    <w14:schemeClr w14:val="tx1"/>
                  </w14:solidFill>
                </w14:textFill>
              </w:rPr>
              <w:t xml:space="preserve">年1月1日以来，投标人所投产品获得地市级及以上工商行政主管部门颁发“商标注册证”的，得 </w:t>
            </w:r>
            <w:r>
              <w:rPr>
                <w:rFonts w:ascii="宋体" w:hAnsi="宋体" w:cs="宋体"/>
                <w:color w:val="000000" w:themeColor="text1"/>
                <w:sz w:val="24"/>
                <w:szCs w:val="32"/>
                <w14:textFill>
                  <w14:solidFill>
                    <w14:schemeClr w14:val="tx1"/>
                  </w14:solidFill>
                </w14:textFill>
              </w:rPr>
              <w:t>4</w:t>
            </w:r>
            <w:r>
              <w:rPr>
                <w:rFonts w:hint="eastAsia" w:ascii="宋体" w:hAnsi="宋体" w:cs="宋体"/>
                <w:color w:val="000000" w:themeColor="text1"/>
                <w:sz w:val="24"/>
                <w:szCs w:val="32"/>
                <w14:textFill>
                  <w14:solidFill>
                    <w14:schemeClr w14:val="tx1"/>
                  </w14:solidFill>
                </w14:textFill>
              </w:rPr>
              <w:t>分；</w:t>
            </w:r>
          </w:p>
          <w:p>
            <w:pPr>
              <w:numPr>
                <w:ilvl w:val="0"/>
                <w:numId w:val="8"/>
              </w:numPr>
              <w:spacing w:line="360" w:lineRule="auto"/>
              <w:ind w:left="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投标人所投产品具有地市级及以上质量检测机构校准</w:t>
            </w:r>
            <w:r>
              <w:rPr>
                <w:rFonts w:ascii="宋体" w:hAnsi="宋体" w:cs="宋体"/>
                <w:color w:val="000000" w:themeColor="text1"/>
                <w:sz w:val="24"/>
                <w:szCs w:val="32"/>
                <w14:textFill>
                  <w14:solidFill>
                    <w14:schemeClr w14:val="tx1"/>
                  </w14:solidFill>
                </w14:textFill>
              </w:rPr>
              <w:t>的</w:t>
            </w:r>
            <w:r>
              <w:rPr>
                <w:rFonts w:hint="eastAsia" w:ascii="宋体" w:hAnsi="宋体" w:cs="宋体"/>
                <w:color w:val="000000" w:themeColor="text1"/>
                <w:sz w:val="24"/>
                <w:szCs w:val="32"/>
                <w14:textFill>
                  <w14:solidFill>
                    <w14:schemeClr w14:val="tx1"/>
                  </w14:solidFill>
                </w14:textFill>
              </w:rPr>
              <w:t>“余氯P</w:t>
            </w:r>
            <w:r>
              <w:rPr>
                <w:rFonts w:ascii="宋体" w:hAnsi="宋体" w:cs="宋体"/>
                <w:color w:val="000000" w:themeColor="text1"/>
                <w:sz w:val="24"/>
                <w:szCs w:val="32"/>
                <w14:textFill>
                  <w14:solidFill>
                    <w14:schemeClr w14:val="tx1"/>
                  </w14:solidFill>
                </w14:textFill>
              </w:rPr>
              <w:t>H</w:t>
            </w:r>
            <w:r>
              <w:rPr>
                <w:rFonts w:hint="eastAsia" w:ascii="宋体" w:hAnsi="宋体" w:cs="宋体"/>
                <w:color w:val="000000" w:themeColor="text1"/>
                <w:sz w:val="24"/>
                <w:szCs w:val="32"/>
                <w14:textFill>
                  <w14:solidFill>
                    <w14:schemeClr w14:val="tx1"/>
                  </w14:solidFill>
                </w14:textFill>
              </w:rPr>
              <w:t>在线检测仪”校准报告的</w:t>
            </w:r>
            <w:r>
              <w:rPr>
                <w:rFonts w:hint="eastAsia" w:ascii="宋体" w:hAnsi="宋体" w:cs="宋体"/>
                <w:color w:val="000000" w:themeColor="text1"/>
                <w:sz w:val="24"/>
                <w:szCs w:val="24"/>
                <w14:textFill>
                  <w14:solidFill>
                    <w14:schemeClr w14:val="tx1"/>
                  </w14:solidFill>
                </w14:textFill>
              </w:rPr>
              <w:t>，得</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p>
            <w:pPr>
              <w:numPr>
                <w:ilvl w:val="0"/>
                <w:numId w:val="8"/>
              </w:numPr>
              <w:spacing w:line="360" w:lineRule="auto"/>
              <w:ind w:left="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（2）自2</w:t>
            </w:r>
            <w:r>
              <w:rPr>
                <w:rFonts w:ascii="宋体" w:hAnsi="宋体" w:cs="宋体"/>
                <w:color w:val="000000" w:themeColor="text1"/>
                <w:sz w:val="24"/>
                <w:szCs w:val="24"/>
                <w14:textFill>
                  <w14:solidFill>
                    <w14:schemeClr w14:val="tx1"/>
                  </w14:solidFill>
                </w14:textFill>
              </w:rPr>
              <w:t>017</w:t>
            </w:r>
            <w:r>
              <w:rPr>
                <w:rFonts w:hint="eastAsia" w:ascii="宋体" w:hAnsi="宋体" w:cs="宋体"/>
                <w:color w:val="000000" w:themeColor="text1"/>
                <w:sz w:val="24"/>
                <w:szCs w:val="24"/>
                <w14:textFill>
                  <w14:solidFill>
                    <w14:schemeClr w14:val="tx1"/>
                  </w14:solidFill>
                </w14:textFill>
              </w:rPr>
              <w:t>年1月1日以来，投标人获得</w:t>
            </w:r>
            <w:r>
              <w:rPr>
                <w:rFonts w:hint="eastAsia"/>
                <w:color w:val="000000" w:themeColor="text1"/>
                <w:sz w:val="24"/>
                <w:szCs w:val="24"/>
                <w14:textFill>
                  <w14:solidFill>
                    <w14:schemeClr w14:val="tx1"/>
                  </w14:solidFill>
                </w14:textFill>
              </w:rPr>
              <w:t>地市级</w:t>
            </w:r>
            <w:r>
              <w:rPr>
                <w:color w:val="000000" w:themeColor="text1"/>
                <w:sz w:val="24"/>
                <w:szCs w:val="24"/>
                <w14:textFill>
                  <w14:solidFill>
                    <w14:schemeClr w14:val="tx1"/>
                  </w14:solidFill>
                </w14:textFill>
              </w:rPr>
              <w:t>及以上</w:t>
            </w:r>
            <w:r>
              <w:rPr>
                <w:rFonts w:hint="eastAsia"/>
                <w:color w:val="000000" w:themeColor="text1"/>
                <w:sz w:val="24"/>
                <w:szCs w:val="24"/>
                <w14:textFill>
                  <w14:solidFill>
                    <w14:schemeClr w14:val="tx1"/>
                  </w14:solidFill>
                </w14:textFill>
              </w:rPr>
              <w:t>知识产权</w:t>
            </w:r>
            <w:r>
              <w:rPr>
                <w:color w:val="000000" w:themeColor="text1"/>
                <w:sz w:val="24"/>
                <w:szCs w:val="24"/>
                <w14:textFill>
                  <w14:solidFill>
                    <w14:schemeClr w14:val="tx1"/>
                  </w14:solidFill>
                </w14:textFill>
              </w:rPr>
              <w:t>主管部门颁发</w:t>
            </w:r>
            <w:r>
              <w:rPr>
                <w:rFonts w:hint="eastAsia" w:ascii="宋体" w:hAnsi="宋体" w:cs="宋体"/>
                <w:color w:val="000000" w:themeColor="text1"/>
                <w:sz w:val="24"/>
                <w:szCs w:val="24"/>
                <w14:textFill>
                  <w14:solidFill>
                    <w14:schemeClr w14:val="tx1"/>
                  </w14:solidFill>
                </w14:textFill>
              </w:rPr>
              <w:t>“水质参数采集装置”、“泳池水质检测器”、“泳池水质清洁自动化运行系统”“泳池自动投药桶”</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实用新型专利证书</w:t>
            </w:r>
            <w:r>
              <w:rPr>
                <w:rFonts w:hint="eastAsia" w:ascii="宋体" w:hAnsi="宋体" w:cs="宋体"/>
                <w:color w:val="000000" w:themeColor="text1"/>
                <w:sz w:val="24"/>
                <w:szCs w:val="24"/>
                <w14:textFill>
                  <w14:solidFill>
                    <w14:schemeClr w14:val="tx1"/>
                  </w14:solidFill>
                </w14:textFill>
              </w:rPr>
              <w:t>的，每提供一份有效证书，得</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分，本子项最高得</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分；</w:t>
            </w:r>
          </w:p>
          <w:p>
            <w:pPr>
              <w:spacing w:line="360" w:lineRule="auto"/>
              <w:jc w:val="left"/>
              <w:rPr>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备注：投标文件中</w:t>
            </w:r>
            <w:r>
              <w:rPr>
                <w:b/>
                <w:color w:val="000000" w:themeColor="text1"/>
                <w:sz w:val="24"/>
                <w:szCs w:val="24"/>
                <w14:textFill>
                  <w14:solidFill>
                    <w14:schemeClr w14:val="tx1"/>
                  </w14:solidFill>
                </w14:textFill>
              </w:rPr>
              <w:t>须提供证书、批复、颁发单位颁奖文件、 网上公示截图（具有其中之一即可）证明材料扫描件。须能体现投标</w:t>
            </w:r>
            <w:r>
              <w:rPr>
                <w:rFonts w:hint="eastAsia"/>
                <w:b/>
                <w:color w:val="000000" w:themeColor="text1"/>
                <w:sz w:val="24"/>
                <w:szCs w:val="24"/>
                <w14:textFill>
                  <w14:solidFill>
                    <w14:schemeClr w14:val="tx1"/>
                  </w14:solidFill>
                </w14:textFill>
              </w:rPr>
              <w:t>人</w:t>
            </w:r>
            <w:r>
              <w:rPr>
                <w:b/>
                <w:color w:val="000000" w:themeColor="text1"/>
                <w:sz w:val="24"/>
                <w:szCs w:val="24"/>
                <w14:textFill>
                  <w14:solidFill>
                    <w14:schemeClr w14:val="tx1"/>
                  </w14:solidFill>
                </w14:textFill>
              </w:rPr>
              <w:t>名称、获奖时间等关键信息，如无法体现须另附颁奖单位的相关证明材料，未提供或提供不全的不得分。</w:t>
            </w:r>
          </w:p>
        </w:tc>
        <w:tc>
          <w:tcPr>
            <w:tcW w:w="544" w:type="pct"/>
            <w:vAlign w:val="center"/>
          </w:tcPr>
          <w:p>
            <w:pPr>
              <w:spacing w:line="360" w:lineRule="auto"/>
              <w:rPr>
                <w:rFonts w:ascii="宋体" w:hAnsi="宋体"/>
                <w:b/>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0-15</w:t>
            </w:r>
            <w:r>
              <w:rPr>
                <w:rFonts w:hint="eastAsia" w:ascii="宋体" w:hAnsi="宋体"/>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44" w:type="pct"/>
            <w:vAlign w:val="center"/>
          </w:tcPr>
          <w:p>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p>
        </w:tc>
        <w:tc>
          <w:tcPr>
            <w:tcW w:w="494" w:type="pct"/>
            <w:vAlign w:val="center"/>
          </w:tcPr>
          <w:p>
            <w:pPr>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业绩</w:t>
            </w:r>
          </w:p>
        </w:tc>
        <w:tc>
          <w:tcPr>
            <w:tcW w:w="3618" w:type="pct"/>
          </w:tcPr>
          <w:p>
            <w:pPr>
              <w:spacing w:line="360" w:lineRule="auto"/>
              <w:jc w:val="left"/>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（1）自2</w:t>
            </w:r>
            <w:r>
              <w:rPr>
                <w:rFonts w:ascii="宋体" w:hAnsi="宋体" w:cs="宋体"/>
                <w:color w:val="000000" w:themeColor="text1"/>
                <w:sz w:val="24"/>
                <w:szCs w:val="32"/>
                <w14:textFill>
                  <w14:solidFill>
                    <w14:schemeClr w14:val="tx1"/>
                  </w14:solidFill>
                </w14:textFill>
              </w:rPr>
              <w:t>019</w:t>
            </w:r>
            <w:r>
              <w:rPr>
                <w:rFonts w:hint="eastAsia" w:ascii="宋体" w:hAnsi="宋体" w:cs="宋体"/>
                <w:color w:val="000000" w:themeColor="text1"/>
                <w:sz w:val="24"/>
                <w:szCs w:val="32"/>
                <w14:textFill>
                  <w14:solidFill>
                    <w14:schemeClr w14:val="tx1"/>
                  </w14:solidFill>
                </w14:textFill>
              </w:rPr>
              <w:t>年1月1日以来（以合同签订日期为准），投标人具有地市级及以上游泳馆游泳池水质检测系统供货业绩的，每提供一份有效合同，得</w:t>
            </w:r>
            <w:r>
              <w:rPr>
                <w:rFonts w:ascii="宋体" w:hAnsi="宋体" w:cs="宋体"/>
                <w:color w:val="000000" w:themeColor="text1"/>
                <w:sz w:val="24"/>
                <w:szCs w:val="32"/>
                <w14:textFill>
                  <w14:solidFill>
                    <w14:schemeClr w14:val="tx1"/>
                  </w14:solidFill>
                </w14:textFill>
              </w:rPr>
              <w:t>2</w:t>
            </w:r>
            <w:r>
              <w:rPr>
                <w:rFonts w:hint="eastAsia" w:ascii="宋体" w:hAnsi="宋体" w:cs="宋体"/>
                <w:color w:val="000000" w:themeColor="text1"/>
                <w:sz w:val="24"/>
                <w:szCs w:val="32"/>
                <w14:textFill>
                  <w14:solidFill>
                    <w14:schemeClr w14:val="tx1"/>
                  </w14:solidFill>
                </w14:textFill>
              </w:rPr>
              <w:t>分，本子项最高得</w:t>
            </w:r>
            <w:r>
              <w:rPr>
                <w:rFonts w:ascii="宋体" w:hAnsi="宋体" w:cs="宋体"/>
                <w:color w:val="000000" w:themeColor="text1"/>
                <w:sz w:val="24"/>
                <w:szCs w:val="32"/>
                <w14:textFill>
                  <w14:solidFill>
                    <w14:schemeClr w14:val="tx1"/>
                  </w14:solidFill>
                </w14:textFill>
              </w:rPr>
              <w:t>6</w:t>
            </w:r>
            <w:r>
              <w:rPr>
                <w:rFonts w:hint="eastAsia" w:ascii="宋体" w:hAnsi="宋体" w:cs="宋体"/>
                <w:color w:val="000000" w:themeColor="text1"/>
                <w:sz w:val="24"/>
                <w:szCs w:val="32"/>
                <w14:textFill>
                  <w14:solidFill>
                    <w14:schemeClr w14:val="tx1"/>
                  </w14:solidFill>
                </w14:textFill>
              </w:rPr>
              <w:t>分；</w:t>
            </w:r>
          </w:p>
          <w:p>
            <w:pPr>
              <w:spacing w:line="360" w:lineRule="auto"/>
              <w:jc w:val="left"/>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（2）自2</w:t>
            </w:r>
            <w:r>
              <w:rPr>
                <w:rFonts w:ascii="宋体" w:hAnsi="宋体" w:cs="宋体"/>
                <w:color w:val="000000" w:themeColor="text1"/>
                <w:sz w:val="24"/>
                <w:szCs w:val="32"/>
                <w14:textFill>
                  <w14:solidFill>
                    <w14:schemeClr w14:val="tx1"/>
                  </w14:solidFill>
                </w14:textFill>
              </w:rPr>
              <w:t>019</w:t>
            </w:r>
            <w:r>
              <w:rPr>
                <w:rFonts w:hint="eastAsia" w:ascii="宋体" w:hAnsi="宋体" w:cs="宋体"/>
                <w:color w:val="000000" w:themeColor="text1"/>
                <w:sz w:val="24"/>
                <w:szCs w:val="32"/>
                <w14:textFill>
                  <w14:solidFill>
                    <w14:schemeClr w14:val="tx1"/>
                  </w14:solidFill>
                </w14:textFill>
              </w:rPr>
              <w:t>年1月1日以来（以合同签订日期为准），投标人具有游泳池水质检测系统供货业绩的，每提供一份有效合同，得</w:t>
            </w:r>
            <w:r>
              <w:rPr>
                <w:rFonts w:ascii="宋体" w:hAnsi="宋体" w:cs="宋体"/>
                <w:color w:val="000000" w:themeColor="text1"/>
                <w:sz w:val="24"/>
                <w:szCs w:val="32"/>
                <w14:textFill>
                  <w14:solidFill>
                    <w14:schemeClr w14:val="tx1"/>
                  </w14:solidFill>
                </w14:textFill>
              </w:rPr>
              <w:t>2</w:t>
            </w:r>
            <w:r>
              <w:rPr>
                <w:rFonts w:hint="eastAsia" w:ascii="宋体" w:hAnsi="宋体" w:cs="宋体"/>
                <w:color w:val="000000" w:themeColor="text1"/>
                <w:sz w:val="24"/>
                <w:szCs w:val="32"/>
                <w14:textFill>
                  <w14:solidFill>
                    <w14:schemeClr w14:val="tx1"/>
                  </w14:solidFill>
                </w14:textFill>
              </w:rPr>
              <w:t>分，本子项最高得</w:t>
            </w:r>
            <w:r>
              <w:rPr>
                <w:rFonts w:ascii="宋体" w:hAnsi="宋体" w:cs="宋体"/>
                <w:color w:val="000000" w:themeColor="text1"/>
                <w:sz w:val="24"/>
                <w:szCs w:val="32"/>
                <w14:textFill>
                  <w14:solidFill>
                    <w14:schemeClr w14:val="tx1"/>
                  </w14:solidFill>
                </w14:textFill>
              </w:rPr>
              <w:t>4</w:t>
            </w:r>
            <w:r>
              <w:rPr>
                <w:rFonts w:hint="eastAsia" w:ascii="宋体" w:hAnsi="宋体" w:cs="宋体"/>
                <w:color w:val="000000" w:themeColor="text1"/>
                <w:sz w:val="24"/>
                <w:szCs w:val="32"/>
                <w14:textFill>
                  <w14:solidFill>
                    <w14:schemeClr w14:val="tx1"/>
                  </w14:solidFill>
                </w14:textFill>
              </w:rPr>
              <w:t>分。</w:t>
            </w:r>
          </w:p>
          <w:p>
            <w:pPr>
              <w:spacing w:line="360" w:lineRule="auto"/>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32"/>
                <w14:textFill>
                  <w14:solidFill>
                    <w14:schemeClr w14:val="tx1"/>
                  </w14:solidFill>
                </w14:textFill>
              </w:rPr>
              <w:t>备注：1.初审业绩不作为打分项，</w:t>
            </w:r>
            <w:r>
              <w:rPr>
                <w:rFonts w:hint="eastAsia" w:ascii="宋体" w:hAnsi="宋体" w:cs="宋体"/>
                <w:b/>
                <w:color w:val="000000" w:themeColor="text1"/>
                <w:sz w:val="24"/>
                <w:szCs w:val="24"/>
                <w14:textFill>
                  <w14:solidFill>
                    <w14:schemeClr w14:val="tx1"/>
                  </w14:solidFill>
                </w14:textFill>
              </w:rPr>
              <w:t>同一业绩不重复计分。</w:t>
            </w:r>
          </w:p>
          <w:p>
            <w:pPr>
              <w:spacing w:line="360" w:lineRule="auto"/>
              <w:jc w:val="left"/>
              <w:rPr>
                <w:rFonts w:ascii="宋体" w:hAnsi="宋体"/>
                <w:color w:val="000000" w:themeColor="text1"/>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2.投标文件中提供业绩合同扫描件（加盖单位公章）作为评审依据，</w:t>
            </w:r>
            <w:r>
              <w:rPr>
                <w:b/>
                <w:color w:val="000000" w:themeColor="text1"/>
                <w:sz w:val="24"/>
                <w:szCs w:val="24"/>
                <w14:textFill>
                  <w14:solidFill>
                    <w14:schemeClr w14:val="tx1"/>
                  </w14:solidFill>
                </w14:textFill>
              </w:rPr>
              <w:t>如业绩合同无法体现项目内容、签订时间等评审内容，须另附业主相关证明材料，否则</w:t>
            </w:r>
            <w:r>
              <w:rPr>
                <w:rFonts w:hint="eastAsia"/>
                <w:b/>
                <w:color w:val="000000" w:themeColor="text1"/>
                <w:sz w:val="24"/>
                <w:szCs w:val="24"/>
                <w14:textFill>
                  <w14:solidFill>
                    <w14:schemeClr w14:val="tx1"/>
                  </w14:solidFill>
                </w14:textFill>
              </w:rPr>
              <w:t>评标</w:t>
            </w:r>
            <w:r>
              <w:rPr>
                <w:b/>
                <w:color w:val="000000" w:themeColor="text1"/>
                <w:sz w:val="24"/>
                <w:szCs w:val="24"/>
                <w14:textFill>
                  <w14:solidFill>
                    <w14:schemeClr w14:val="tx1"/>
                  </w14:solidFill>
                </w14:textFill>
              </w:rPr>
              <w:t>小组不予认可。</w:t>
            </w:r>
          </w:p>
        </w:tc>
        <w:tc>
          <w:tcPr>
            <w:tcW w:w="544" w:type="pct"/>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0-</w:t>
            </w:r>
            <w:r>
              <w:rPr>
                <w:rFonts w:ascii="宋体" w:hAnsi="宋体"/>
                <w:color w:val="000000" w:themeColor="text1"/>
                <w:sz w:val="24"/>
                <w:szCs w:val="24"/>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44" w:type="pct"/>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49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信用及管理体系认证</w:t>
            </w:r>
          </w:p>
        </w:tc>
        <w:tc>
          <w:tcPr>
            <w:tcW w:w="3618" w:type="pct"/>
            <w:tcBorders>
              <w:top w:val="single" w:color="auto" w:sz="4" w:space="0"/>
              <w:left w:val="single" w:color="auto" w:sz="4" w:space="0"/>
              <w:bottom w:val="single" w:color="auto" w:sz="4" w:space="0"/>
              <w:right w:val="single" w:color="auto" w:sz="4" w:space="0"/>
            </w:tcBorders>
            <w:vAlign w:val="center"/>
          </w:tcPr>
          <w:p>
            <w:pPr>
              <w:pStyle w:val="112"/>
              <w:widowControl/>
              <w:spacing w:line="360" w:lineRule="auto"/>
              <w:ind w:firstLine="0" w:firstLineChars="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（1）投标人具有质量管理体系认证、重服务守信用企业认证的，每提供一项，得</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分；本子项最高得</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分，未提供的不得分；</w:t>
            </w:r>
          </w:p>
          <w:p>
            <w:pPr>
              <w:pStyle w:val="112"/>
              <w:widowControl/>
              <w:spacing w:line="360" w:lineRule="auto"/>
              <w:ind w:firstLine="0" w:firstLineChars="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（2）投标人近3年纳税信用资格情况，获得A级纳税人资格得3分，B级纳税人资格得2分， C级纳税人资格得1分。本子项最高得3分，未提供的不得分。</w:t>
            </w:r>
          </w:p>
          <w:p>
            <w:pPr>
              <w:pStyle w:val="112"/>
              <w:widowControl/>
              <w:spacing w:line="360" w:lineRule="auto"/>
              <w:ind w:firstLine="0" w:firstLineChars="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注：投标文件中提供以上证书的扫描件作为评标依据。</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0-</w:t>
            </w:r>
            <w:r>
              <w:rPr>
                <w:rFonts w:ascii="宋体" w:hAnsi="宋体" w:cs="宋体"/>
                <w:color w:val="000000" w:themeColor="text1"/>
                <w:kern w:val="0"/>
                <w:sz w:val="24"/>
                <w:szCs w:val="24"/>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344" w:type="pct"/>
            <w:vAlign w:val="center"/>
          </w:tcPr>
          <w:p>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p>
        </w:tc>
        <w:tc>
          <w:tcPr>
            <w:tcW w:w="494" w:type="pct"/>
            <w:vAlign w:val="center"/>
          </w:tcPr>
          <w:p>
            <w:pPr>
              <w:spacing w:line="360" w:lineRule="auto"/>
              <w:jc w:val="center"/>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投标人售后服务</w:t>
            </w:r>
          </w:p>
        </w:tc>
        <w:tc>
          <w:tcPr>
            <w:tcW w:w="3618" w:type="pct"/>
          </w:tcPr>
          <w:p>
            <w:pPr>
              <w:spacing w:line="360" w:lineRule="auto"/>
              <w:jc w:val="left"/>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（1）投标人承诺3年免费质保期得</w:t>
            </w:r>
            <w:r>
              <w:rPr>
                <w:rFonts w:ascii="宋体" w:hAnsi="宋体" w:cs="宋体"/>
                <w:color w:val="000000" w:themeColor="text1"/>
                <w:sz w:val="24"/>
                <w:szCs w:val="32"/>
                <w14:textFill>
                  <w14:solidFill>
                    <w14:schemeClr w14:val="tx1"/>
                  </w14:solidFill>
                </w14:textFill>
              </w:rPr>
              <w:t>2</w:t>
            </w:r>
            <w:r>
              <w:rPr>
                <w:rFonts w:hint="eastAsia" w:ascii="宋体" w:hAnsi="宋体" w:cs="宋体"/>
                <w:color w:val="000000" w:themeColor="text1"/>
                <w:sz w:val="24"/>
                <w:szCs w:val="32"/>
                <w14:textFill>
                  <w14:solidFill>
                    <w14:schemeClr w14:val="tx1"/>
                  </w14:solidFill>
                </w14:textFill>
              </w:rPr>
              <w:t>分；承诺5年免费质保期得</w:t>
            </w:r>
            <w:r>
              <w:rPr>
                <w:rFonts w:ascii="宋体" w:hAnsi="宋体" w:cs="宋体"/>
                <w:color w:val="000000" w:themeColor="text1"/>
                <w:sz w:val="24"/>
                <w:szCs w:val="32"/>
                <w14:textFill>
                  <w14:solidFill>
                    <w14:schemeClr w14:val="tx1"/>
                  </w14:solidFill>
                </w14:textFill>
              </w:rPr>
              <w:t>3</w:t>
            </w:r>
            <w:r>
              <w:rPr>
                <w:rFonts w:hint="eastAsia" w:ascii="宋体" w:hAnsi="宋体" w:cs="宋体"/>
                <w:color w:val="000000" w:themeColor="text1"/>
                <w:sz w:val="24"/>
                <w:szCs w:val="32"/>
                <w14:textFill>
                  <w14:solidFill>
                    <w14:schemeClr w14:val="tx1"/>
                  </w14:solidFill>
                </w14:textFill>
              </w:rPr>
              <w:t>分，本子项满分</w:t>
            </w:r>
            <w:r>
              <w:rPr>
                <w:rFonts w:ascii="宋体" w:hAnsi="宋体" w:cs="宋体"/>
                <w:color w:val="000000" w:themeColor="text1"/>
                <w:sz w:val="24"/>
                <w:szCs w:val="32"/>
                <w14:textFill>
                  <w14:solidFill>
                    <w14:schemeClr w14:val="tx1"/>
                  </w14:solidFill>
                </w14:textFill>
              </w:rPr>
              <w:t>5</w:t>
            </w:r>
            <w:r>
              <w:rPr>
                <w:rFonts w:hint="eastAsia" w:ascii="宋体" w:hAnsi="宋体" w:cs="宋体"/>
                <w:color w:val="000000" w:themeColor="text1"/>
                <w:sz w:val="24"/>
                <w:szCs w:val="32"/>
                <w14:textFill>
                  <w14:solidFill>
                    <w14:schemeClr w14:val="tx1"/>
                  </w14:solidFill>
                </w14:textFill>
              </w:rPr>
              <w:t>分。</w:t>
            </w:r>
          </w:p>
          <w:p>
            <w:pPr>
              <w:spacing w:line="360" w:lineRule="auto"/>
              <w:jc w:val="left"/>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w:t>
            </w:r>
            <w:r>
              <w:rPr>
                <w:rFonts w:ascii="宋体" w:hAnsi="宋体" w:cs="宋体"/>
                <w:color w:val="000000" w:themeColor="text1"/>
                <w:sz w:val="24"/>
                <w:szCs w:val="32"/>
                <w14:textFill>
                  <w14:solidFill>
                    <w14:schemeClr w14:val="tx1"/>
                  </w14:solidFill>
                </w14:textFill>
              </w:rPr>
              <w:t>2</w:t>
            </w:r>
            <w:r>
              <w:rPr>
                <w:rFonts w:hint="eastAsia" w:ascii="宋体" w:hAnsi="宋体" w:cs="宋体"/>
                <w:color w:val="000000" w:themeColor="text1"/>
                <w:sz w:val="24"/>
                <w:szCs w:val="32"/>
                <w14:textFill>
                  <w14:solidFill>
                    <w14:schemeClr w14:val="tx1"/>
                  </w14:solidFill>
                </w14:textFill>
              </w:rPr>
              <w:t>）承诺服务团队成员能在设备处故障时1小时内抵达现场进行维修得</w:t>
            </w:r>
            <w:r>
              <w:rPr>
                <w:rFonts w:ascii="宋体" w:hAnsi="宋体" w:cs="宋体"/>
                <w:color w:val="000000" w:themeColor="text1"/>
                <w:sz w:val="24"/>
                <w:szCs w:val="32"/>
                <w14:textFill>
                  <w14:solidFill>
                    <w14:schemeClr w14:val="tx1"/>
                  </w14:solidFill>
                </w14:textFill>
              </w:rPr>
              <w:t>2</w:t>
            </w:r>
            <w:r>
              <w:rPr>
                <w:rFonts w:hint="eastAsia" w:ascii="宋体" w:hAnsi="宋体" w:cs="宋体"/>
                <w:color w:val="000000" w:themeColor="text1"/>
                <w:sz w:val="24"/>
                <w:szCs w:val="32"/>
                <w14:textFill>
                  <w14:solidFill>
                    <w14:schemeClr w14:val="tx1"/>
                  </w14:solidFill>
                </w14:textFill>
              </w:rPr>
              <w:t>分。</w:t>
            </w:r>
          </w:p>
        </w:tc>
        <w:tc>
          <w:tcPr>
            <w:tcW w:w="544" w:type="pct"/>
            <w:vAlign w:val="center"/>
          </w:tcPr>
          <w:p>
            <w:pPr>
              <w:spacing w:line="360" w:lineRule="auto"/>
              <w:jc w:val="center"/>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0-</w:t>
            </w:r>
            <w:r>
              <w:rPr>
                <w:rFonts w:ascii="宋体" w:hAnsi="宋体" w:cs="宋体"/>
                <w:color w:val="000000" w:themeColor="text1"/>
                <w:sz w:val="24"/>
                <w:szCs w:val="32"/>
                <w14:textFill>
                  <w14:solidFill>
                    <w14:schemeClr w14:val="tx1"/>
                  </w14:solidFill>
                </w14:textFill>
              </w:rPr>
              <w:t>7</w:t>
            </w:r>
            <w:r>
              <w:rPr>
                <w:rFonts w:hint="eastAsia" w:ascii="宋体" w:hAnsi="宋体" w:cs="宋体"/>
                <w:color w:val="000000" w:themeColor="text1"/>
                <w:sz w:val="24"/>
                <w:szCs w:val="3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344" w:type="pct"/>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494" w:type="pct"/>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本地化服务</w:t>
            </w:r>
          </w:p>
        </w:tc>
        <w:tc>
          <w:tcPr>
            <w:tcW w:w="3618" w:type="pct"/>
            <w:vAlign w:val="center"/>
          </w:tcPr>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具有本地化服务实施方案，根据投标人方案的服务方式、服务响应时间以及其他为本项目提供更好服务的相关承诺进行评分，优秀的，得</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＜F≤</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分；良好的，得</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＜F≤</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分，一般的，得</w:t>
            </w:r>
            <w:r>
              <w:rPr>
                <w:rFonts w:ascii="宋体" w:hAnsi="宋体" w:cs="宋体"/>
                <w:color w:val="000000" w:themeColor="text1"/>
                <w:sz w:val="24"/>
                <w:szCs w:val="24"/>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＜F≤</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分，未提供的不得分。</w:t>
            </w:r>
          </w:p>
          <w:p>
            <w:pPr>
              <w:spacing w:line="360" w:lineRule="auto"/>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注：投标文件提供营业执照、本地办公场所等证明资料作为评审依据</w:t>
            </w:r>
            <w:r>
              <w:rPr>
                <w:rFonts w:hint="eastAsia" w:ascii="宋体" w:hAnsi="宋体" w:cs="宋体"/>
                <w:color w:val="000000" w:themeColor="text1"/>
                <w:sz w:val="24"/>
                <w:szCs w:val="24"/>
                <w14:textFill>
                  <w14:solidFill>
                    <w14:schemeClr w14:val="tx1"/>
                  </w14:solidFill>
                </w14:textFill>
              </w:rPr>
              <w:t>。</w:t>
            </w:r>
          </w:p>
        </w:tc>
        <w:tc>
          <w:tcPr>
            <w:tcW w:w="544" w:type="pct"/>
            <w:vAlign w:val="center"/>
          </w:tcPr>
          <w:p>
            <w:pPr>
              <w:widowControl/>
              <w:snapToGrid w:val="0"/>
              <w:spacing w:line="36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44" w:type="pct"/>
            <w:vAlign w:val="center"/>
          </w:tcPr>
          <w:p>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w:t>
            </w:r>
          </w:p>
        </w:tc>
        <w:tc>
          <w:tcPr>
            <w:tcW w:w="49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所投产品综合实力</w:t>
            </w:r>
          </w:p>
        </w:tc>
        <w:tc>
          <w:tcPr>
            <w:tcW w:w="361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根据所投产品技术参数资料（产品宣传彩页或官网截图等形式）、是否为推荐品牌同档次或优于的国际一流品牌、</w:t>
            </w:r>
            <w:r>
              <w:rPr>
                <w:rFonts w:hint="eastAsia" w:ascii="宋体" w:hAnsi="宋体" w:cs="宋体"/>
                <w:color w:val="000000" w:themeColor="text1"/>
                <w:sz w:val="24"/>
                <w:szCs w:val="24"/>
                <w:u w:val="wave"/>
                <w14:textFill>
                  <w14:solidFill>
                    <w14:schemeClr w14:val="tx1"/>
                  </w14:solidFill>
                </w14:textFill>
              </w:rPr>
              <w:t>设</w:t>
            </w:r>
            <w:r>
              <w:rPr>
                <w:rFonts w:hint="eastAsia" w:ascii="宋体" w:hAnsi="宋体" w:cs="宋体"/>
                <w:color w:val="000000" w:themeColor="text1"/>
                <w:sz w:val="24"/>
                <w:szCs w:val="24"/>
                <w14:textFill>
                  <w14:solidFill>
                    <w14:schemeClr w14:val="tx1"/>
                  </w14:solidFill>
                </w14:textFill>
              </w:rPr>
              <w:t>备技术成熟、设备可靠性强，具有未来可升级性，软启动保护，及在国内的使用情况介绍</w:t>
            </w:r>
            <w:r>
              <w:rPr>
                <w:rFonts w:hint="eastAsia" w:ascii="宋体" w:hAnsi="宋体" w:cs="宋体"/>
                <w:color w:val="000000" w:themeColor="text1"/>
                <w:kern w:val="0"/>
                <w:sz w:val="24"/>
                <w:szCs w:val="24"/>
                <w14:textFill>
                  <w14:solidFill>
                    <w14:schemeClr w14:val="tx1"/>
                  </w14:solidFill>
                </w14:textFill>
              </w:rPr>
              <w:t>进行综合打分：</w:t>
            </w:r>
          </w:p>
          <w:p>
            <w:pPr>
              <w:widowControl/>
              <w:spacing w:line="36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优秀的</w:t>
            </w:r>
            <w:r>
              <w:rPr>
                <w:rFonts w:ascii="宋体" w:hAnsi="宋体" w:cs="宋体"/>
                <w:color w:val="000000" w:themeColor="text1"/>
                <w:kern w:val="0"/>
                <w:sz w:val="24"/>
                <w:szCs w:val="24"/>
                <w14:textFill>
                  <w14:solidFill>
                    <w14:schemeClr w14:val="tx1"/>
                  </w14:solidFill>
                </w14:textFill>
              </w:rPr>
              <w:t>12</w:t>
            </w:r>
            <w:r>
              <w:rPr>
                <w:rFonts w:hint="eastAsia" w:ascii="宋体" w:hAnsi="宋体" w:cs="宋体"/>
                <w:color w:val="000000" w:themeColor="text1"/>
                <w:kern w:val="0"/>
                <w:sz w:val="24"/>
                <w:szCs w:val="24"/>
                <w14:textFill>
                  <w14:solidFill>
                    <w14:schemeClr w14:val="tx1"/>
                  </w14:solidFill>
                </w14:textFill>
              </w:rPr>
              <w:t>＜F≤</w:t>
            </w:r>
            <w:r>
              <w:rPr>
                <w:rFonts w:ascii="宋体" w:hAnsi="宋体" w:cs="宋体"/>
                <w:color w:val="000000" w:themeColor="text1"/>
                <w:kern w:val="0"/>
                <w:sz w:val="24"/>
                <w:szCs w:val="24"/>
                <w14:textFill>
                  <w14:solidFill>
                    <w14:schemeClr w14:val="tx1"/>
                  </w14:solidFill>
                </w14:textFill>
              </w:rPr>
              <w:t>18</w:t>
            </w:r>
            <w:r>
              <w:rPr>
                <w:rFonts w:hint="eastAsia" w:ascii="宋体" w:hAnsi="宋体" w:cs="宋体"/>
                <w:color w:val="000000" w:themeColor="text1"/>
                <w:kern w:val="0"/>
                <w:sz w:val="24"/>
                <w:szCs w:val="24"/>
                <w14:textFill>
                  <w14:solidFill>
                    <w14:schemeClr w14:val="tx1"/>
                  </w14:solidFill>
                </w14:textFill>
              </w:rPr>
              <w:t>分，良好的</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＜F≤</w:t>
            </w:r>
            <w:r>
              <w:rPr>
                <w:rFonts w:ascii="宋体" w:hAnsi="宋体" w:cs="宋体"/>
                <w:color w:val="000000" w:themeColor="text1"/>
                <w:kern w:val="0"/>
                <w:sz w:val="24"/>
                <w:szCs w:val="24"/>
                <w14:textFill>
                  <w14:solidFill>
                    <w14:schemeClr w14:val="tx1"/>
                  </w14:solidFill>
                </w14:textFill>
              </w:rPr>
              <w:t>12</w:t>
            </w:r>
            <w:r>
              <w:rPr>
                <w:rFonts w:hint="eastAsia" w:ascii="宋体" w:hAnsi="宋体" w:cs="宋体"/>
                <w:color w:val="000000" w:themeColor="text1"/>
                <w:kern w:val="0"/>
                <w:sz w:val="24"/>
                <w:szCs w:val="24"/>
                <w14:textFill>
                  <w14:solidFill>
                    <w14:schemeClr w14:val="tx1"/>
                  </w14:solidFill>
                </w14:textFill>
              </w:rPr>
              <w:t>分，一般的1＜F≤</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分，未提供的不得分。</w:t>
            </w:r>
          </w:p>
        </w:tc>
        <w:tc>
          <w:tcPr>
            <w:tcW w:w="54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0-</w:t>
            </w:r>
            <w:r>
              <w:rPr>
                <w:rFonts w:ascii="宋体" w:hAnsi="宋体" w:cs="宋体"/>
                <w:color w:val="000000" w:themeColor="text1"/>
                <w:kern w:val="0"/>
                <w:sz w:val="24"/>
                <w:szCs w:val="24"/>
                <w14:textFill>
                  <w14:solidFill>
                    <w14:schemeClr w14:val="tx1"/>
                  </w14:solidFill>
                </w14:textFill>
              </w:rPr>
              <w:t>18</w:t>
            </w:r>
            <w:r>
              <w:rPr>
                <w:rFonts w:hint="eastAsia" w:ascii="宋体" w:hAnsi="宋体" w:cs="宋体"/>
                <w:color w:val="000000" w:themeColor="text1"/>
                <w:kern w:val="0"/>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44" w:type="pct"/>
            <w:vAlign w:val="center"/>
          </w:tcPr>
          <w:p>
            <w:pPr>
              <w:spacing w:line="360" w:lineRule="auto"/>
              <w:jc w:val="center"/>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7</w:t>
            </w:r>
          </w:p>
        </w:tc>
        <w:tc>
          <w:tcPr>
            <w:tcW w:w="4112" w:type="pct"/>
            <w:gridSpan w:val="2"/>
            <w:vAlign w:val="center"/>
          </w:tcPr>
          <w:p>
            <w:pPr>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r>
              <w:rPr>
                <w:rFonts w:ascii="宋体" w:hAnsi="宋体"/>
                <w:b/>
                <w:color w:val="000000" w:themeColor="text1"/>
                <w:sz w:val="24"/>
                <w:szCs w:val="24"/>
                <w14:textFill>
                  <w14:solidFill>
                    <w14:schemeClr w14:val="tx1"/>
                  </w14:solidFill>
                </w14:textFill>
              </w:rPr>
              <w:t>-6</w:t>
            </w:r>
            <w:r>
              <w:rPr>
                <w:rFonts w:hint="eastAsia" w:ascii="宋体" w:hAnsi="宋体"/>
                <w:b/>
                <w:color w:val="000000" w:themeColor="text1"/>
                <w:sz w:val="24"/>
                <w:szCs w:val="24"/>
                <w14:textFill>
                  <w14:solidFill>
                    <w14:schemeClr w14:val="tx1"/>
                  </w14:solidFill>
                </w14:textFill>
              </w:rPr>
              <w:t>）合计</w:t>
            </w:r>
          </w:p>
        </w:tc>
        <w:tc>
          <w:tcPr>
            <w:tcW w:w="544" w:type="pct"/>
            <w:vAlign w:val="center"/>
          </w:tcPr>
          <w:p>
            <w:pPr>
              <w:spacing w:line="360" w:lineRule="auto"/>
              <w:jc w:val="center"/>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60</w:t>
            </w:r>
            <w:r>
              <w:rPr>
                <w:rFonts w:hint="eastAsia" w:ascii="宋体" w:hAnsi="宋体"/>
                <w:b/>
                <w:color w:val="000000" w:themeColor="text1"/>
                <w:sz w:val="24"/>
                <w:szCs w:val="24"/>
                <w14:textFill>
                  <w14:solidFill>
                    <w14:schemeClr w14:val="tx1"/>
                  </w14:solidFill>
                </w14:textFill>
              </w:rPr>
              <w:t>分</w:t>
            </w:r>
          </w:p>
        </w:tc>
      </w:tr>
    </w:tbl>
    <w:p>
      <w:pPr>
        <w:adjustRightInd w:val="0"/>
        <w:snapToGrid w:val="0"/>
        <w:spacing w:line="360" w:lineRule="auto"/>
        <w:ind w:right="-10"/>
        <w:rPr>
          <w:rFonts w:ascii="宋体" w:hAnsi="宋体"/>
          <w:bCs/>
          <w:color w:val="000000" w:themeColor="text1"/>
          <w:sz w:val="24"/>
          <w14:textFill>
            <w14:solidFill>
              <w14:schemeClr w14:val="tx1"/>
            </w14:solidFill>
          </w14:textFill>
        </w:rPr>
      </w:pPr>
    </w:p>
    <w:p>
      <w:pPr>
        <w:spacing w:line="360" w:lineRule="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8.3商务部分得分计算（20分）</w:t>
      </w:r>
    </w:p>
    <w:tbl>
      <w:tblPr>
        <w:tblStyle w:val="51"/>
        <w:tblW w:w="5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013"/>
        <w:gridCol w:w="752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537" w:type="pct"/>
            <w:vAlign w:val="center"/>
          </w:tcPr>
          <w:p>
            <w:pPr>
              <w:spacing w:line="360" w:lineRule="auto"/>
              <w:jc w:val="center"/>
              <w:rPr>
                <w:rFonts w:ascii="宋体" w:hAnsi="宋体"/>
                <w:b/>
                <w:color w:val="000000" w:themeColor="text1"/>
                <w:sz w:val="24"/>
                <w:szCs w:val="24"/>
                <w14:textFill>
                  <w14:solidFill>
                    <w14:schemeClr w14:val="tx1"/>
                  </w14:solidFill>
                </w14:textFill>
              </w:rPr>
            </w:pPr>
            <w:bookmarkStart w:id="74" w:name="_Hlk514735375"/>
            <w:r>
              <w:rPr>
                <w:rFonts w:hint="eastAsia" w:ascii="宋体" w:hAnsi="宋体"/>
                <w:b/>
                <w:color w:val="000000" w:themeColor="text1"/>
                <w:sz w:val="24"/>
                <w:szCs w:val="24"/>
                <w14:textFill>
                  <w14:solidFill>
                    <w14:schemeClr w14:val="tx1"/>
                  </w14:solidFill>
                </w14:textFill>
              </w:rPr>
              <w:t>商务</w:t>
            </w:r>
          </w:p>
          <w:p>
            <w:pPr>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部分</w:t>
            </w:r>
          </w:p>
        </w:tc>
        <w:tc>
          <w:tcPr>
            <w:tcW w:w="461" w:type="pct"/>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最终投标报价</w:t>
            </w:r>
          </w:p>
        </w:tc>
        <w:tc>
          <w:tcPr>
            <w:tcW w:w="3425" w:type="pct"/>
            <w:vAlign w:val="center"/>
          </w:tcPr>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价格分统一采用</w:t>
            </w:r>
            <w:r>
              <w:rPr>
                <w:rFonts w:hint="eastAsia" w:ascii="宋体" w:hAnsi="宋体"/>
                <w:color w:val="000000" w:themeColor="text1"/>
                <w:sz w:val="24"/>
                <w:szCs w:val="24"/>
                <w14:textFill>
                  <w14:solidFill>
                    <w14:schemeClr w14:val="tx1"/>
                  </w14:solidFill>
                </w14:textFill>
              </w:rPr>
              <w:t>有效最低价</w:t>
            </w:r>
            <w:r>
              <w:rPr>
                <w:rFonts w:ascii="宋体" w:hAnsi="宋体"/>
                <w:color w:val="000000" w:themeColor="text1"/>
                <w:sz w:val="24"/>
                <w:szCs w:val="24"/>
                <w14:textFill>
                  <w14:solidFill>
                    <w14:schemeClr w14:val="tx1"/>
                  </w14:solidFill>
                </w14:textFill>
              </w:rPr>
              <w:t>法，即满足招标文件要求且投标价格最低的投标报价为评标基准价，其价格分为满分。其他投标人的价格分统一按照下列公式计算：投标报价得分＝（评标基准价/投标报价）×</w:t>
            </w:r>
            <w:r>
              <w:rPr>
                <w:rFonts w:ascii="宋体" w:hAnsi="宋体"/>
                <w:color w:val="000000" w:themeColor="text1"/>
                <w:sz w:val="24"/>
                <w:szCs w:val="24"/>
                <w:u w:val="single"/>
                <w14:textFill>
                  <w14:solidFill>
                    <w14:schemeClr w14:val="tx1"/>
                  </w14:solidFill>
                </w14:textFill>
              </w:rPr>
              <w:t>4</w:t>
            </w:r>
            <w:r>
              <w:rPr>
                <w:rFonts w:hint="eastAsia" w:ascii="宋体" w:hAnsi="宋体"/>
                <w:color w:val="000000" w:themeColor="text1"/>
                <w:sz w:val="24"/>
                <w:szCs w:val="24"/>
                <w:u w:val="single"/>
                <w14:textFill>
                  <w14:solidFill>
                    <w14:schemeClr w14:val="tx1"/>
                  </w14:solidFill>
                </w14:textFill>
              </w:rPr>
              <w:t>0</w:t>
            </w:r>
            <w:r>
              <w:rPr>
                <w:rFonts w:ascii="宋体" w:hAnsi="宋体"/>
                <w:color w:val="000000" w:themeColor="text1"/>
                <w:sz w:val="24"/>
                <w:szCs w:val="24"/>
                <w14:textFill>
                  <w14:solidFill>
                    <w14:schemeClr w14:val="tx1"/>
                  </w14:solidFill>
                </w14:textFill>
              </w:rPr>
              <w:t>％×100</w:t>
            </w:r>
          </w:p>
        </w:tc>
        <w:tc>
          <w:tcPr>
            <w:tcW w:w="577" w:type="pct"/>
            <w:vAlign w:val="center"/>
          </w:tcPr>
          <w:p>
            <w:pPr>
              <w:widowControl/>
              <w:spacing w:line="0" w:lineRule="atLeas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0-</w:t>
            </w:r>
            <w:r>
              <w:rPr>
                <w:rFonts w:ascii="宋体" w:hAnsi="宋体" w:cs="宋体"/>
                <w:b/>
                <w:color w:val="000000" w:themeColor="text1"/>
                <w:kern w:val="0"/>
                <w:sz w:val="24"/>
                <w:szCs w:val="24"/>
                <w:u w:val="single"/>
                <w14:textFill>
                  <w14:solidFill>
                    <w14:schemeClr w14:val="tx1"/>
                  </w14:solidFill>
                </w14:textFill>
              </w:rPr>
              <w:t>4</w:t>
            </w:r>
            <w:r>
              <w:rPr>
                <w:rFonts w:hint="eastAsia" w:ascii="宋体" w:hAnsi="宋体" w:cs="宋体"/>
                <w:b/>
                <w:color w:val="000000" w:themeColor="text1"/>
                <w:kern w:val="0"/>
                <w:sz w:val="24"/>
                <w:szCs w:val="24"/>
                <w:u w:val="single"/>
                <w14:textFill>
                  <w14:solidFill>
                    <w14:schemeClr w14:val="tx1"/>
                  </w14:solidFill>
                </w14:textFill>
              </w:rPr>
              <w:t>0</w:t>
            </w:r>
            <w:r>
              <w:rPr>
                <w:rFonts w:hint="eastAsia" w:ascii="宋体" w:hAnsi="宋体" w:cs="宋体"/>
                <w:b/>
                <w:color w:val="000000" w:themeColor="text1"/>
                <w:kern w:val="0"/>
                <w:sz w:val="24"/>
                <w:szCs w:val="24"/>
                <w14:textFill>
                  <w14:solidFill>
                    <w14:schemeClr w14:val="tx1"/>
                  </w14:solidFill>
                </w14:textFill>
              </w:rPr>
              <w:t>分</w:t>
            </w:r>
          </w:p>
        </w:tc>
      </w:tr>
    </w:tbl>
    <w:p>
      <w:pPr>
        <w:spacing w:line="360" w:lineRule="auto"/>
        <w:rPr>
          <w:rFonts w:ascii="宋体" w:hAnsi="宋体" w:cs="宋体-18030"/>
          <w:color w:val="000000" w:themeColor="text1"/>
          <w:sz w:val="24"/>
          <w:szCs w:val="24"/>
          <w14:textFill>
            <w14:solidFill>
              <w14:schemeClr w14:val="tx1"/>
            </w14:solidFill>
          </w14:textFill>
        </w:rPr>
      </w:pPr>
    </w:p>
    <w:bookmarkEnd w:id="74"/>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8.4确定中标候选人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.4.1</w:t>
      </w:r>
      <w:r>
        <w:rPr>
          <w:rFonts w:hint="eastAsia" w:ascii="宋体" w:hAnsi="宋体"/>
          <w:bCs/>
          <w:color w:val="000000" w:themeColor="text1"/>
          <w:sz w:val="24"/>
          <w14:textFill>
            <w14:solidFill>
              <w14:schemeClr w14:val="tx1"/>
            </w14:solidFill>
          </w14:textFill>
        </w:rPr>
        <w:t>计算最终得分</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将每个有效投标人的技术部分得分加商务部分得分，得出该投标人的最终得分。</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投标人的各项得分均</w:t>
      </w:r>
      <w:bookmarkStart w:id="75" w:name="_Hlk514730679"/>
      <w:r>
        <w:rPr>
          <w:rFonts w:hint="eastAsia" w:ascii="宋体" w:hAnsi="宋体"/>
          <w:bCs/>
          <w:color w:val="000000" w:themeColor="text1"/>
          <w:sz w:val="24"/>
          <w14:textFill>
            <w14:solidFill>
              <w14:schemeClr w14:val="tx1"/>
            </w14:solidFill>
          </w14:textFill>
        </w:rPr>
        <w:t>保留小数点后两位（小数点后第三位四舍五入）</w:t>
      </w:r>
      <w:bookmarkEnd w:id="75"/>
      <w:r>
        <w:rPr>
          <w:rFonts w:hint="eastAsia" w:ascii="宋体" w:hAnsi="宋体"/>
          <w:bCs/>
          <w:color w:val="000000" w:themeColor="text1"/>
          <w:sz w:val="24"/>
          <w14:textFill>
            <w14:solidFill>
              <w14:schemeClr w14:val="tx1"/>
            </w14:solidFill>
          </w14:textFill>
        </w:rPr>
        <w:t>。</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.4.2</w:t>
      </w:r>
      <w:r>
        <w:rPr>
          <w:rFonts w:hint="eastAsia" w:ascii="宋体" w:hAnsi="宋体"/>
          <w:bCs/>
          <w:color w:val="000000" w:themeColor="text1"/>
          <w:sz w:val="24"/>
          <w14:textFill>
            <w14:solidFill>
              <w14:schemeClr w14:val="tx1"/>
            </w14:solidFill>
          </w14:textFill>
        </w:rPr>
        <w:t>按照有效投标人最终得分由高到低排出中标候选人。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最终得分相同的，按技术部分得分由高到低顺序排序。技术部分得分及最终得分均相同的，</w:t>
      </w:r>
      <w:bookmarkStart w:id="76" w:name="_Hlk514735510"/>
      <w:r>
        <w:rPr>
          <w:rFonts w:hint="eastAsia" w:ascii="宋体" w:hAnsi="宋体"/>
          <w:bCs/>
          <w:color w:val="000000" w:themeColor="text1"/>
          <w:sz w:val="24"/>
          <w14:textFill>
            <w14:solidFill>
              <w14:schemeClr w14:val="tx1"/>
            </w14:solidFill>
          </w14:textFill>
        </w:rPr>
        <w:t>则采取评标委员会抽签方式确定其前后次序。</w:t>
      </w:r>
      <w:bookmarkEnd w:id="76"/>
    </w:p>
    <w:p>
      <w:pPr>
        <w:adjustRightInd w:val="0"/>
        <w:snapToGrid w:val="0"/>
        <w:spacing w:line="360" w:lineRule="auto"/>
        <w:ind w:right="-10" w:firstLine="422" w:firstLineChars="175"/>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9.</w:t>
      </w:r>
      <w:r>
        <w:rPr>
          <w:rFonts w:hint="eastAsia" w:ascii="宋体" w:hAnsi="宋体"/>
          <w:bCs/>
          <w:color w:val="000000" w:themeColor="text1"/>
          <w:sz w:val="24"/>
          <w14:textFill>
            <w14:solidFill>
              <w14:schemeClr w14:val="tx1"/>
            </w14:solidFill>
          </w14:textFill>
        </w:rPr>
        <w:t>各投标人的得分一经得出，并核对无误后，任何人不得更改。</w:t>
      </w:r>
    </w:p>
    <w:p>
      <w:pPr>
        <w:pStyle w:val="20"/>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10.</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14.</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16.</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17. 其他</w:t>
      </w:r>
    </w:p>
    <w:p>
      <w:pPr>
        <w:spacing w:line="360" w:lineRule="auto"/>
        <w:ind w:firstLine="482" w:firstLineChars="200"/>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p>
    <w:p>
      <w:pPr>
        <w:spacing w:line="360" w:lineRule="auto"/>
        <w:ind w:firstLine="422" w:firstLineChars="200"/>
        <w:rPr>
          <w:rFonts w:ascii="宋体" w:hAnsi="宋体"/>
          <w:bCs/>
          <w:color w:val="000000" w:themeColor="text1"/>
          <w:sz w:val="24"/>
          <w14:textFill>
            <w14:solidFill>
              <w14:schemeClr w14:val="tx1"/>
            </w14:solidFill>
          </w14:textFill>
        </w:rPr>
      </w:pPr>
      <w:r>
        <w:rPr>
          <w:rFonts w:ascii="Calibri" w:hAnsi="Calibri"/>
          <w:b/>
          <w:bCs/>
          <w:color w:val="000000" w:themeColor="text1"/>
          <w14:textFill>
            <w14:solidFill>
              <w14:schemeClr w14:val="tx1"/>
            </w14:solidFill>
          </w14:textFill>
        </w:rPr>
        <w:br w:type="page"/>
      </w:r>
      <w:bookmarkEnd w:id="70"/>
    </w:p>
    <w:p>
      <w:pPr>
        <w:pStyle w:val="3"/>
        <w:numPr>
          <w:ilvl w:val="0"/>
          <w:numId w:val="9"/>
        </w:numPr>
        <w:spacing w:line="500" w:lineRule="exact"/>
        <w:jc w:val="center"/>
        <w:rPr>
          <w:rFonts w:ascii="宋体" w:hAnsi="宋体"/>
          <w:color w:val="000000" w:themeColor="text1"/>
          <w14:textFill>
            <w14:solidFill>
              <w14:schemeClr w14:val="tx1"/>
            </w14:solidFill>
          </w14:textFill>
        </w:rPr>
      </w:pPr>
      <w:bookmarkStart w:id="77" w:name="_Toc220232392"/>
      <w:bookmarkStart w:id="78" w:name="_Toc102633632"/>
      <w:r>
        <w:rPr>
          <w:rFonts w:ascii="宋体" w:hAnsi="宋体"/>
          <w:color w:val="000000" w:themeColor="text1"/>
          <w14:textFill>
            <w14:solidFill>
              <w14:schemeClr w14:val="tx1"/>
            </w14:solidFill>
          </w14:textFill>
        </w:rPr>
        <w:t>合同</w:t>
      </w:r>
      <w:bookmarkEnd w:id="77"/>
      <w:bookmarkEnd w:id="78"/>
    </w:p>
    <w:p>
      <w:pPr>
        <w:rPr>
          <w:color w:val="000000" w:themeColor="text1"/>
          <w14:textFill>
            <w14:solidFill>
              <w14:schemeClr w14:val="tx1"/>
            </w14:solidFill>
          </w14:textFill>
        </w:rPr>
      </w:pPr>
    </w:p>
    <w:p>
      <w:pPr>
        <w:spacing w:line="490" w:lineRule="exact"/>
        <w:ind w:firstLine="480" w:firstLineChars="200"/>
        <w:jc w:val="center"/>
        <w:rPr>
          <w:rFonts w:ascii="宋体" w:hAnsi="宋体"/>
          <w:bCs/>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合肥体育中心游泳馆泳池投药系统</w:t>
      </w:r>
      <w:r>
        <w:rPr>
          <w:rFonts w:hint="eastAsia" w:ascii="宋体" w:hAnsi="宋体"/>
          <w:bCs/>
          <w:color w:val="000000" w:themeColor="text1"/>
          <w:sz w:val="24"/>
          <w14:textFill>
            <w14:solidFill>
              <w14:schemeClr w14:val="tx1"/>
            </w14:solidFill>
          </w14:textFill>
        </w:rPr>
        <w:t>采购合同</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合同编号：HFTYCY-GCJSGLB-****-**</w:t>
      </w:r>
    </w:p>
    <w:p>
      <w:pPr>
        <w:spacing w:line="490" w:lineRule="exact"/>
        <w:ind w:firstLine="480" w:firstLineChars="200"/>
        <w:rPr>
          <w:rFonts w:ascii="宋体" w:hAnsi="宋体"/>
          <w:bCs/>
          <w:color w:val="000000" w:themeColor="text1"/>
          <w:sz w:val="24"/>
          <w14:textFill>
            <w14:solidFill>
              <w14:schemeClr w14:val="tx1"/>
            </w14:solidFill>
          </w14:textFill>
        </w:rPr>
      </w:pPr>
    </w:p>
    <w:p>
      <w:pPr>
        <w:spacing w:line="490" w:lineRule="exact"/>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 xml:space="preserve">甲方：                         （以下简称甲方）   </w:t>
      </w:r>
    </w:p>
    <w:p>
      <w:pPr>
        <w:spacing w:line="490" w:lineRule="exact"/>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乙方：                         （以下简称乙方）</w:t>
      </w:r>
    </w:p>
    <w:p>
      <w:pPr>
        <w:spacing w:line="490" w:lineRule="exact"/>
        <w:ind w:firstLine="480" w:firstLineChars="200"/>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 xml:space="preserve">      根据《中华人民共和国民法典》及其他有关法律、行政法规，遵循平等、自愿、公平和诚实信用的原则，双方经协商，就【合肥体育中心游泳馆投药系统】采购事项协商一致，订立本合同。</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第一条 采购内容</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1.1品牌、型号、数量、单价及配置</w:t>
      </w:r>
    </w:p>
    <w:tbl>
      <w:tblPr>
        <w:tblStyle w:val="51"/>
        <w:tblW w:w="10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38"/>
        <w:gridCol w:w="709"/>
        <w:gridCol w:w="850"/>
        <w:gridCol w:w="709"/>
        <w:gridCol w:w="850"/>
        <w:gridCol w:w="709"/>
        <w:gridCol w:w="1446"/>
        <w:gridCol w:w="964"/>
        <w:gridCol w:w="13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6"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序号</w:t>
            </w:r>
          </w:p>
        </w:tc>
        <w:tc>
          <w:tcPr>
            <w:tcW w:w="1138"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产品名称</w:t>
            </w:r>
          </w:p>
        </w:tc>
        <w:tc>
          <w:tcPr>
            <w:tcW w:w="709"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牌号</w:t>
            </w:r>
          </w:p>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商标</w:t>
            </w:r>
          </w:p>
        </w:tc>
        <w:tc>
          <w:tcPr>
            <w:tcW w:w="850"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规格型号</w:t>
            </w:r>
          </w:p>
        </w:tc>
        <w:tc>
          <w:tcPr>
            <w:tcW w:w="709"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产地</w:t>
            </w:r>
          </w:p>
        </w:tc>
        <w:tc>
          <w:tcPr>
            <w:tcW w:w="850"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生产厂家</w:t>
            </w:r>
          </w:p>
        </w:tc>
        <w:tc>
          <w:tcPr>
            <w:tcW w:w="709"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计量</w:t>
            </w:r>
          </w:p>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单位</w:t>
            </w:r>
          </w:p>
        </w:tc>
        <w:tc>
          <w:tcPr>
            <w:tcW w:w="1446"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数量（暂定）</w:t>
            </w:r>
          </w:p>
        </w:tc>
        <w:tc>
          <w:tcPr>
            <w:tcW w:w="964"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单价（元）</w:t>
            </w:r>
          </w:p>
        </w:tc>
        <w:tc>
          <w:tcPr>
            <w:tcW w:w="1345"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暂定金额（元）</w:t>
            </w:r>
          </w:p>
        </w:tc>
        <w:tc>
          <w:tcPr>
            <w:tcW w:w="720"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参数标准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6"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1138"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709"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850"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709" w:type="dxa"/>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850"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709"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1446"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964"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1345"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720"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6"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1138"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709"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850"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709" w:type="dxa"/>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850"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709"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1446"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964"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1345"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720"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6"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1138"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709"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850"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709" w:type="dxa"/>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850"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709"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1446"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964"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1345"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c>
          <w:tcPr>
            <w:tcW w:w="720" w:type="dxa"/>
            <w:vAlign w:val="center"/>
          </w:tcPr>
          <w:p>
            <w:pPr>
              <w:adjustRightInd w:val="0"/>
              <w:snapToGrid w:val="0"/>
              <w:spacing w:line="520" w:lineRule="exact"/>
              <w:jc w:val="center"/>
              <w:rPr>
                <w:rFonts w:asciiTheme="minorEastAsia" w:hAnsiTheme="minorEastAsia" w:eastAsiaTheme="minorEastAsia"/>
                <w:bCs/>
                <w:color w:val="000000" w:themeColor="text1"/>
                <w:spacing w:val="4"/>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146" w:type="dxa"/>
            <w:gridSpan w:val="11"/>
            <w:vAlign w:val="center"/>
          </w:tcPr>
          <w:p>
            <w:pPr>
              <w:adjustRightInd w:val="0"/>
              <w:snapToGrid w:val="0"/>
              <w:spacing w:line="520" w:lineRule="exact"/>
              <w:rPr>
                <w:rFonts w:asciiTheme="minorEastAsia" w:hAnsiTheme="minorEastAsia" w:eastAsiaTheme="minorEastAsia"/>
                <w:bCs/>
                <w:color w:val="000000" w:themeColor="text1"/>
                <w:spacing w:val="4"/>
                <w:sz w:val="24"/>
                <w:szCs w:val="24"/>
                <w14:textFill>
                  <w14:solidFill>
                    <w14:schemeClr w14:val="tx1"/>
                  </w14:solidFill>
                </w14:textFill>
              </w:rPr>
            </w:pPr>
            <w:r>
              <w:rPr>
                <w:rFonts w:hint="eastAsia" w:asciiTheme="minorEastAsia" w:hAnsiTheme="minorEastAsia" w:eastAsiaTheme="minorEastAsia"/>
                <w:bCs/>
                <w:color w:val="000000" w:themeColor="text1"/>
                <w:spacing w:val="4"/>
                <w:sz w:val="24"/>
                <w:szCs w:val="24"/>
                <w14:textFill>
                  <w14:solidFill>
                    <w14:schemeClr w14:val="tx1"/>
                  </w14:solidFill>
                </w14:textFill>
              </w:rPr>
              <w:t>暂定合计人民币金额（大写）：</w:t>
            </w:r>
            <w:r>
              <w:rPr>
                <w:rFonts w:asciiTheme="minorEastAsia" w:hAnsiTheme="minorEastAsia" w:eastAsiaTheme="minorEastAsia"/>
                <w:bCs/>
                <w:color w:val="000000" w:themeColor="text1"/>
                <w:spacing w:val="4"/>
                <w:sz w:val="24"/>
                <w:szCs w:val="24"/>
                <w14:textFill>
                  <w14:solidFill>
                    <w14:schemeClr w14:val="tx1"/>
                  </w14:solidFill>
                </w14:textFill>
              </w:rPr>
              <w:t xml:space="preserve">    </w:t>
            </w:r>
            <w:r>
              <w:rPr>
                <w:rFonts w:hint="eastAsia" w:asciiTheme="minorEastAsia" w:hAnsiTheme="minorEastAsia" w:eastAsiaTheme="minorEastAsia"/>
                <w:bCs/>
                <w:color w:val="000000" w:themeColor="text1"/>
                <w:spacing w:val="4"/>
                <w:sz w:val="24"/>
                <w:szCs w:val="24"/>
                <w14:textFill>
                  <w14:solidFill>
                    <w14:schemeClr w14:val="tx1"/>
                  </w14:solidFill>
                </w14:textFill>
              </w:rPr>
              <w:t xml:space="preserve">             （小写）： </w:t>
            </w:r>
          </w:p>
        </w:tc>
      </w:tr>
    </w:tbl>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1.2甲方有权根据自身需求调整产品数量，但需在乙方发货前及时通知乙方，并根据清单价格与乙方据实结算。</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1.3双方确认，本合同的签订，并不意味着本采购项目所需的产品全部由乙方供应，甲方有权根据实际情况另行向其他供应方采购 。</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第二条 合同价款</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2.1 合同总额暂定为：人民币(大写) 【   】元(小写￥【  】元), </w:t>
      </w:r>
      <w:bookmarkStart w:id="79" w:name="_Hlk49083348"/>
      <w:r>
        <w:rPr>
          <w:rFonts w:hint="eastAsia" w:cs="宋体" w:asciiTheme="minorEastAsia" w:hAnsiTheme="minorEastAsia" w:eastAsiaTheme="minorEastAsia"/>
          <w:color w:val="000000" w:themeColor="text1"/>
          <w:sz w:val="24"/>
          <w:szCs w:val="24"/>
          <w14:textFill>
            <w14:solidFill>
              <w14:schemeClr w14:val="tx1"/>
            </w14:solidFill>
          </w14:textFill>
        </w:rPr>
        <w:t>最终按本合同约定的单价和甲方确认的乙方实际供货、安装数量据实结算。本合同单价一次性包死，固定不变，不因包括市场价格涨落、履行期调整等任何因素而调整。合同单价包括</w:t>
      </w:r>
      <w:bookmarkEnd w:id="79"/>
      <w:r>
        <w:rPr>
          <w:rFonts w:hint="eastAsia" w:cs="宋体" w:asciiTheme="minorEastAsia" w:hAnsiTheme="minorEastAsia" w:eastAsiaTheme="minorEastAsia"/>
          <w:color w:val="000000" w:themeColor="text1"/>
          <w:sz w:val="24"/>
          <w:szCs w:val="24"/>
          <w14:textFill>
            <w14:solidFill>
              <w14:schemeClr w14:val="tx1"/>
            </w14:solidFill>
          </w14:textFill>
        </w:rPr>
        <w:t>但不限于材料费、人工费、运费、包装费、安装调试费、利润、税费等乙方为履行本合同项下全部义务所需的所有费用。除此之外，甲方无需就本合同项下服务向乙方或第三方支付任何其他费用。</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2.2合同价款的支付：采用如下第【 】 种方式：</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（1）一次性支付</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产品到货并经甲方验收合格后【 】个工作日内支付完毕合同总价款。</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（2）分期支付</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A.本合同签署生效后【】个工作日内，甲方向乙方支付合同总价款的【】 ％作为预付款，即人民币【】元，大写【】元整；</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B.乙方完成合同全部义务且经甲方验收合格后【】个工作日内，甲方向乙方支付合同总价款的【】％，即人民币【】元，大写【】元整；</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C.剩余合同总价款的【】％即人民币【】元，大写【】元整作为质量保证金，质量保证期届满后【】个工作日内且甲方向乙方无息支付该款项。      </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2.4乙方指定收款账户信息如下：</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开户行：</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账户名称：</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账号：</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2.6 履约保证金</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2.6.1履约保证金数额：中标价的 【】％，即合同价款的【】%为【】元（大写：【】元整）。</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2.6.2担保形式：□现金保证 □现金支票 □银行汇票</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□银行保函</w:t>
      </w:r>
      <w:r>
        <w:rPr>
          <w:rFonts w:ascii="Segoe UI Symbol" w:hAnsi="Segoe UI Symbol" w:cs="Segoe UI Symbol"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银行转账</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□工程担保</w:t>
      </w:r>
      <w:r>
        <w:rPr>
          <w:rFonts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□保证保险</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2.6.3收受人为</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□招标人、</w:t>
      </w:r>
      <w:r>
        <w:rPr>
          <w:rFonts w:cs="宋体" w:asciiTheme="minorEastAsia" w:hAnsiTheme="minorEastAsia" w:eastAsiaTheme="minorEastAsia"/>
          <w:color w:val="000000" w:themeColor="text1"/>
          <w:sz w:val="24"/>
          <w:szCs w:val="24"/>
          <w14:textFill>
            <w14:solidFill>
              <w14:schemeClr w14:val="tx1"/>
            </w14:solidFill>
          </w14:textFill>
        </w:rPr>
        <w:t></w:t>
      </w:r>
      <w:r>
        <w:rPr>
          <w:rFonts w:hint="eastAsia" w:cs="宋体" w:asciiTheme="minorEastAsia" w:hAnsiTheme="minorEastAsia" w:eastAsiaTheme="minorEastAsia"/>
          <w:color w:val="000000" w:themeColor="text1"/>
          <w:sz w:val="24"/>
          <w:szCs w:val="24"/>
          <w14:textFill>
            <w14:solidFill>
              <w14:schemeClr w14:val="tx1"/>
            </w14:solidFill>
          </w14:textFill>
        </w:rPr>
        <w:t>委托人</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2.6.4提交时限：合同签订前按规定提交履约保证金，若中标人在规定时限内未提交保证金的，招标人将书面通知中标人，5日内不能办理的，招标人将取消其中标资格。</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2.6.5保证金必须从基本账户转出，投标保证金汇出帐户名称应与投标人名称应完全一致。</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2.6.6退还：全部工程施工完毕,经验收合格后30日内一次性退还（无息）</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第三条 质量要求和技术标准</w:t>
      </w:r>
    </w:p>
    <w:p>
      <w:pPr>
        <w:adjustRightInd w:val="0"/>
        <w:snapToGrid w:val="0"/>
        <w:spacing w:line="520" w:lineRule="exact"/>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3.1本合同标的物的质量要求和技术标准：【              】，除非另行规定，所有的产品和工艺均应达到国家标准，或者根据情况等同于或高于产品清单中指定的标准执行。</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bookmarkStart w:id="80" w:name="_Hlk49083391"/>
      <w:r>
        <w:rPr>
          <w:rFonts w:hint="eastAsia" w:cs="宋体" w:asciiTheme="minorEastAsia" w:hAnsiTheme="minorEastAsia" w:eastAsiaTheme="minorEastAsia"/>
          <w:color w:val="000000" w:themeColor="text1"/>
          <w:sz w:val="24"/>
          <w:szCs w:val="24"/>
          <w14:textFill>
            <w14:solidFill>
              <w14:schemeClr w14:val="tx1"/>
            </w14:solidFill>
          </w14:textFill>
        </w:rPr>
        <w:t>3.2乙方须对产品的质量负责，产品交付甲方后，凡因产品质量不符合约定或有其它内在质量瑕疵，而给甲方或任何第三方造成人身损害和财产损失的，均由乙方承担责任。</w:t>
      </w:r>
    </w:p>
    <w:bookmarkEnd w:id="80"/>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3.3包装：按生产商的标准包装，且应符合国家有关标准要求，并保证货物运抵现场时不受任何损坏。</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第四条 货物的交货</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4.1乙方负责装货、运输，将货物安全运抵交货目的地并卸载。</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4.2交货期：合同签订生效后【 】日历日内。甲方有权延迟交货期，但需要提前24小时通知乙方。乙方在每批货物抵达货物交货目的地24小时前通知甲方接货。</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4.3交货目的地：甲方指定地点。</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4.4乙方在交货时一并将全部技术资料，包括但不限于样本、图纸、操作手册、使用指南、维修指南、服务手册、示意图、产品使用说明书、主要辅料说明及材料品牌证明文件、制造、安装、检验标准和技术规范等。</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第五条 验收</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5.1货物送达到甲方指定地点后，甲方按照产品清单进行清点验货；如发现产品与合同约定不符，或因包装不当造成货物质量下降或破损、缺件等，乙方应及时按甲方要求处理。</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5.2货物到达现场后，乙方应按甲方安排的时间派人到现场进行开箱检验。如乙方不能按时到达现场，又无函电通知时，甲方有权开箱检验，并对缺件、质量损坏情况做出记录。</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第六条 货物的保证</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乙方对其按合同向甲方提供的全部货物及服务保证如下：</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6.1货物是采用优质材料及先进工艺所制造的原厂出品的新品。</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6.2货物在原产地、质量、规格及性能等方面符合本合同有关规定的要求。</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6.4甲方在中华人民共和国境内使用本合同项目下的货物及服务不侵犯任何第三方的专利权、商标使用权、工业设计权及其他权益。</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第七条 产品责任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产品的质保期（从货到甲方现场安装验收合格之日算起【】个月），在质保期内，乙方免费负责维修或更换损坏部分（非人为故障）。产品运行周期内终身有偿负责维护。乙方承诺在接甲方通知后48小时内至甲方现场处理质量问题或者为甲方提供维护保养服务。如在上述时间内乙方未及时出具有效方案，甲方有权自行聘请第三方进行维修，因此产生的所有费用由乙方承担。</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第八条 违约责任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8.1乙方未按本合同约定日期按时供货，每延期一天，向甲方支付该批货物合同价款的千分之一的违约金，延期超20天的，甲方有权解除本合同，乙方应退还甲方相应货款并按该批货款的20％支付违约金。</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8.2如乙方所提供的货物在数量、质量、规格等方面不符合甲方的规定，乙方应采用最快的运输方式自负一切费用和风险，补足数量不足的部分或更换质量、规格、产地不符的部分。因换货而导致延期交货的，按本合同第八条第1款承担违约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8.3在本合同规定的质量保证期届满之前，如乙方所提供的货物在性能、内在质量等方面不符合合同的规定，乙方应自收到甲方通知之日起的7日内予以更换；如更换后仍不能达到甲方有关规定的要求，甲方有权解除合同，乙方应退还甲方相应货款并按该批货款的20％支付违约金，不足以弥补甲方损失的需继续予以补足。</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8.4若甲方在使用产品的过程中，由于产品质量原因给甲方或第三方造成人身或财产损失时，乙方应承担全部赔偿责任，并支付该产品价格的20%作为违约金。</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8.5乙方违反本合同其他约定，经甲方催告后10日内仍未整改的，甲方有权解除合同，乙方应退还预付款并按合同总额的20％支付违约金，不足以弥补甲方损失的需继续予以补足。</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8.6在乙方完全履行本合同项下义务的情况下，甲方逾期付款且乙方发出书面催款通</w:t>
      </w:r>
      <w:r>
        <w:rPr>
          <w:rFonts w:hint="eastAsia" w:asciiTheme="minorEastAsia" w:hAnsiTheme="minorEastAsia" w:eastAsiaTheme="minorEastAsia"/>
          <w:bCs/>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知后7日仍未付款的，每逾期一日，应按全国银行间同业拆借中心公布的贷款市场报价利率支付应付未付款的违约金，除此之外不承担其他责任。</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8.7</w:t>
      </w:r>
      <w:bookmarkStart w:id="81" w:name="_Hlk49085594"/>
      <w:r>
        <w:rPr>
          <w:rFonts w:hint="eastAsia" w:cs="宋体" w:asciiTheme="minorEastAsia" w:hAnsiTheme="minorEastAsia" w:eastAsiaTheme="minorEastAsia"/>
          <w:color w:val="000000" w:themeColor="text1"/>
          <w:sz w:val="24"/>
          <w:szCs w:val="24"/>
          <w14:textFill>
            <w14:solidFill>
              <w14:schemeClr w14:val="tx1"/>
            </w14:solidFill>
          </w14:textFill>
        </w:rPr>
        <w:t>因乙方违约造成甲方损失的，乙方还应赔偿甲方为维护自身合法权益而支出的包括但不限于诉讼费、律师费、差旅费、文印费、诉讼保全保险费等一切支出</w:t>
      </w:r>
      <w:bookmarkEnd w:id="81"/>
      <w:r>
        <w:rPr>
          <w:rFonts w:hint="eastAsia" w:cs="宋体" w:asciiTheme="minorEastAsia" w:hAnsiTheme="minorEastAsia" w:eastAsiaTheme="minorEastAsia"/>
          <w:color w:val="000000" w:themeColor="text1"/>
          <w:sz w:val="24"/>
          <w:szCs w:val="24"/>
          <w14:textFill>
            <w14:solidFill>
              <w14:schemeClr w14:val="tx1"/>
            </w14:solidFill>
          </w14:textFill>
        </w:rPr>
        <w:t>。</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第九条 知识产权及保密条款</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进行补偿。</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9.4 乙方应采取必要措施保证其员工无论是在职中还是离职后均承担同样的保密义务。</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9.5 本协议变更、解除和终止后保密条款对双方仍有约束力。</w:t>
      </w:r>
    </w:p>
    <w:p>
      <w:pPr>
        <w:adjustRightInd w:val="0"/>
        <w:snapToGrid w:val="0"/>
        <w:spacing w:line="520" w:lineRule="exact"/>
        <w:ind w:firstLine="482" w:firstLineChars="200"/>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第十条 不可抗力</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本</w:t>
      </w:r>
      <w:bookmarkStart w:id="82" w:name="_Hlk49085614"/>
      <w:r>
        <w:rPr>
          <w:rFonts w:hint="eastAsia" w:cs="宋体" w:asciiTheme="minorEastAsia" w:hAnsiTheme="minorEastAsia" w:eastAsiaTheme="minorEastAsia"/>
          <w:color w:val="000000" w:themeColor="text1"/>
          <w:sz w:val="24"/>
          <w:szCs w:val="24"/>
          <w14:textFill>
            <w14:solidFill>
              <w14:schemeClr w14:val="tx1"/>
            </w14:solidFill>
          </w14:textFill>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82"/>
      <w:r>
        <w:rPr>
          <w:rFonts w:hint="eastAsia" w:cs="宋体" w:asciiTheme="minorEastAsia" w:hAnsiTheme="minorEastAsia" w:eastAsiaTheme="minorEastAsia"/>
          <w:color w:val="000000" w:themeColor="text1"/>
          <w:sz w:val="24"/>
          <w:szCs w:val="24"/>
          <w14:textFill>
            <w14:solidFill>
              <w14:schemeClr w14:val="tx1"/>
            </w14:solidFill>
          </w14:textFill>
        </w:rPr>
        <w:t>。</w:t>
      </w:r>
    </w:p>
    <w:p>
      <w:pPr>
        <w:adjustRightInd w:val="0"/>
        <w:snapToGrid w:val="0"/>
        <w:spacing w:line="520" w:lineRule="exact"/>
        <w:ind w:firstLine="482"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第十一条   送达地址</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甲方确认的通讯送达地址：</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收件人：         联系电话：</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电子邮箱：</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p>
    <w:p>
      <w:pPr>
        <w:adjustRightInd w:val="0"/>
        <w:snapToGrid w:val="0"/>
        <w:spacing w:line="520" w:lineRule="exact"/>
        <w:ind w:firstLine="480" w:firstLineChars="20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乙方确认的通讯送达地址：</w:t>
      </w:r>
    </w:p>
    <w:p>
      <w:pPr>
        <w:adjustRightInd w:val="0"/>
        <w:snapToGrid w:val="0"/>
        <w:spacing w:line="520" w:lineRule="exact"/>
        <w:ind w:firstLine="480" w:firstLineChars="200"/>
        <w:jc w:val="lef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收件人：         联系电话：</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u w:val="single"/>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电子邮箱：</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widowControl/>
        <w:adjustRightInd w:val="0"/>
        <w:snapToGrid w:val="0"/>
        <w:spacing w:line="520" w:lineRule="exact"/>
        <w:ind w:firstLine="482"/>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第十二条   争议的解决</w:t>
      </w:r>
    </w:p>
    <w:p>
      <w:pPr>
        <w:widowControl/>
        <w:adjustRightInd w:val="0"/>
        <w:snapToGrid w:val="0"/>
        <w:spacing w:line="520" w:lineRule="exact"/>
        <w:ind w:firstLine="480"/>
        <w:rPr>
          <w:rFonts w:cs="宋体" w:asciiTheme="minorEastAsia" w:hAnsiTheme="minorEastAsia" w:eastAsiaTheme="minorEastAsia"/>
          <w:color w:val="000000" w:themeColor="text1"/>
          <w:sz w:val="24"/>
          <w:szCs w:val="24"/>
          <w14:textFill>
            <w14:solidFill>
              <w14:schemeClr w14:val="tx1"/>
            </w14:solidFill>
          </w14:textFill>
        </w:rPr>
      </w:pPr>
      <w:bookmarkStart w:id="83" w:name="_Hlk49085669"/>
      <w:r>
        <w:rPr>
          <w:rFonts w:hint="eastAsia" w:cs="宋体" w:asciiTheme="minorEastAsia" w:hAnsiTheme="minorEastAsia" w:eastAsiaTheme="minorEastAsia"/>
          <w:color w:val="000000" w:themeColor="text1"/>
          <w:sz w:val="24"/>
          <w:szCs w:val="24"/>
          <w14:textFill>
            <w14:solidFill>
              <w14:schemeClr w14:val="tx1"/>
            </w14:solidFill>
          </w14:textFill>
        </w:rPr>
        <w:t>12.1各方在本合同项下产生争议，应当首先友好协商解决。协商不成，任何一方均有权向甲方所在地人民法院起诉解决。。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12.2本合同中任何条款的无效不应影响本合同其他条款的效力，在解决争议的过程中，各方应按本合同所有其他有效条款的约定继续履行本合同。</w:t>
      </w:r>
    </w:p>
    <w:bookmarkEnd w:id="83"/>
    <w:p>
      <w:pPr>
        <w:shd w:val="clear" w:color="auto" w:fill="FFFFFF"/>
        <w:adjustRightInd w:val="0"/>
        <w:snapToGrid w:val="0"/>
        <w:spacing w:line="520" w:lineRule="exact"/>
        <w:ind w:firstLine="482" w:firstLineChars="200"/>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 xml:space="preserve">第十三条 其他事项  </w:t>
      </w:r>
      <w:r>
        <w:rPr>
          <w:rFonts w:hint="eastAsia" w:cs="宋体" w:asciiTheme="minorEastAsia" w:hAnsiTheme="minorEastAsia" w:eastAsiaTheme="minorEastAsia"/>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 xml:space="preserve">                                                                                                                                                                                                                                                                                                                                                                                                                                                                                                                                                                                                                                                                                                                                                                                                                                                                                                                                                                                                                                                                                                                                                                                                                                                                                                                                                                                                                                                                                                                                                                                                                                                                                                                                                                                                                                                                                                                                                                                                                                                                                                                                                                                                                                                                                                                                                                                                                                                                                                                                                                                                                                                                                                  </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13.1本合同签订前10日内，乙方应向甲方提供下列证明文件或材料：</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13.1.1营业执照复印件、法定代表人身份证明文件，如为加盟项目，还须提供特许加盟的授权委托证明；</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13.1.2签字人如为代理人，本合同签字人的授权委托书；</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13.1.3甲方要求提供的其它资料；</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13.2双方一致同意不向传播媒介或公众或第三方透露本合同的内容；</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13.3本合同经甲、乙双方法定代表人或授权代表签字、盖章后生效。</w:t>
      </w:r>
    </w:p>
    <w:p>
      <w:pPr>
        <w:widowControl/>
        <w:adjustRightInd w:val="0"/>
        <w:snapToGrid w:val="0"/>
        <w:spacing w:line="52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13.4本合同正本一式【】份，甲方执【】份,乙方执【】份，均具有同等法律效力。</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p>
    <w:p>
      <w:pPr>
        <w:adjustRightInd w:val="0"/>
        <w:snapToGrid w:val="0"/>
        <w:spacing w:line="520" w:lineRule="exact"/>
        <w:rPr>
          <w:rFonts w:cs="宋体" w:asciiTheme="minorEastAsia" w:hAnsiTheme="minorEastAsia" w:eastAsiaTheme="minorEastAsia"/>
          <w:b/>
          <w:bCs/>
          <w:color w:val="000000" w:themeColor="text1"/>
          <w:sz w:val="24"/>
          <w:szCs w:val="24"/>
          <w14:textFill>
            <w14:solidFill>
              <w14:schemeClr w14:val="tx1"/>
            </w14:solidFill>
          </w14:textFill>
        </w:rPr>
      </w:pPr>
      <w:bookmarkStart w:id="84" w:name="_Hlk49085733"/>
      <w:r>
        <w:rPr>
          <w:rFonts w:hint="eastAsia" w:cs="宋体" w:asciiTheme="minorEastAsia" w:hAnsiTheme="minorEastAsia" w:eastAsiaTheme="minorEastAsia"/>
          <w:b/>
          <w:bCs/>
          <w:color w:val="000000" w:themeColor="text1"/>
          <w:sz w:val="24"/>
          <w:szCs w:val="24"/>
          <w14:textFill>
            <w14:solidFill>
              <w14:schemeClr w14:val="tx1"/>
            </w14:solidFill>
          </w14:textFill>
        </w:rPr>
        <w:t xml:space="preserve">甲方（盖章）：                        </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法定代表人/授权代理人（签字）：</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签约日期：    年  月  日</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p>
    <w:p>
      <w:pPr>
        <w:adjustRightInd w:val="0"/>
        <w:snapToGrid w:val="0"/>
        <w:spacing w:line="520" w:lineRule="exact"/>
        <w:rPr>
          <w:rFonts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乙方（盖章）：</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法定代表人/授权代理人（签字）：</w:t>
      </w:r>
    </w:p>
    <w:p>
      <w:pPr>
        <w:adjustRightInd w:val="0"/>
        <w:snapToGrid w:val="0"/>
        <w:spacing w:line="520" w:lineRule="exact"/>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签约日期：    年  月  日</w:t>
      </w:r>
      <w:bookmarkEnd w:id="84"/>
    </w:p>
    <w:p>
      <w:pPr>
        <w:spacing w:line="49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7"/>
          <w14:textFill>
            <w14:solidFill>
              <w14:schemeClr w14:val="tx1"/>
            </w14:solidFill>
          </w14:textFill>
        </w:rPr>
        <w:t>备注：本合同仅供参考，如本合同的约定如与本项目</w:t>
      </w:r>
      <w:r>
        <w:rPr>
          <w:rFonts w:hint="eastAsia" w:ascii="宋体" w:hAnsi="宋体"/>
          <w:b/>
          <w:color w:val="000000" w:themeColor="text1"/>
          <w:sz w:val="24"/>
          <w14:textFill>
            <w14:solidFill>
              <w14:schemeClr w14:val="tx1"/>
            </w14:solidFill>
          </w14:textFill>
        </w:rPr>
        <w:t>招标</w:t>
      </w:r>
      <w:r>
        <w:rPr>
          <w:rFonts w:hint="eastAsia" w:ascii="宋体" w:hAnsi="宋体"/>
          <w:b/>
          <w:color w:val="000000" w:themeColor="text1"/>
          <w:sz w:val="24"/>
          <w:szCs w:val="27"/>
          <w14:textFill>
            <w14:solidFill>
              <w14:schemeClr w14:val="tx1"/>
            </w14:solidFill>
          </w14:textFill>
        </w:rPr>
        <w:t>文件的投标人须知前附表、</w:t>
      </w:r>
      <w:r>
        <w:rPr>
          <w:rFonts w:hint="eastAsia" w:ascii="宋体" w:hAnsi="宋体"/>
          <w:b/>
          <w:bCs/>
          <w:color w:val="000000" w:themeColor="text1"/>
          <w:sz w:val="24"/>
          <w14:textFill>
            <w14:solidFill>
              <w14:schemeClr w14:val="tx1"/>
            </w14:solidFill>
          </w14:textFill>
        </w:rPr>
        <w:t>招标需求</w:t>
      </w:r>
      <w:r>
        <w:rPr>
          <w:rFonts w:hint="eastAsia" w:ascii="宋体" w:hAnsi="宋体"/>
          <w:b/>
          <w:color w:val="000000" w:themeColor="text1"/>
          <w:sz w:val="24"/>
          <w:szCs w:val="27"/>
          <w14:textFill>
            <w14:solidFill>
              <w14:schemeClr w14:val="tx1"/>
            </w14:solidFill>
          </w14:textFill>
        </w:rPr>
        <w:t>的约定不一致的地方，以投标人须知前附表、</w:t>
      </w:r>
      <w:r>
        <w:rPr>
          <w:rFonts w:hint="eastAsia" w:ascii="宋体" w:hAnsi="宋体"/>
          <w:b/>
          <w:bCs/>
          <w:color w:val="000000" w:themeColor="text1"/>
          <w:sz w:val="24"/>
          <w14:textFill>
            <w14:solidFill>
              <w14:schemeClr w14:val="tx1"/>
            </w14:solidFill>
          </w14:textFill>
        </w:rPr>
        <w:t>招标需求</w:t>
      </w:r>
      <w:r>
        <w:rPr>
          <w:rFonts w:hint="eastAsia" w:ascii="宋体" w:hAnsi="宋体"/>
          <w:b/>
          <w:color w:val="000000" w:themeColor="text1"/>
          <w:sz w:val="24"/>
          <w:szCs w:val="27"/>
          <w14:textFill>
            <w14:solidFill>
              <w14:schemeClr w14:val="tx1"/>
            </w14:solidFill>
          </w14:textFill>
        </w:rPr>
        <w:t>的约定为准。</w:t>
      </w:r>
    </w:p>
    <w:p>
      <w:pPr>
        <w:spacing w:line="470" w:lineRule="exact"/>
        <w:rPr>
          <w:b/>
          <w:color w:val="000000" w:themeColor="text1"/>
          <w:sz w:val="24"/>
          <w14:textFill>
            <w14:solidFill>
              <w14:schemeClr w14:val="tx1"/>
            </w14:solidFill>
          </w14:textFill>
        </w:rPr>
      </w:pPr>
    </w:p>
    <w:p>
      <w:pPr>
        <w:spacing w:line="470" w:lineRule="exact"/>
        <w:rPr>
          <w:b/>
          <w:color w:val="000000" w:themeColor="text1"/>
          <w:sz w:val="24"/>
          <w14:textFill>
            <w14:solidFill>
              <w14:schemeClr w14:val="tx1"/>
            </w14:solidFill>
          </w14:textFill>
        </w:rPr>
      </w:pPr>
    </w:p>
    <w:p>
      <w:pPr>
        <w:spacing w:line="470" w:lineRule="exact"/>
        <w:rPr>
          <w:b/>
          <w:color w:val="000000" w:themeColor="text1"/>
          <w:sz w:val="24"/>
          <w14:textFill>
            <w14:solidFill>
              <w14:schemeClr w14:val="tx1"/>
            </w14:solidFill>
          </w14:textFill>
        </w:rPr>
      </w:pPr>
    </w:p>
    <w:p>
      <w:pPr>
        <w:spacing w:line="470" w:lineRule="exact"/>
        <w:rPr>
          <w:b/>
          <w:color w:val="000000" w:themeColor="text1"/>
          <w:sz w:val="24"/>
          <w14:textFill>
            <w14:solidFill>
              <w14:schemeClr w14:val="tx1"/>
            </w14:solidFill>
          </w14:textFill>
        </w:rPr>
      </w:pPr>
    </w:p>
    <w:p>
      <w:pPr>
        <w:pStyle w:val="50"/>
        <w:ind w:firstLine="482"/>
        <w:rPr>
          <w:b/>
          <w:color w:val="000000" w:themeColor="text1"/>
          <w:sz w:val="24"/>
          <w14:textFill>
            <w14:solidFill>
              <w14:schemeClr w14:val="tx1"/>
            </w14:solidFill>
          </w14:textFill>
        </w:rPr>
      </w:pPr>
    </w:p>
    <w:p>
      <w:pPr>
        <w:pStyle w:val="50"/>
        <w:ind w:firstLine="482"/>
        <w:rPr>
          <w:b/>
          <w:color w:val="000000" w:themeColor="text1"/>
          <w:sz w:val="24"/>
          <w14:textFill>
            <w14:solidFill>
              <w14:schemeClr w14:val="tx1"/>
            </w14:solidFill>
          </w14:textFill>
        </w:rPr>
      </w:pPr>
    </w:p>
    <w:p>
      <w:pPr>
        <w:pStyle w:val="50"/>
        <w:ind w:firstLine="482"/>
        <w:rPr>
          <w:b/>
          <w:color w:val="000000" w:themeColor="text1"/>
          <w:sz w:val="24"/>
          <w14:textFill>
            <w14:solidFill>
              <w14:schemeClr w14:val="tx1"/>
            </w14:solidFill>
          </w14:textFill>
        </w:rPr>
      </w:pPr>
    </w:p>
    <w:p>
      <w:pPr>
        <w:spacing w:line="470" w:lineRule="exact"/>
        <w:rPr>
          <w:b/>
          <w:color w:val="000000" w:themeColor="text1"/>
          <w:sz w:val="24"/>
          <w14:textFill>
            <w14:solidFill>
              <w14:schemeClr w14:val="tx1"/>
            </w14:solidFill>
          </w14:textFill>
        </w:rPr>
      </w:pPr>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bookmarkStart w:id="85" w:name="_Toc7078087"/>
      <w:bookmarkStart w:id="86" w:name="_Toc3121"/>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p>
    <w:p>
      <w:pPr>
        <w:pStyle w:val="2"/>
        <w:rPr>
          <w:color w:val="000000" w:themeColor="text1"/>
          <w:lang w:val="zh-CN"/>
          <w14:textFill>
            <w14:solidFill>
              <w14:schemeClr w14:val="tx1"/>
            </w14:solidFill>
          </w14:textFill>
        </w:rPr>
      </w:pPr>
    </w:p>
    <w:p>
      <w:pPr>
        <w:pStyle w:val="2"/>
        <w:rPr>
          <w:color w:val="000000" w:themeColor="text1"/>
          <w:lang w:val="zh-CN"/>
          <w14:textFill>
            <w14:solidFill>
              <w14:schemeClr w14:val="tx1"/>
            </w14:solidFill>
          </w14:textFill>
        </w:rPr>
      </w:pPr>
    </w:p>
    <w:p>
      <w:pPr>
        <w:pStyle w:val="2"/>
        <w:rPr>
          <w:color w:val="000000" w:themeColor="text1"/>
          <w:lang w:val="zh-CN"/>
          <w14:textFill>
            <w14:solidFill>
              <w14:schemeClr w14:val="tx1"/>
            </w14:solidFill>
          </w14:textFill>
        </w:rPr>
      </w:pPr>
    </w:p>
    <w:p>
      <w:pPr>
        <w:pStyle w:val="2"/>
        <w:rPr>
          <w:color w:val="000000" w:themeColor="text1"/>
          <w:lang w:val="zh-CN"/>
          <w14:textFill>
            <w14:solidFill>
              <w14:schemeClr w14:val="tx1"/>
            </w14:solidFill>
          </w14:textFill>
        </w:rPr>
      </w:pPr>
    </w:p>
    <w:p>
      <w:pPr>
        <w:pStyle w:val="2"/>
        <w:rPr>
          <w:color w:val="000000" w:themeColor="text1"/>
          <w:lang w:val="zh-CN"/>
          <w14:textFill>
            <w14:solidFill>
              <w14:schemeClr w14:val="tx1"/>
            </w14:solidFill>
          </w14:textFill>
        </w:rPr>
      </w:pPr>
    </w:p>
    <w:p>
      <w:pPr>
        <w:pStyle w:val="2"/>
        <w:rPr>
          <w:color w:val="000000" w:themeColor="text1"/>
          <w:lang w:val="zh-CN"/>
          <w14:textFill>
            <w14:solidFill>
              <w14:schemeClr w14:val="tx1"/>
            </w14:solidFill>
          </w14:textFill>
        </w:rPr>
      </w:pPr>
    </w:p>
    <w:p>
      <w:pPr>
        <w:pStyle w:val="2"/>
        <w:rPr>
          <w:color w:val="000000" w:themeColor="text1"/>
          <w:lang w:val="zh-CN"/>
          <w14:textFill>
            <w14:solidFill>
              <w14:schemeClr w14:val="tx1"/>
            </w14:solidFill>
          </w14:textFill>
        </w:rPr>
      </w:pPr>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p>
    <w:p>
      <w:pPr>
        <w:spacing w:line="360" w:lineRule="auto"/>
        <w:jc w:val="center"/>
        <w:outlineLvl w:val="0"/>
        <w:rPr>
          <w:rFonts w:ascii="宋体" w:hAnsi="宋体"/>
          <w:b/>
          <w:bCs/>
          <w:color w:val="000000" w:themeColor="text1"/>
          <w:sz w:val="32"/>
          <w:szCs w:val="32"/>
          <w:lang w:val="zh-CN"/>
          <w14:textFill>
            <w14:solidFill>
              <w14:schemeClr w14:val="tx1"/>
            </w14:solidFill>
          </w14:textFill>
        </w:rPr>
      </w:pPr>
      <w:bookmarkStart w:id="87" w:name="_Toc102633633"/>
      <w:r>
        <w:rPr>
          <w:rFonts w:hint="eastAsia" w:ascii="宋体" w:hAnsi="宋体"/>
          <w:b/>
          <w:bCs/>
          <w:color w:val="000000" w:themeColor="text1"/>
          <w:sz w:val="32"/>
          <w:szCs w:val="32"/>
          <w:lang w:val="zh-CN"/>
          <w14:textFill>
            <w14:solidFill>
              <w14:schemeClr w14:val="tx1"/>
            </w14:solidFill>
          </w14:textFill>
        </w:rPr>
        <w:t>第七章 投标文件格式</w:t>
      </w:r>
      <w:bookmarkEnd w:id="85"/>
      <w:bookmarkEnd w:id="86"/>
      <w:bookmarkEnd w:id="87"/>
    </w:p>
    <w:p>
      <w:pPr>
        <w:keepNext/>
        <w:keepLines/>
        <w:spacing w:before="120" w:after="120" w:line="400" w:lineRule="exact"/>
        <w:jc w:val="center"/>
        <w:outlineLvl w:val="1"/>
        <w:rPr>
          <w:rFonts w:ascii="Arial" w:hAnsi="Arial" w:cs="Calibri"/>
          <w:b/>
          <w:bCs/>
          <w:color w:val="000000"/>
          <w:sz w:val="32"/>
          <w:szCs w:val="32"/>
        </w:rPr>
      </w:pPr>
      <w:bookmarkStart w:id="88" w:name="_Toc102633634"/>
      <w:r>
        <w:rPr>
          <w:rFonts w:hint="eastAsia" w:ascii="Arial" w:hAnsi="Arial" w:cs="Calibri"/>
          <w:b/>
          <w:bCs/>
          <w:color w:val="000000"/>
          <w:sz w:val="32"/>
          <w:szCs w:val="32"/>
        </w:rPr>
        <w:t>评审因素索引表</w:t>
      </w:r>
      <w:bookmarkEnd w:id="88"/>
    </w:p>
    <w:p>
      <w:pPr>
        <w:jc w:val="center"/>
        <w:rPr>
          <w:rFonts w:ascii="Calibri" w:hAnsi="Calibri"/>
          <w:color w:val="000000"/>
          <w:sz w:val="24"/>
        </w:rPr>
      </w:pPr>
    </w:p>
    <w:tbl>
      <w:tblPr>
        <w:tblStyle w:val="51"/>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000000"/>
                <w:sz w:val="24"/>
              </w:rPr>
            </w:pPr>
            <w:bookmarkStart w:id="89" w:name="_Toc256691567"/>
            <w:bookmarkStart w:id="90" w:name="_Toc256695443"/>
            <w:r>
              <w:rPr>
                <w:rFonts w:hint="eastAsia" w:ascii="Calibri" w:hAnsi="Calibri"/>
                <w:b/>
                <w:color w:val="000000"/>
                <w:sz w:val="24"/>
              </w:rPr>
              <w:t>序号</w:t>
            </w:r>
            <w:bookmarkEnd w:id="89"/>
            <w:bookmarkEnd w:id="90"/>
          </w:p>
        </w:tc>
        <w:tc>
          <w:tcPr>
            <w:tcW w:w="4820" w:type="dxa"/>
            <w:vAlign w:val="center"/>
          </w:tcPr>
          <w:p>
            <w:pPr>
              <w:jc w:val="center"/>
              <w:rPr>
                <w:rFonts w:ascii="Calibri" w:hAnsi="Calibri"/>
                <w:b/>
                <w:color w:val="000000"/>
                <w:sz w:val="24"/>
              </w:rPr>
            </w:pPr>
            <w:bookmarkStart w:id="91" w:name="_Toc256691568"/>
            <w:bookmarkStart w:id="92" w:name="_Toc256695444"/>
            <w:r>
              <w:rPr>
                <w:rFonts w:hint="eastAsia" w:ascii="Calibri" w:hAnsi="Calibri"/>
                <w:b/>
                <w:color w:val="000000"/>
                <w:sz w:val="24"/>
              </w:rPr>
              <w:t>评审因素</w:t>
            </w:r>
            <w:bookmarkEnd w:id="91"/>
            <w:bookmarkEnd w:id="92"/>
          </w:p>
        </w:tc>
        <w:tc>
          <w:tcPr>
            <w:tcW w:w="3649" w:type="dxa"/>
            <w:vAlign w:val="center"/>
          </w:tcPr>
          <w:p>
            <w:pPr>
              <w:jc w:val="center"/>
              <w:rPr>
                <w:rFonts w:ascii="Calibri" w:hAnsi="Calibri"/>
                <w:b/>
                <w:color w:val="000000"/>
                <w:sz w:val="24"/>
              </w:rPr>
            </w:pPr>
            <w:bookmarkStart w:id="93" w:name="_Toc256691569"/>
            <w:bookmarkStart w:id="94" w:name="_Toc256695445"/>
            <w:r>
              <w:rPr>
                <w:rFonts w:hint="eastAsia" w:ascii="Calibri" w:hAnsi="Calibri"/>
                <w:b/>
                <w:color w:val="000000"/>
                <w:sz w:val="24"/>
              </w:rPr>
              <w:t>投标文件页码范围</w:t>
            </w:r>
            <w:bookmarkEnd w:id="93"/>
            <w:bookmarkEnd w:id="9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sz w:val="24"/>
              </w:rPr>
            </w:pPr>
          </w:p>
        </w:tc>
        <w:tc>
          <w:tcPr>
            <w:tcW w:w="4820" w:type="dxa"/>
            <w:vAlign w:val="center"/>
          </w:tcPr>
          <w:p>
            <w:pPr>
              <w:jc w:val="center"/>
              <w:rPr>
                <w:rFonts w:ascii="Calibri" w:hAnsi="Calibri"/>
                <w:color w:val="000000"/>
                <w:sz w:val="24"/>
              </w:rPr>
            </w:pPr>
          </w:p>
        </w:tc>
        <w:tc>
          <w:tcPr>
            <w:tcW w:w="3649" w:type="dxa"/>
            <w:vAlign w:val="center"/>
          </w:tcPr>
          <w:p>
            <w:pPr>
              <w:jc w:val="center"/>
              <w:rPr>
                <w:rFonts w:ascii="Calibri" w:hAnsi="Calibri"/>
                <w:color w:val="000000"/>
                <w:sz w:val="24"/>
              </w:rPr>
            </w:pPr>
            <w:bookmarkStart w:id="95" w:name="_Toc256691570"/>
            <w:bookmarkStart w:id="96" w:name="_Toc256695446"/>
            <w:r>
              <w:rPr>
                <w:rFonts w:hint="eastAsia" w:ascii="Calibri" w:hAnsi="Calibri"/>
                <w:color w:val="000000"/>
                <w:sz w:val="24"/>
              </w:rPr>
              <w:t>P---  P</w:t>
            </w:r>
            <w:bookmarkEnd w:id="95"/>
            <w:bookmarkEnd w:id="9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4"/>
              </w:rPr>
            </w:pPr>
            <w:bookmarkStart w:id="97" w:name="_Toc256695447"/>
            <w:bookmarkStart w:id="98" w:name="_Toc256691571"/>
            <w:r>
              <w:rPr>
                <w:rFonts w:hint="eastAsia" w:ascii="Calibri" w:hAnsi="Calibri"/>
                <w:color w:val="000000"/>
                <w:sz w:val="24"/>
              </w:rPr>
              <w:t>P---  P</w:t>
            </w:r>
            <w:bookmarkEnd w:id="97"/>
            <w:bookmarkEnd w:id="9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4"/>
              </w:rPr>
            </w:pPr>
            <w:bookmarkStart w:id="99" w:name="_Toc256695448"/>
            <w:bookmarkStart w:id="100" w:name="_Toc256691572"/>
            <w:r>
              <w:rPr>
                <w:rFonts w:hint="eastAsia" w:ascii="Calibri" w:hAnsi="Calibri"/>
                <w:color w:val="000000"/>
                <w:sz w:val="24"/>
              </w:rPr>
              <w:t>P---  P</w:t>
            </w:r>
            <w:bookmarkEnd w:id="99"/>
            <w:bookmarkEnd w:id="10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4"/>
              </w:rPr>
            </w:pPr>
            <w:bookmarkStart w:id="101" w:name="_Toc256695449"/>
            <w:bookmarkStart w:id="102" w:name="_Toc256691573"/>
            <w:r>
              <w:rPr>
                <w:rFonts w:hint="eastAsia" w:ascii="Calibri" w:hAnsi="Calibri"/>
                <w:color w:val="000000"/>
                <w:sz w:val="24"/>
              </w:rPr>
              <w:t>P---  P</w:t>
            </w:r>
            <w:bookmarkEnd w:id="101"/>
            <w:bookmarkEnd w:id="10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4"/>
              </w:rPr>
            </w:pPr>
            <w:bookmarkStart w:id="103" w:name="_Toc256695450"/>
            <w:bookmarkStart w:id="104" w:name="_Toc256691574"/>
            <w:r>
              <w:rPr>
                <w:rFonts w:hint="eastAsia" w:ascii="Calibri" w:hAnsi="Calibri"/>
                <w:color w:val="000000"/>
                <w:sz w:val="24"/>
              </w:rPr>
              <w:t>P---  P</w:t>
            </w:r>
            <w:bookmarkEnd w:id="103"/>
            <w:bookmarkEnd w:id="10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4"/>
              </w:rPr>
            </w:pPr>
            <w:bookmarkStart w:id="105" w:name="_Toc256691575"/>
            <w:bookmarkStart w:id="106" w:name="_Toc256695451"/>
            <w:r>
              <w:rPr>
                <w:rFonts w:hint="eastAsia" w:ascii="Calibri" w:hAnsi="Calibri"/>
                <w:color w:val="000000"/>
                <w:sz w:val="24"/>
              </w:rPr>
              <w:t>P---  P</w:t>
            </w:r>
            <w:bookmarkEnd w:id="105"/>
            <w:bookmarkEnd w:id="10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4"/>
              </w:rPr>
            </w:pPr>
            <w:bookmarkStart w:id="107" w:name="_Toc256695452"/>
            <w:bookmarkStart w:id="108" w:name="_Toc256691576"/>
            <w:r>
              <w:rPr>
                <w:rFonts w:hint="eastAsia" w:ascii="Calibri" w:hAnsi="Calibri"/>
                <w:color w:val="000000"/>
                <w:sz w:val="24"/>
              </w:rPr>
              <w:t>P---  P</w:t>
            </w:r>
            <w:bookmarkEnd w:id="107"/>
            <w:bookmarkEnd w:id="10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4"/>
              </w:rPr>
            </w:pPr>
            <w:bookmarkStart w:id="109" w:name="_Toc256691577"/>
            <w:bookmarkStart w:id="110" w:name="_Toc256695453"/>
            <w:r>
              <w:rPr>
                <w:rFonts w:hint="eastAsia" w:ascii="Calibri" w:hAnsi="Calibri"/>
                <w:color w:val="000000"/>
                <w:sz w:val="24"/>
              </w:rPr>
              <w:t>P---  P</w:t>
            </w:r>
            <w:bookmarkEnd w:id="109"/>
            <w:bookmarkEnd w:id="1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4"/>
              </w:rPr>
            </w:pPr>
            <w:bookmarkStart w:id="111" w:name="_Toc256695454"/>
            <w:bookmarkStart w:id="112" w:name="_Toc256691578"/>
            <w:r>
              <w:rPr>
                <w:rFonts w:hint="eastAsia" w:ascii="Calibri" w:hAnsi="Calibri"/>
                <w:color w:val="000000"/>
                <w:sz w:val="24"/>
              </w:rPr>
              <w:t>P---  P</w:t>
            </w:r>
            <w:bookmarkEnd w:id="111"/>
            <w:bookmarkEnd w:id="1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4"/>
              </w:rPr>
            </w:pPr>
            <w:bookmarkStart w:id="113" w:name="_Toc256695455"/>
            <w:bookmarkStart w:id="114" w:name="_Toc256691579"/>
            <w:r>
              <w:rPr>
                <w:rFonts w:hint="eastAsia" w:ascii="Calibri" w:hAnsi="Calibri"/>
                <w:color w:val="000000"/>
                <w:sz w:val="24"/>
              </w:rPr>
              <w:t>P---  P</w:t>
            </w:r>
            <w:bookmarkEnd w:id="113"/>
            <w:bookmarkEnd w:id="11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8"/>
                <w:szCs w:val="28"/>
              </w:rPr>
            </w:pPr>
            <w:bookmarkStart w:id="115" w:name="_Toc256695456"/>
            <w:bookmarkStart w:id="116" w:name="_Toc256691580"/>
            <w:r>
              <w:rPr>
                <w:rFonts w:hint="eastAsia" w:ascii="Calibri" w:hAnsi="Calibri"/>
                <w:color w:val="000000"/>
                <w:sz w:val="24"/>
              </w:rPr>
              <w:t>P---  P</w:t>
            </w:r>
            <w:bookmarkEnd w:id="115"/>
            <w:bookmarkEnd w:id="11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4"/>
              </w:rPr>
            </w:pPr>
            <w:bookmarkStart w:id="117" w:name="_Toc256691581"/>
            <w:bookmarkStart w:id="118" w:name="_Toc256695457"/>
            <w:r>
              <w:rPr>
                <w:rFonts w:hint="eastAsia" w:ascii="Calibri" w:hAnsi="Calibri"/>
                <w:color w:val="000000"/>
                <w:sz w:val="24"/>
              </w:rPr>
              <w:t>P---  P</w:t>
            </w:r>
            <w:bookmarkEnd w:id="117"/>
            <w:bookmarkEnd w:id="11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8"/>
                <w:szCs w:val="28"/>
              </w:rPr>
            </w:pPr>
            <w:bookmarkStart w:id="119" w:name="_Toc256691582"/>
            <w:bookmarkStart w:id="120" w:name="_Toc256695458"/>
            <w:r>
              <w:rPr>
                <w:rFonts w:hint="eastAsia" w:ascii="Calibri" w:hAnsi="Calibri"/>
                <w:color w:val="000000"/>
                <w:sz w:val="24"/>
              </w:rPr>
              <w:t>P---  P</w:t>
            </w:r>
            <w:bookmarkEnd w:id="119"/>
            <w:bookmarkEnd w:id="12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bookmarkStart w:id="121" w:name="_Toc256695459"/>
            <w:bookmarkStart w:id="122" w:name="_Toc256691583"/>
            <w:r>
              <w:rPr>
                <w:rFonts w:hint="eastAsia" w:ascii="Calibri" w:hAnsi="Calibri"/>
                <w:color w:val="000000"/>
                <w:sz w:val="28"/>
                <w:szCs w:val="28"/>
              </w:rPr>
              <w:t>……</w:t>
            </w:r>
            <w:bookmarkEnd w:id="121"/>
            <w:bookmarkEnd w:id="122"/>
          </w:p>
        </w:tc>
        <w:tc>
          <w:tcPr>
            <w:tcW w:w="3649" w:type="dxa"/>
            <w:vAlign w:val="center"/>
          </w:tcPr>
          <w:p>
            <w:pPr>
              <w:jc w:val="center"/>
              <w:rPr>
                <w:rFonts w:ascii="Calibri" w:hAnsi="Calibri"/>
                <w:color w:val="000000"/>
                <w:sz w:val="24"/>
              </w:rPr>
            </w:pPr>
            <w:bookmarkStart w:id="123" w:name="_Toc256691584"/>
            <w:bookmarkStart w:id="124" w:name="_Toc256695460"/>
            <w:r>
              <w:rPr>
                <w:rFonts w:hint="eastAsia" w:ascii="Calibri" w:hAnsi="Calibri"/>
                <w:color w:val="000000"/>
                <w:sz w:val="28"/>
                <w:szCs w:val="28"/>
              </w:rPr>
              <w:t>……</w:t>
            </w:r>
            <w:bookmarkEnd w:id="123"/>
            <w:bookmarkEnd w:id="1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sz w:val="28"/>
                <w:szCs w:val="28"/>
              </w:rPr>
            </w:pPr>
          </w:p>
        </w:tc>
        <w:tc>
          <w:tcPr>
            <w:tcW w:w="4820" w:type="dxa"/>
            <w:vAlign w:val="center"/>
          </w:tcPr>
          <w:p>
            <w:pPr>
              <w:jc w:val="center"/>
              <w:rPr>
                <w:rFonts w:ascii="Calibri" w:hAnsi="Calibri"/>
                <w:color w:val="000000"/>
                <w:sz w:val="28"/>
                <w:szCs w:val="28"/>
              </w:rPr>
            </w:pPr>
          </w:p>
        </w:tc>
        <w:tc>
          <w:tcPr>
            <w:tcW w:w="3649" w:type="dxa"/>
            <w:vAlign w:val="center"/>
          </w:tcPr>
          <w:p>
            <w:pPr>
              <w:jc w:val="center"/>
              <w:rPr>
                <w:rFonts w:ascii="Calibri" w:hAnsi="Calibri"/>
                <w:color w:val="000000"/>
                <w:sz w:val="28"/>
                <w:szCs w:val="28"/>
              </w:rPr>
            </w:pPr>
          </w:p>
        </w:tc>
      </w:tr>
    </w:tbl>
    <w:p>
      <w:pPr>
        <w:spacing w:line="360" w:lineRule="auto"/>
        <w:jc w:val="center"/>
        <w:outlineLvl w:val="0"/>
        <w:rPr>
          <w:rFonts w:ascii="宋体" w:hAnsi="宋体"/>
          <w:b/>
          <w:bCs/>
          <w:color w:val="000000" w:themeColor="text1"/>
          <w:sz w:val="32"/>
          <w:szCs w:val="32"/>
          <w14:textFill>
            <w14:solidFill>
              <w14:schemeClr w14:val="tx1"/>
            </w14:solidFill>
          </w14:textFill>
        </w:rPr>
      </w:pPr>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51"/>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投标货物及报价表</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投标业绩</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生产厂商授权书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十一</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项目人员配备</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十二</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检测报告</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十三</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售后服务体系与维保方案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十四</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投标人认为需要提供的其他资料</w:t>
            </w:r>
          </w:p>
        </w:tc>
        <w:tc>
          <w:tcPr>
            <w:tcW w:w="2625"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十五</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产品质量承诺</w:t>
            </w:r>
          </w:p>
        </w:tc>
        <w:tc>
          <w:tcPr>
            <w:tcW w:w="2625" w:type="dxa"/>
            <w:vAlign w:val="center"/>
          </w:tcPr>
          <w:p>
            <w:pPr>
              <w:spacing w:line="360" w:lineRule="auto"/>
              <w:rPr>
                <w:rFonts w:ascii="宋体" w:hAnsi="宋体" w:cs="宋体"/>
                <w:color w:val="000000" w:themeColor="text1"/>
                <w:sz w:val="24"/>
                <w:szCs w:val="24"/>
                <w14:textFill>
                  <w14:solidFill>
                    <w14:schemeClr w14:val="tx1"/>
                  </w14:solidFill>
                </w14:textFill>
              </w:rPr>
            </w:pPr>
          </w:p>
        </w:tc>
      </w:tr>
    </w:tbl>
    <w:p>
      <w:pPr>
        <w:keepNext/>
        <w:keepLines/>
        <w:spacing w:before="260" w:after="260" w:line="416" w:lineRule="auto"/>
        <w:outlineLvl w:val="2"/>
        <w:rPr>
          <w:rFonts w:ascii="宋体" w:hAnsi="宋体"/>
          <w:b/>
          <w:bCs/>
          <w:color w:val="000000" w:themeColor="text1"/>
          <w:sz w:val="28"/>
          <w:szCs w:val="32"/>
          <w:lang w:val="zh-CN"/>
          <w14:textFill>
            <w14:solidFill>
              <w14:schemeClr w14:val="tx1"/>
            </w14:solidFill>
          </w14:textFill>
        </w:rPr>
      </w:pPr>
      <w:bookmarkStart w:id="125" w:name="_Toc516969098"/>
      <w:bookmarkStart w:id="126" w:name="_Toc24872"/>
      <w:bookmarkStart w:id="127" w:name="_Toc536542354"/>
      <w:bookmarkStart w:id="128" w:name="_Toc7078088"/>
      <w:bookmarkStart w:id="129" w:name="_Toc471736410"/>
      <w:bookmarkStart w:id="130" w:name="_Toc471736407"/>
      <w:bookmarkStart w:id="131" w:name="_Toc197934561"/>
    </w:p>
    <w:p>
      <w:pPr>
        <w:keepNext/>
        <w:keepLines/>
        <w:spacing w:before="260" w:after="260" w:line="416" w:lineRule="auto"/>
        <w:outlineLvl w:val="2"/>
        <w:rPr>
          <w:rFonts w:ascii="宋体" w:hAnsi="宋体"/>
          <w:b/>
          <w:bCs/>
          <w:color w:val="000000" w:themeColor="text1"/>
          <w:sz w:val="28"/>
          <w:szCs w:val="32"/>
          <w:lang w:val="zh-CN"/>
          <w14:textFill>
            <w14:solidFill>
              <w14:schemeClr w14:val="tx1"/>
            </w14:solidFill>
          </w14:textFill>
        </w:rPr>
      </w:pPr>
    </w:p>
    <w:p>
      <w:pPr>
        <w:pStyle w:val="50"/>
        <w:ind w:firstLine="562"/>
        <w:rPr>
          <w:rFonts w:ascii="宋体" w:hAnsi="宋体"/>
          <w:b/>
          <w:bCs/>
          <w:color w:val="000000" w:themeColor="text1"/>
          <w:sz w:val="28"/>
          <w:szCs w:val="32"/>
          <w:lang w:val="zh-CN"/>
          <w14:textFill>
            <w14:solidFill>
              <w14:schemeClr w14:val="tx1"/>
            </w14:solidFill>
          </w14:textFill>
        </w:rPr>
      </w:pPr>
    </w:p>
    <w:p>
      <w:pPr>
        <w:pStyle w:val="50"/>
        <w:ind w:firstLine="562"/>
        <w:rPr>
          <w:rFonts w:ascii="宋体" w:hAnsi="宋体"/>
          <w:b/>
          <w:bCs/>
          <w:color w:val="000000" w:themeColor="text1"/>
          <w:sz w:val="28"/>
          <w:szCs w:val="32"/>
          <w:lang w:val="zh-CN"/>
          <w14:textFill>
            <w14:solidFill>
              <w14:schemeClr w14:val="tx1"/>
            </w14:solidFill>
          </w14:textFill>
        </w:rPr>
      </w:pPr>
    </w:p>
    <w:p>
      <w:pPr>
        <w:pStyle w:val="50"/>
        <w:ind w:firstLine="56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32" w:name="_Toc102633635"/>
      <w:r>
        <w:rPr>
          <w:rFonts w:hint="eastAsia" w:ascii="宋体" w:hAnsi="宋体"/>
          <w:b/>
          <w:bCs/>
          <w:color w:val="000000" w:themeColor="text1"/>
          <w:sz w:val="28"/>
          <w:szCs w:val="32"/>
          <w:lang w:val="zh-CN"/>
          <w14:textFill>
            <w14:solidFill>
              <w14:schemeClr w14:val="tx1"/>
            </w14:solidFill>
          </w14:textFill>
        </w:rPr>
        <w:t>一．投标函</w:t>
      </w:r>
      <w:bookmarkEnd w:id="125"/>
      <w:bookmarkEnd w:id="126"/>
      <w:bookmarkEnd w:id="127"/>
      <w:bookmarkEnd w:id="128"/>
      <w:bookmarkEnd w:id="129"/>
      <w:bookmarkEnd w:id="132"/>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致：合肥文旅博览集团有限公司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w:t>
      </w:r>
      <w:r>
        <w:rPr>
          <w:rFonts w:hint="eastAsia" w:ascii="宋体" w:hAnsi="宋体" w:cs="宋体"/>
          <w:b/>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账号：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开户行：</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投标人签章：</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p>
    <w:p>
      <w:pPr>
        <w:rPr>
          <w:rFonts w:ascii="宋体" w:hAnsi="宋体" w:cs="宋体"/>
          <w:color w:val="000000" w:themeColor="text1"/>
          <w:sz w:val="24"/>
          <w:szCs w:val="24"/>
          <w14:textFill>
            <w14:solidFill>
              <w14:schemeClr w14:val="tx1"/>
            </w14:solidFill>
          </w14:textFill>
        </w:rPr>
      </w:pPr>
    </w:p>
    <w:bookmarkEnd w:id="130"/>
    <w:bookmarkEnd w:id="131"/>
    <w:p>
      <w:pPr>
        <w:pStyle w:val="2"/>
        <w:ind w:firstLine="562"/>
        <w:rPr>
          <w:rFonts w:ascii="宋体" w:hAnsi="宋体"/>
          <w:b/>
          <w:bCs/>
          <w:color w:val="000000" w:themeColor="text1"/>
          <w:sz w:val="28"/>
          <w:szCs w:val="32"/>
          <w:lang w:val="zh-CN"/>
          <w14:textFill>
            <w14:solidFill>
              <w14:schemeClr w14:val="tx1"/>
            </w14:solidFill>
          </w14:textFill>
        </w:rPr>
      </w:pPr>
      <w:bookmarkStart w:id="133" w:name="_Toc7078089"/>
      <w:bookmarkStart w:id="134" w:name="_Toc18978"/>
      <w:bookmarkStart w:id="135" w:name="_Toc516969097"/>
      <w:bookmarkStart w:id="136" w:name="_Toc471736409"/>
      <w:bookmarkStart w:id="137" w:name="_Toc536542355"/>
    </w:p>
    <w:p>
      <w:pPr>
        <w:pStyle w:val="2"/>
        <w:ind w:firstLine="562"/>
        <w:rPr>
          <w:rFonts w:ascii="宋体" w:hAnsi="宋体"/>
          <w:b/>
          <w:bCs/>
          <w:color w:val="000000" w:themeColor="text1"/>
          <w:sz w:val="28"/>
          <w:szCs w:val="32"/>
          <w:lang w:val="zh-CN"/>
          <w14:textFill>
            <w14:solidFill>
              <w14:schemeClr w14:val="tx1"/>
            </w14:solidFill>
          </w14:textFill>
        </w:rPr>
      </w:pPr>
    </w:p>
    <w:p>
      <w:pPr>
        <w:pStyle w:val="2"/>
        <w:ind w:firstLine="562"/>
        <w:rPr>
          <w:rFonts w:ascii="宋体" w:hAnsi="宋体"/>
          <w:b/>
          <w:bCs/>
          <w:color w:val="000000" w:themeColor="text1"/>
          <w:sz w:val="28"/>
          <w:szCs w:val="32"/>
          <w:lang w:val="zh-CN"/>
          <w14:textFill>
            <w14:solidFill>
              <w14:schemeClr w14:val="tx1"/>
            </w14:solidFill>
          </w14:textFill>
        </w:rPr>
      </w:pPr>
    </w:p>
    <w:p>
      <w:pPr>
        <w:pStyle w:val="2"/>
        <w:ind w:firstLine="562"/>
        <w:rPr>
          <w:rFonts w:ascii="宋体" w:hAnsi="宋体"/>
          <w:b/>
          <w:bCs/>
          <w:color w:val="000000" w:themeColor="text1"/>
          <w:sz w:val="28"/>
          <w:szCs w:val="32"/>
          <w:lang w:val="zh-CN"/>
          <w14:textFill>
            <w14:solidFill>
              <w14:schemeClr w14:val="tx1"/>
            </w14:solidFill>
          </w14:textFill>
        </w:rPr>
      </w:pPr>
    </w:p>
    <w:p>
      <w:pPr>
        <w:pStyle w:val="2"/>
        <w:ind w:firstLine="562"/>
        <w:rPr>
          <w:rFonts w:ascii="宋体" w:hAnsi="宋体"/>
          <w:b/>
          <w:bCs/>
          <w:color w:val="000000" w:themeColor="text1"/>
          <w:sz w:val="28"/>
          <w:szCs w:val="32"/>
          <w:lang w:val="zh-CN"/>
          <w14:textFill>
            <w14:solidFill>
              <w14:schemeClr w14:val="tx1"/>
            </w14:solidFill>
          </w14:textFill>
        </w:rPr>
      </w:pPr>
    </w:p>
    <w:p>
      <w:pPr>
        <w:pStyle w:val="2"/>
        <w:ind w:firstLine="562"/>
        <w:rPr>
          <w:rFonts w:ascii="宋体" w:hAnsi="宋体"/>
          <w:b/>
          <w:bCs/>
          <w:color w:val="000000" w:themeColor="text1"/>
          <w:sz w:val="28"/>
          <w:szCs w:val="32"/>
          <w:lang w:val="zh-CN"/>
          <w14:textFill>
            <w14:solidFill>
              <w14:schemeClr w14:val="tx1"/>
            </w14:solidFill>
          </w14:textFill>
        </w:rPr>
      </w:pPr>
    </w:p>
    <w:p>
      <w:pPr>
        <w:pStyle w:val="2"/>
        <w:ind w:firstLine="56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outlineLvl w:val="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38" w:name="_Toc102633636"/>
      <w:r>
        <w:rPr>
          <w:rFonts w:hint="eastAsia" w:ascii="宋体" w:hAnsi="宋体"/>
          <w:b/>
          <w:bCs/>
          <w:color w:val="000000" w:themeColor="text1"/>
          <w:sz w:val="28"/>
          <w:szCs w:val="32"/>
          <w:lang w:val="zh-CN"/>
          <w14:textFill>
            <w14:solidFill>
              <w14:schemeClr w14:val="tx1"/>
            </w14:solidFill>
          </w14:textFill>
        </w:rPr>
        <w:t>二．投标人情况综合简介</w:t>
      </w:r>
      <w:bookmarkEnd w:id="133"/>
      <w:bookmarkEnd w:id="134"/>
      <w:bookmarkEnd w:id="135"/>
      <w:bookmarkEnd w:id="136"/>
      <w:bookmarkEnd w:id="137"/>
      <w:bookmarkEnd w:id="138"/>
    </w:p>
    <w:p>
      <w:pPr>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p>
    <w:p>
      <w:pPr>
        <w:spacing w:line="500" w:lineRule="exact"/>
        <w:jc w:val="center"/>
        <w:rPr>
          <w:rFonts w:ascii="宋体" w:hAnsi="宋体" w:cs="宋体"/>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39" w:name="_Toc536542356"/>
      <w:bookmarkStart w:id="140" w:name="_Toc7078090"/>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41" w:name="_Toc102633637"/>
      <w:bookmarkStart w:id="142" w:name="_Toc17088"/>
      <w:r>
        <w:rPr>
          <w:rFonts w:hint="eastAsia" w:ascii="宋体" w:hAnsi="宋体"/>
          <w:b/>
          <w:bCs/>
          <w:color w:val="000000" w:themeColor="text1"/>
          <w:sz w:val="28"/>
          <w:szCs w:val="32"/>
          <w:lang w:val="zh-CN"/>
          <w14:textFill>
            <w14:solidFill>
              <w14:schemeClr w14:val="tx1"/>
            </w14:solidFill>
          </w14:textFill>
        </w:rPr>
        <w:t>三．开标一览表</w:t>
      </w:r>
      <w:bookmarkEnd w:id="139"/>
      <w:bookmarkEnd w:id="140"/>
      <w:bookmarkEnd w:id="141"/>
      <w:bookmarkEnd w:id="142"/>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最终投标报价</w:t>
            </w:r>
          </w:p>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（人民币）</w:t>
            </w:r>
          </w:p>
        </w:tc>
        <w:tc>
          <w:tcPr>
            <w:tcW w:w="6667" w:type="dxa"/>
            <w:tcBorders>
              <w:top w:val="nil"/>
            </w:tcBorders>
            <w:vAlign w:val="center"/>
          </w:tcPr>
          <w:p>
            <w:pPr>
              <w:spacing w:line="360" w:lineRule="auto"/>
              <w:ind w:right="-6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p>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43" w:name="_Hlt509739007"/>
      <w:bookmarkEnd w:id="143"/>
      <w:bookmarkStart w:id="144" w:name="_Toc7078091"/>
      <w:bookmarkStart w:id="145" w:name="_Toc536542357"/>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46" w:name="_Toc102633638"/>
      <w:bookmarkStart w:id="147" w:name="_Toc15537"/>
      <w:r>
        <w:rPr>
          <w:rFonts w:hint="eastAsia" w:ascii="宋体" w:hAnsi="宋体"/>
          <w:b/>
          <w:bCs/>
          <w:color w:val="000000" w:themeColor="text1"/>
          <w:sz w:val="28"/>
          <w:szCs w:val="32"/>
          <w:lang w:val="zh-CN"/>
          <w14:textFill>
            <w14:solidFill>
              <w14:schemeClr w14:val="tx1"/>
            </w14:solidFill>
          </w14:textFill>
        </w:rPr>
        <w:t>四．投标响应表</w:t>
      </w:r>
      <w:bookmarkEnd w:id="144"/>
      <w:bookmarkEnd w:id="145"/>
      <w:bookmarkEnd w:id="146"/>
      <w:bookmarkEnd w:id="147"/>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按招标文件规定填写</w:t>
            </w:r>
          </w:p>
        </w:tc>
        <w:tc>
          <w:tcPr>
            <w:tcW w:w="4200" w:type="dxa"/>
            <w:gridSpan w:val="2"/>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147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名称/内容</w:t>
            </w:r>
          </w:p>
        </w:tc>
        <w:tc>
          <w:tcPr>
            <w:tcW w:w="252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招标要求</w:t>
            </w:r>
          </w:p>
        </w:tc>
        <w:tc>
          <w:tcPr>
            <w:tcW w:w="2310" w:type="dxa"/>
            <w:vAlign w:val="center"/>
          </w:tcPr>
          <w:p>
            <w:pP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投标具体内容/承诺</w:t>
            </w:r>
          </w:p>
          <w:p>
            <w:pP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（如所投产品品牌、型号、技术规格及配置、材质等）</w:t>
            </w:r>
          </w:p>
        </w:tc>
        <w:tc>
          <w:tcPr>
            <w:tcW w:w="189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147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名称/内容</w:t>
            </w:r>
          </w:p>
        </w:tc>
        <w:tc>
          <w:tcPr>
            <w:tcW w:w="252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招标要求</w:t>
            </w:r>
          </w:p>
        </w:tc>
        <w:tc>
          <w:tcPr>
            <w:tcW w:w="231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投标承诺</w:t>
            </w:r>
          </w:p>
        </w:tc>
        <w:tc>
          <w:tcPr>
            <w:tcW w:w="189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70" w:type="dxa"/>
            <w:vAlign w:val="center"/>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bl>
    <w:p>
      <w:pPr>
        <w:spacing w:line="360" w:lineRule="auto"/>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spacing w:line="360" w:lineRule="auto"/>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1.投标人必须根据招标需求逐项对应描述</w:t>
      </w:r>
      <w:r>
        <w:rPr>
          <w:rFonts w:hint="eastAsia" w:ascii="宋体" w:hAnsi="宋体" w:cs="宋体"/>
          <w:b/>
          <w:color w:val="000000" w:themeColor="text1"/>
          <w:sz w:val="24"/>
          <w:szCs w:val="24"/>
          <w:lang w:val="zh-CN"/>
          <w14:textFill>
            <w14:solidFill>
              <w14:schemeClr w14:val="tx1"/>
            </w14:solidFill>
          </w14:textFill>
        </w:rPr>
        <w:t>投标的具体内容，如</w:t>
      </w:r>
      <w:r>
        <w:rPr>
          <w:rFonts w:hint="eastAsia" w:ascii="宋体" w:hAnsi="宋体" w:cs="宋体"/>
          <w:b/>
          <w:bCs/>
          <w:color w:val="000000" w:themeColor="text1"/>
          <w:sz w:val="24"/>
          <w:szCs w:val="24"/>
          <w:lang w:val="zh-CN"/>
          <w14:textFill>
            <w14:solidFill>
              <w14:schemeClr w14:val="tx1"/>
            </w14:solidFill>
          </w14:textFill>
        </w:rPr>
        <w:t>投标货物主要参数、材质、配置及服务要求等，如不进行描述，仅在“</w:t>
      </w:r>
      <w:r>
        <w:rPr>
          <w:rFonts w:hint="eastAsia" w:ascii="宋体" w:hAnsi="宋体" w:cs="宋体"/>
          <w:b/>
          <w:color w:val="000000" w:themeColor="text1"/>
          <w:sz w:val="24"/>
          <w:szCs w:val="24"/>
          <w:lang w:val="zh-CN"/>
          <w14:textFill>
            <w14:solidFill>
              <w14:schemeClr w14:val="tx1"/>
            </w14:solidFill>
          </w14:textFill>
        </w:rPr>
        <w:t>按投标人所投内容填写</w:t>
      </w:r>
      <w:r>
        <w:rPr>
          <w:rFonts w:hint="eastAsia" w:ascii="宋体" w:hAnsi="宋体" w:cs="宋体"/>
          <w:b/>
          <w:bCs/>
          <w:color w:val="000000" w:themeColor="text1"/>
          <w:sz w:val="24"/>
          <w:szCs w:val="24"/>
          <w:lang w:val="zh-CN"/>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148" w:name="_Toc461103234"/>
      <w:bookmarkStart w:id="149" w:name="_Toc471736411"/>
      <w:bookmarkStart w:id="150"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151" w:name="_Toc102633639"/>
      <w:bookmarkStart w:id="152" w:name="_Toc2976"/>
      <w:bookmarkStart w:id="153" w:name="_Toc536542359"/>
      <w:bookmarkStart w:id="154" w:name="_Toc7078093"/>
      <w:r>
        <w:rPr>
          <w:rFonts w:hint="eastAsia" w:hAnsi="宋体"/>
          <w:color w:val="000000" w:themeColor="text1"/>
          <w:sz w:val="28"/>
          <w14:textFill>
            <w14:solidFill>
              <w14:schemeClr w14:val="tx1"/>
            </w14:solidFill>
          </w14:textFill>
        </w:rPr>
        <w:t>五.投标货物及报价表</w:t>
      </w:r>
      <w:bookmarkEnd w:id="151"/>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75"/>
              <w:widowControl w:val="0"/>
              <w:spacing w:before="120" w:beforeAutospacing="0" w:after="120" w:afterAutospacing="0"/>
              <w:ind w:left="1680"/>
              <w:jc w:val="both"/>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序号</w:t>
            </w:r>
          </w:p>
        </w:tc>
        <w:tc>
          <w:tcPr>
            <w:tcW w:w="1180"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货物名称</w:t>
            </w:r>
          </w:p>
        </w:tc>
        <w:tc>
          <w:tcPr>
            <w:tcW w:w="1903"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品牌、型号规格</w:t>
            </w:r>
          </w:p>
        </w:tc>
        <w:tc>
          <w:tcPr>
            <w:tcW w:w="2144"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原产地及生产厂商</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单位</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数量</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单价</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小计</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vAlign w:val="center"/>
          </w:tcPr>
          <w:p>
            <w:pPr>
              <w:pStyle w:val="6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其他费用</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tcPr>
          <w:p>
            <w:pPr>
              <w:pStyle w:val="69"/>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vAlign w:val="center"/>
          </w:tcPr>
          <w:p>
            <w:pPr>
              <w:pStyle w:val="69"/>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合计</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bl>
    <w:p>
      <w:pPr>
        <w:pStyle w:val="29"/>
        <w:spacing w:line="360" w:lineRule="auto"/>
        <w:rPr>
          <w:rFonts w:ascii="宋体" w:hAnsi="宋体"/>
          <w:b w:val="0"/>
          <w:bCs/>
          <w:color w:val="000000" w:themeColor="text1"/>
          <w:sz w:val="24"/>
          <w:szCs w:val="28"/>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w:t>
      </w:r>
    </w:p>
    <w:p>
      <w:pPr>
        <w:adjustRightInd w:val="0"/>
        <w:snapToGrid w:val="0"/>
        <w:spacing w:line="360" w:lineRule="auto"/>
        <w:rPr>
          <w:rFonts w:ascii="宋体" w:hAnsi="宋体"/>
          <w:b/>
          <w:bCs/>
          <w:color w:val="000000" w:themeColor="text1"/>
          <w:sz w:val="24"/>
          <w:szCs w:val="28"/>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pStyle w:val="2"/>
        <w:ind w:firstLine="562"/>
        <w:rPr>
          <w:rFonts w:ascii="宋体" w:hAnsi="宋体"/>
          <w:b/>
          <w:bCs/>
          <w:color w:val="000000" w:themeColor="text1"/>
          <w:sz w:val="28"/>
          <w:szCs w:val="32"/>
          <w:lang w:val="zh-CN"/>
          <w14:textFill>
            <w14:solidFill>
              <w14:schemeClr w14:val="tx1"/>
            </w14:solidFill>
          </w14:textFill>
        </w:rPr>
      </w:pPr>
    </w:p>
    <w:p>
      <w:pPr>
        <w:pStyle w:val="2"/>
        <w:ind w:firstLine="56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55" w:name="_Toc102633640"/>
      <w:r>
        <w:rPr>
          <w:rFonts w:hint="eastAsia" w:ascii="宋体" w:hAnsi="宋体"/>
          <w:b/>
          <w:bCs/>
          <w:color w:val="000000" w:themeColor="text1"/>
          <w:sz w:val="28"/>
          <w:szCs w:val="32"/>
          <w:lang w:val="zh-CN"/>
          <w14:textFill>
            <w14:solidFill>
              <w14:schemeClr w14:val="tx1"/>
            </w14:solidFill>
          </w14:textFill>
        </w:rPr>
        <w:t>六．投标授权书</w:t>
      </w:r>
      <w:bookmarkEnd w:id="152"/>
      <w:bookmarkEnd w:id="153"/>
      <w:bookmarkEnd w:id="154"/>
      <w:bookmarkEnd w:id="155"/>
    </w:p>
    <w:p>
      <w:pPr>
        <w:snapToGrid w:val="0"/>
        <w:spacing w:line="360" w:lineRule="auto"/>
        <w:ind w:firstLine="480" w:firstLineChars="200"/>
        <w:jc w:val="left"/>
        <w:rPr>
          <w:rFonts w:ascii="宋体" w:hAnsi="宋体"/>
          <w:color w:val="000000" w:themeColor="text1"/>
          <w:sz w:val="24"/>
          <w:szCs w:val="28"/>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本授权书声明：</w:t>
      </w:r>
      <w:r>
        <w:rPr>
          <w:rFonts w:hint="eastAsia" w:ascii="宋体" w:hAnsi="宋体"/>
          <w:color w:val="000000" w:themeColor="text1"/>
          <w:sz w:val="24"/>
          <w:szCs w:val="28"/>
          <w:u w:val="single"/>
          <w:lang w:val="zh-CN"/>
          <w14:textFill>
            <w14:solidFill>
              <w14:schemeClr w14:val="tx1"/>
            </w14:solidFill>
          </w14:textFill>
        </w:rPr>
        <w:t xml:space="preserve">           </w:t>
      </w:r>
      <w:r>
        <w:rPr>
          <w:rFonts w:hint="eastAsia" w:ascii="宋体" w:hAnsi="宋体"/>
          <w:color w:val="000000" w:themeColor="text1"/>
          <w:sz w:val="24"/>
          <w:szCs w:val="28"/>
          <w:lang w:val="zh-CN"/>
          <w14:textFill>
            <w14:solidFill>
              <w14:schemeClr w14:val="tx1"/>
            </w14:solidFill>
          </w14:textFill>
        </w:rPr>
        <w:t>公司授权</w:t>
      </w:r>
      <w:r>
        <w:rPr>
          <w:rFonts w:hint="eastAsia" w:ascii="宋体" w:hAnsi="宋体"/>
          <w:color w:val="000000" w:themeColor="text1"/>
          <w:sz w:val="24"/>
          <w:szCs w:val="28"/>
          <w:u w:val="single"/>
          <w:lang w:val="zh-CN"/>
          <w14:textFill>
            <w14:solidFill>
              <w14:schemeClr w14:val="tx1"/>
            </w14:solidFill>
          </w14:textFill>
        </w:rPr>
        <w:t xml:space="preserve">       </w:t>
      </w:r>
      <w:r>
        <w:rPr>
          <w:rFonts w:hint="eastAsia" w:ascii="宋体" w:hAnsi="宋体"/>
          <w:color w:val="000000" w:themeColor="text1"/>
          <w:sz w:val="24"/>
          <w:szCs w:val="28"/>
          <w:lang w:val="zh-CN"/>
          <w14:textFill>
            <w14:solidFill>
              <w14:schemeClr w14:val="tx1"/>
            </w14:solidFill>
          </w14:textFill>
        </w:rPr>
        <w:t>（投标人授权代表姓名、职务，手机号码）代表本公司参加文旅博览集团有限公司</w:t>
      </w:r>
      <w:r>
        <w:rPr>
          <w:rFonts w:hint="eastAsia" w:ascii="宋体" w:hAnsi="宋体"/>
          <w:b/>
          <w:color w:val="000000" w:themeColor="text1"/>
          <w:sz w:val="24"/>
          <w:szCs w:val="28"/>
          <w:u w:val="single"/>
          <w:lang w:val="zh-CN"/>
          <w14:textFill>
            <w14:solidFill>
              <w14:schemeClr w14:val="tx1"/>
            </w14:solidFill>
          </w14:textFill>
        </w:rPr>
        <w:t xml:space="preserve">                   </w:t>
      </w:r>
      <w:r>
        <w:rPr>
          <w:rFonts w:hint="eastAsia" w:ascii="宋体" w:hAnsi="宋体"/>
          <w:bCs/>
          <w:color w:val="000000" w:themeColor="text1"/>
          <w:sz w:val="24"/>
          <w:szCs w:val="28"/>
          <w:lang w:val="zh-CN"/>
          <w14:textFill>
            <w14:solidFill>
              <w14:schemeClr w14:val="tx1"/>
            </w14:solidFill>
          </w14:textFill>
        </w:rPr>
        <w:t>招标活动（项目编号：</w:t>
      </w:r>
      <w:r>
        <w:rPr>
          <w:rFonts w:hint="eastAsia" w:ascii="宋体" w:hAnsi="宋体"/>
          <w:b/>
          <w:color w:val="000000" w:themeColor="text1"/>
          <w:sz w:val="24"/>
          <w:szCs w:val="28"/>
          <w:lang w:val="zh-CN"/>
          <w14:textFill>
            <w14:solidFill>
              <w14:schemeClr w14:val="tx1"/>
            </w14:solidFill>
          </w14:textFill>
        </w:rPr>
        <w:t xml:space="preserve">       </w:t>
      </w:r>
      <w:r>
        <w:rPr>
          <w:rFonts w:hint="eastAsia" w:ascii="宋体" w:hAnsi="宋体"/>
          <w:bCs/>
          <w:color w:val="000000" w:themeColor="text1"/>
          <w:sz w:val="24"/>
          <w:szCs w:val="28"/>
          <w:lang w:val="zh-CN"/>
          <w14:textFill>
            <w14:solidFill>
              <w14:schemeClr w14:val="tx1"/>
            </w14:solidFill>
          </w14:textFill>
        </w:rPr>
        <w:t>）</w:t>
      </w:r>
      <w:r>
        <w:rPr>
          <w:rFonts w:hint="eastAsia" w:ascii="宋体" w:hAnsi="宋体"/>
          <w:color w:val="000000" w:themeColor="text1"/>
          <w:sz w:val="24"/>
          <w:szCs w:val="28"/>
          <w:lang w:val="zh-CN"/>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snapToGrid w:val="0"/>
        <w:spacing w:line="360" w:lineRule="auto"/>
        <w:ind w:firstLine="480" w:firstLineChars="200"/>
        <w:jc w:val="left"/>
        <w:rPr>
          <w:rFonts w:ascii="宋体" w:hAnsi="宋体"/>
          <w:color w:val="000000" w:themeColor="text1"/>
          <w:sz w:val="24"/>
          <w:szCs w:val="28"/>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9525" t="8255" r="6985" b="6985"/>
                <wp:wrapNone/>
                <wp:docPr id="5" name="组合 5"/>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6"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7"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fkG2w9kAAAAKAQAADwAAAAAAAAABACAAAAAiAAAAZHJzL2Rv&#10;d25yZXYueG1sUEsBAhQAFAAAAAgAh07iQDWBReDkAgAAnggAAA4AAAAAAAAAAQAgAAAAKAEAAGRy&#10;cy9lMm9Eb2MueG1sUEsFBgAAAAAGAAYAWQEAAH4GA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r>
        <w:rPr>
          <w:rFonts w:hint="eastAsia" w:ascii="宋体" w:hAnsi="宋体"/>
          <w:b/>
          <w:bCs/>
          <w:color w:val="000000" w:themeColor="text1"/>
          <w:sz w:val="24"/>
          <w:szCs w:val="28"/>
          <w:u w:val="single"/>
          <w14:textFill>
            <w14:solidFill>
              <w14:schemeClr w14:val="tx1"/>
            </w14:solidFill>
          </w14:textFill>
        </w:rPr>
        <w:t xml:space="preserve">                    </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r>
        <w:rPr>
          <w:rFonts w:hint="eastAsia" w:ascii="宋体" w:hAnsi="宋体"/>
          <w:color w:val="000000" w:themeColor="text1"/>
          <w:sz w:val="24"/>
          <w:szCs w:val="28"/>
          <w:u w:val="single"/>
          <w14:textFill>
            <w14:solidFill>
              <w14:schemeClr w14:val="tx1"/>
            </w14:solidFill>
          </w14:textFill>
        </w:rPr>
        <w:t xml:space="preserve">                   </w:t>
      </w:r>
    </w:p>
    <w:p>
      <w:pPr>
        <w:rPr>
          <w:rFonts w:ascii="宋体" w:hAnsi="宋体"/>
          <w:color w:val="000000" w:themeColor="text1"/>
          <w:sz w:val="28"/>
          <w:szCs w:val="28"/>
          <w14:textFill>
            <w14:solidFill>
              <w14:schemeClr w14:val="tx1"/>
            </w14:solidFill>
          </w14:textFill>
        </w:rPr>
      </w:pPr>
    </w:p>
    <w:p>
      <w:pPr>
        <w:snapToGrid w:val="0"/>
        <w:spacing w:line="360" w:lineRule="auto"/>
        <w:jc w:val="left"/>
        <w:rPr>
          <w:rFonts w:ascii="宋体" w:hAnsi="宋体"/>
          <w:color w:val="000000" w:themeColor="text1"/>
          <w:sz w:val="24"/>
          <w:szCs w:val="28"/>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注：</w:t>
      </w:r>
    </w:p>
    <w:p>
      <w:pPr>
        <w:snapToGrid w:val="0"/>
        <w:spacing w:line="360" w:lineRule="auto"/>
        <w:jc w:val="left"/>
        <w:rPr>
          <w:rFonts w:ascii="宋体" w:hAnsi="宋体"/>
          <w:color w:val="000000" w:themeColor="text1"/>
          <w:sz w:val="24"/>
          <w:szCs w:val="28"/>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1.本项目只允许有唯一的投标人授权代表（须与投标函中授权代表为同一人，否则投标无效），投标文件中提供授权代表身份证</w:t>
      </w:r>
      <w:r>
        <w:rPr>
          <w:rFonts w:hint="eastAsia" w:ascii="宋体" w:hAnsi="宋体"/>
          <w:color w:val="000000" w:themeColor="text1"/>
          <w:sz w:val="24"/>
          <w:szCs w:val="20"/>
          <w:lang w:val="zh-CN"/>
          <w14:textFill>
            <w14:solidFill>
              <w14:schemeClr w14:val="tx1"/>
            </w14:solidFill>
          </w14:textFill>
        </w:rPr>
        <w:t>扫描件</w:t>
      </w:r>
      <w:r>
        <w:rPr>
          <w:rFonts w:hint="eastAsia" w:ascii="宋体" w:hAnsi="宋体"/>
          <w:color w:val="000000" w:themeColor="text1"/>
          <w:sz w:val="24"/>
          <w:szCs w:val="28"/>
          <w:lang w:val="zh-CN"/>
          <w14:textFill>
            <w14:solidFill>
              <w14:schemeClr w14:val="tx1"/>
            </w14:solidFill>
          </w14:textFill>
        </w:rPr>
        <w:t>。</w:t>
      </w:r>
    </w:p>
    <w:p>
      <w:pPr>
        <w:snapToGrid w:val="0"/>
        <w:spacing w:line="360" w:lineRule="auto"/>
        <w:jc w:val="left"/>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2.法定代表人参加投标的无需此件，</w:t>
      </w:r>
      <w:r>
        <w:rPr>
          <w:rFonts w:hint="eastAsia" w:ascii="宋体" w:hAnsi="宋体"/>
          <w:color w:val="000000" w:themeColor="text1"/>
          <w:sz w:val="24"/>
          <w:szCs w:val="20"/>
          <w:lang w:val="zh-CN"/>
          <w14:textFill>
            <w14:solidFill>
              <w14:schemeClr w14:val="tx1"/>
            </w14:solidFill>
          </w14:textFill>
        </w:rPr>
        <w:t>但投标文件中须提供身份证扫描件。</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cs="宋体"/>
          <w:b/>
          <w:bCs/>
          <w:color w:val="000000" w:themeColor="text1"/>
          <w:sz w:val="28"/>
          <w:szCs w:val="28"/>
          <w:lang w:val="zh-CN"/>
          <w14:textFill>
            <w14:solidFill>
              <w14:schemeClr w14:val="tx1"/>
            </w14:solidFill>
          </w14:textFill>
        </w:rPr>
      </w:pPr>
      <w:bookmarkStart w:id="156" w:name="_Toc6570"/>
      <w:bookmarkStart w:id="157" w:name="_Toc536542360"/>
      <w:bookmarkStart w:id="158" w:name="_Toc102633641"/>
      <w:bookmarkStart w:id="159" w:name="_Toc7078094"/>
      <w:r>
        <w:rPr>
          <w:rFonts w:hint="eastAsia" w:ascii="宋体" w:hAnsi="宋体" w:cs="宋体"/>
          <w:b/>
          <w:bCs/>
          <w:color w:val="000000" w:themeColor="text1"/>
          <w:sz w:val="28"/>
          <w:szCs w:val="28"/>
          <w:lang w:val="zh-CN"/>
          <w14:textFill>
            <w14:solidFill>
              <w14:schemeClr w14:val="tx1"/>
            </w14:solidFill>
          </w14:textFill>
        </w:rPr>
        <w:t>七．投标人信用承诺</w:t>
      </w:r>
      <w:bookmarkEnd w:id="148"/>
      <w:bookmarkEnd w:id="149"/>
      <w:bookmarkEnd w:id="156"/>
      <w:bookmarkEnd w:id="157"/>
      <w:bookmarkEnd w:id="158"/>
      <w:bookmarkEnd w:id="159"/>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bookmarkEnd w:id="150"/>
    <w:p>
      <w:pPr>
        <w:keepNext/>
        <w:keepLines/>
        <w:spacing w:before="260" w:after="260" w:line="416" w:lineRule="auto"/>
        <w:jc w:val="center"/>
        <w:outlineLvl w:val="2"/>
        <w:rPr>
          <w:rFonts w:ascii="宋体" w:hAnsi="宋体" w:cs="宋体"/>
          <w:b/>
          <w:bCs/>
          <w:color w:val="000000" w:themeColor="text1"/>
          <w:sz w:val="28"/>
          <w:szCs w:val="28"/>
          <w:lang w:val="zh-CN"/>
          <w14:textFill>
            <w14:solidFill>
              <w14:schemeClr w14:val="tx1"/>
            </w14:solidFill>
          </w14:textFill>
        </w:rPr>
      </w:pPr>
      <w:bookmarkStart w:id="160" w:name="_Hlt509738950"/>
      <w:bookmarkEnd w:id="160"/>
      <w:bookmarkStart w:id="161" w:name="_Toc496587831"/>
      <w:bookmarkStart w:id="162" w:name="_Toc7078095"/>
      <w:bookmarkStart w:id="163" w:name="_Toc536542361"/>
      <w:bookmarkStart w:id="164" w:name="_Toc2056"/>
    </w:p>
    <w:p>
      <w:pPr>
        <w:keepNext/>
        <w:keepLines/>
        <w:spacing w:before="260" w:after="260" w:line="416" w:lineRule="auto"/>
        <w:jc w:val="center"/>
        <w:outlineLvl w:val="2"/>
        <w:rPr>
          <w:rFonts w:ascii="宋体" w:hAnsi="宋体" w:cs="宋体"/>
          <w:b/>
          <w:bCs/>
          <w:color w:val="000000" w:themeColor="text1"/>
          <w:sz w:val="28"/>
          <w:szCs w:val="28"/>
          <w:lang w:val="zh-CN"/>
          <w14:textFill>
            <w14:solidFill>
              <w14:schemeClr w14:val="tx1"/>
            </w14:solidFill>
          </w14:textFill>
        </w:rPr>
      </w:pPr>
      <w:bookmarkStart w:id="165" w:name="_Toc102633642"/>
      <w:r>
        <w:rPr>
          <w:rFonts w:hint="eastAsia" w:ascii="宋体" w:hAnsi="宋体" w:cs="宋体"/>
          <w:b/>
          <w:bCs/>
          <w:color w:val="000000" w:themeColor="text1"/>
          <w:sz w:val="28"/>
          <w:szCs w:val="28"/>
          <w:lang w:val="zh-CN"/>
          <w14:textFill>
            <w14:solidFill>
              <w14:schemeClr w14:val="tx1"/>
            </w14:solidFill>
          </w14:textFill>
        </w:rPr>
        <w:t>八.</w:t>
      </w:r>
      <w:bookmarkEnd w:id="161"/>
      <w:r>
        <w:rPr>
          <w:rFonts w:hint="eastAsia" w:ascii="宋体" w:hAnsi="宋体" w:cs="宋体"/>
          <w:b/>
          <w:bCs/>
          <w:color w:val="000000" w:themeColor="text1"/>
          <w:sz w:val="28"/>
          <w:szCs w:val="28"/>
          <w:lang w:val="zh-CN"/>
          <w14:textFill>
            <w14:solidFill>
              <w14:schemeClr w14:val="tx1"/>
            </w14:solidFill>
          </w14:textFill>
        </w:rPr>
        <w:t xml:space="preserve"> 投标业绩</w:t>
      </w:r>
      <w:bookmarkEnd w:id="162"/>
      <w:bookmarkEnd w:id="163"/>
      <w:bookmarkEnd w:id="164"/>
      <w:bookmarkEnd w:id="165"/>
    </w:p>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（一）业绩表</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（格式仅供参考）</w:t>
      </w:r>
    </w:p>
    <w:tbl>
      <w:tblPr>
        <w:tblStyle w:val="51"/>
        <w:tblW w:w="1005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559"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2410"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服务内容</w:t>
            </w:r>
          </w:p>
        </w:tc>
        <w:tc>
          <w:tcPr>
            <w:tcW w:w="1559"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合同总金额</w:t>
            </w:r>
          </w:p>
        </w:tc>
        <w:tc>
          <w:tcPr>
            <w:tcW w:w="2551"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业主单位及联系电话</w:t>
            </w:r>
          </w:p>
        </w:tc>
        <w:tc>
          <w:tcPr>
            <w:tcW w:w="1134"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bl>
    <w:p>
      <w:pPr>
        <w:spacing w:before="48" w:beforeLines="20" w:after="48" w:afterLines="20" w:line="360" w:lineRule="auto"/>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（二）业绩证明材料</w:t>
      </w: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（建议与上述“（一）业绩表”填写的业绩一一对应提供）</w:t>
      </w: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pStyle w:val="2"/>
        <w:ind w:firstLine="480"/>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6"/>
          <w:lang w:val="zh-CN"/>
          <w14:textFill>
            <w14:solidFill>
              <w14:schemeClr w14:val="tx1"/>
            </w14:solidFill>
          </w14:textFill>
        </w:rPr>
      </w:pPr>
      <w:bookmarkStart w:id="166" w:name="_Toc12076"/>
      <w:bookmarkStart w:id="167" w:name="_Toc220232402"/>
      <w:bookmarkStart w:id="168" w:name="_Toc516969105"/>
      <w:bookmarkStart w:id="169" w:name="_Toc536542362"/>
      <w:bookmarkStart w:id="170" w:name="_Toc102633643"/>
      <w:bookmarkStart w:id="171" w:name="_Toc7078096"/>
      <w:bookmarkStart w:id="172" w:name="_Toc471736419"/>
      <w:r>
        <w:rPr>
          <w:rFonts w:hint="eastAsia" w:ascii="宋体" w:hAnsi="宋体"/>
          <w:b/>
          <w:bCs/>
          <w:color w:val="000000" w:themeColor="text1"/>
          <w:sz w:val="28"/>
          <w:szCs w:val="32"/>
          <w:lang w:val="zh-CN"/>
          <w14:textFill>
            <w14:solidFill>
              <w14:schemeClr w14:val="tx1"/>
            </w14:solidFill>
          </w14:textFill>
        </w:rPr>
        <w:t>九．有关证明文件</w:t>
      </w:r>
      <w:bookmarkEnd w:id="166"/>
      <w:bookmarkEnd w:id="167"/>
      <w:bookmarkEnd w:id="168"/>
      <w:bookmarkEnd w:id="169"/>
      <w:bookmarkEnd w:id="170"/>
      <w:bookmarkEnd w:id="171"/>
      <w:bookmarkEnd w:id="172"/>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snapToGrid w:val="0"/>
        <w:spacing w:before="120" w:after="120" w:line="360" w:lineRule="auto"/>
        <w:ind w:firstLine="480"/>
        <w:jc w:val="left"/>
        <w:rPr>
          <w:rFonts w:ascii="宋体" w:hAnsi="宋体"/>
          <w:color w:val="000000" w:themeColor="text1"/>
          <w:sz w:val="24"/>
          <w:szCs w:val="20"/>
          <w:lang w:val="zh-CN"/>
          <w14:textFill>
            <w14:solidFill>
              <w14:schemeClr w14:val="tx1"/>
            </w14:solidFill>
          </w14:textFill>
        </w:rPr>
      </w:pPr>
      <w:r>
        <w:rPr>
          <w:rFonts w:hint="eastAsia" w:ascii="宋体" w:hAnsi="宋体"/>
          <w:color w:val="000000" w:themeColor="text1"/>
          <w:sz w:val="24"/>
          <w:szCs w:val="20"/>
          <w:lang w:val="zh-CN"/>
          <w14:textFill>
            <w14:solidFill>
              <w14:schemeClr w14:val="tx1"/>
            </w14:solidFill>
          </w14:textFill>
        </w:rPr>
        <w:t>特别提示：</w:t>
      </w:r>
    </w:p>
    <w:p>
      <w:pPr>
        <w:snapToGrid w:val="0"/>
        <w:spacing w:line="360" w:lineRule="auto"/>
        <w:ind w:firstLine="482"/>
        <w:jc w:val="left"/>
        <w:rPr>
          <w:rFonts w:ascii="宋体" w:hAnsi="宋体"/>
          <w:color w:val="000000" w:themeColor="text1"/>
          <w:sz w:val="24"/>
          <w:szCs w:val="20"/>
          <w:lang w:val="zh-CN"/>
          <w14:textFill>
            <w14:solidFill>
              <w14:schemeClr w14:val="tx1"/>
            </w14:solidFill>
          </w14:textFill>
        </w:rPr>
      </w:pPr>
      <w:r>
        <w:rPr>
          <w:rFonts w:hint="eastAsia" w:ascii="宋体" w:hAnsi="宋体"/>
          <w:color w:val="000000" w:themeColor="text1"/>
          <w:sz w:val="24"/>
          <w:szCs w:val="20"/>
          <w:lang w:val="zh-CN"/>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bookmarkStart w:id="173" w:name="_Toc515390551"/>
      <w:bookmarkStart w:id="174" w:name="_Toc28661"/>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75" w:name="_Toc102633644"/>
      <w:r>
        <w:rPr>
          <w:rFonts w:hint="eastAsia" w:ascii="宋体" w:hAnsi="宋体"/>
          <w:b/>
          <w:bCs/>
          <w:color w:val="000000" w:themeColor="text1"/>
          <w:sz w:val="28"/>
          <w:szCs w:val="32"/>
          <w:lang w:val="zh-CN"/>
          <w14:textFill>
            <w14:solidFill>
              <w14:schemeClr w14:val="tx1"/>
            </w14:solidFill>
          </w14:textFill>
        </w:rPr>
        <w:t>十．</w:t>
      </w:r>
      <w:bookmarkStart w:id="176" w:name="_Toc420342105"/>
      <w:r>
        <w:rPr>
          <w:rFonts w:hint="eastAsia" w:ascii="宋体" w:hAnsi="宋体"/>
          <w:b/>
          <w:bCs/>
          <w:color w:val="000000" w:themeColor="text1"/>
          <w:sz w:val="28"/>
          <w:szCs w:val="32"/>
          <w:lang w:val="zh-CN"/>
          <w14:textFill>
            <w14:solidFill>
              <w14:schemeClr w14:val="tx1"/>
            </w14:solidFill>
          </w14:textFill>
        </w:rPr>
        <w:t>生产厂商授权书</w:t>
      </w:r>
      <w:bookmarkEnd w:id="173"/>
      <w:bookmarkEnd w:id="174"/>
      <w:bookmarkEnd w:id="175"/>
      <w:bookmarkEnd w:id="176"/>
    </w:p>
    <w:p>
      <w:pPr>
        <w:spacing w:line="360" w:lineRule="auto"/>
        <w:jc w:val="center"/>
        <w:rPr>
          <w:rFonts w:ascii="宋体" w:hAnsi="宋体"/>
          <w:color w:val="000000" w:themeColor="text1"/>
          <w:sz w:val="24"/>
          <w14:textFill>
            <w14:solidFill>
              <w14:schemeClr w14:val="tx1"/>
            </w14:solidFill>
          </w14:textFill>
        </w:rPr>
      </w:pPr>
      <w:r>
        <w:rPr>
          <w:rFonts w:ascii="宋体" w:hAnsi="宋体"/>
          <w:b/>
          <w:color w:val="000000" w:themeColor="text1"/>
          <w:sz w:val="28"/>
          <w14:textFill>
            <w14:solidFill>
              <w14:schemeClr w14:val="tx1"/>
            </w14:solidFill>
          </w14:textFill>
        </w:rPr>
        <w:t xml:space="preserve"> </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如允许标后提供授权，或为自制产品，或不允许代理商/销售商投标，不需此件）</w:t>
      </w:r>
    </w:p>
    <w:p>
      <w:pPr>
        <w:spacing w:line="360" w:lineRule="auto"/>
        <w:rPr>
          <w:rFonts w:ascii="宋体" w:hAnsi="宋体"/>
          <w:b/>
          <w:color w:val="000000" w:themeColor="text1"/>
          <w:sz w:val="24"/>
          <w:szCs w:val="20"/>
          <w:lang w:val="zh-CN"/>
          <w14:textFill>
            <w14:solidFill>
              <w14:schemeClr w14:val="tx1"/>
            </w14:solidFill>
          </w14:textFill>
        </w:rPr>
      </w:pPr>
      <w:r>
        <w:rPr>
          <w:rFonts w:hint="eastAsia" w:ascii="宋体" w:hAnsi="宋体"/>
          <w:b/>
          <w:color w:val="000000" w:themeColor="text1"/>
          <w:sz w:val="24"/>
          <w:szCs w:val="20"/>
          <w:lang w:val="zh-CN"/>
          <w14:textFill>
            <w14:solidFill>
              <w14:schemeClr w14:val="tx1"/>
            </w14:solidFill>
          </w14:textFill>
        </w:rPr>
        <w:t>致：文旅博览集团有限公司</w:t>
      </w:r>
    </w:p>
    <w:p>
      <w:pPr>
        <w:spacing w:line="360" w:lineRule="auto"/>
        <w:rPr>
          <w:rFonts w:ascii="宋体" w:hAnsi="宋体"/>
          <w:b/>
          <w:color w:val="000000" w:themeColor="text1"/>
          <w:sz w:val="24"/>
          <w:szCs w:val="20"/>
          <w:lang w:val="zh-CN"/>
          <w14:textFill>
            <w14:solidFill>
              <w14:schemeClr w14:val="tx1"/>
            </w14:solidFill>
          </w14:textFill>
        </w:rPr>
      </w:pPr>
      <w:r>
        <w:rPr>
          <w:rFonts w:hint="eastAsia"/>
          <w:b/>
          <w:color w:val="000000" w:themeColor="text1"/>
          <w:sz w:val="28"/>
          <w:szCs w:val="20"/>
          <w:lang w:val="zh-CN"/>
          <w14:textFill>
            <w14:solidFill>
              <w14:schemeClr w14:val="tx1"/>
            </w14:solidFill>
          </w14:textFill>
        </w:rPr>
        <w:t xml:space="preserve">     </w:t>
      </w:r>
      <w:r>
        <w:rPr>
          <w:rFonts w:hint="eastAsia" w:ascii="宋体" w:hAnsi="宋体"/>
          <w:b/>
          <w:color w:val="000000" w:themeColor="text1"/>
          <w:sz w:val="24"/>
          <w:szCs w:val="20"/>
          <w:lang w:val="zh-CN"/>
          <w14:textFill>
            <w14:solidFill>
              <w14:schemeClr w14:val="tx1"/>
            </w14:solidFill>
          </w14:textFill>
        </w:rPr>
        <w:t>某业主单位</w:t>
      </w:r>
    </w:p>
    <w:p>
      <w:pPr>
        <w:spacing w:line="360" w:lineRule="auto"/>
        <w:rPr>
          <w:rFonts w:ascii="宋体" w:hAnsi="宋体"/>
          <w:b/>
          <w:color w:val="000000" w:themeColor="text1"/>
          <w:sz w:val="24"/>
          <w:szCs w:val="20"/>
          <w:lang w:val="zh-CN"/>
          <w14:textFill>
            <w14:solidFill>
              <w14:schemeClr w14:val="tx1"/>
            </w14:solidFill>
          </w14:textFill>
        </w:rPr>
      </w:pPr>
      <w:r>
        <w:rPr>
          <w:rFonts w:hint="eastAsia" w:ascii="宋体" w:hAnsi="宋体"/>
          <w:b/>
          <w:color w:val="000000" w:themeColor="text1"/>
          <w:sz w:val="24"/>
          <w:szCs w:val="20"/>
          <w:u w:val="single"/>
          <w:lang w:val="zh-CN"/>
          <w14:textFill>
            <w14:solidFill>
              <w14:schemeClr w14:val="tx1"/>
            </w14:solidFill>
          </w14:textFill>
        </w:rPr>
        <w:t xml:space="preserve">               </w:t>
      </w:r>
      <w:r>
        <w:rPr>
          <w:rFonts w:hint="eastAsia" w:ascii="宋体" w:hAnsi="宋体"/>
          <w:b/>
          <w:color w:val="000000" w:themeColor="text1"/>
          <w:sz w:val="24"/>
          <w:szCs w:val="20"/>
          <w:lang w:val="zh-CN"/>
          <w14:textFill>
            <w14:solidFill>
              <w14:schemeClr w14:val="tx1"/>
            </w14:solidFill>
          </w14:textFill>
        </w:rPr>
        <w:t>（生产厂商名称）是根据</w:t>
      </w:r>
      <w:r>
        <w:rPr>
          <w:rFonts w:hint="eastAsia" w:ascii="宋体" w:hAnsi="宋体"/>
          <w:b/>
          <w:color w:val="000000" w:themeColor="text1"/>
          <w:sz w:val="24"/>
          <w:szCs w:val="20"/>
          <w:u w:val="single"/>
          <w:lang w:val="zh-CN"/>
          <w14:textFill>
            <w14:solidFill>
              <w14:schemeClr w14:val="tx1"/>
            </w14:solidFill>
          </w14:textFill>
        </w:rPr>
        <w:t xml:space="preserve">            </w:t>
      </w:r>
      <w:r>
        <w:rPr>
          <w:rFonts w:hint="eastAsia" w:ascii="宋体" w:hAnsi="宋体"/>
          <w:b/>
          <w:color w:val="000000" w:themeColor="text1"/>
          <w:sz w:val="24"/>
          <w:szCs w:val="20"/>
          <w:lang w:val="zh-CN"/>
          <w14:textFill>
            <w14:solidFill>
              <w14:schemeClr w14:val="tx1"/>
            </w14:solidFill>
          </w14:textFill>
        </w:rPr>
        <w:t>依法正式成立的，主营业地点在</w:t>
      </w:r>
      <w:r>
        <w:rPr>
          <w:rFonts w:hint="eastAsia" w:ascii="宋体" w:hAnsi="宋体"/>
          <w:b/>
          <w:color w:val="000000" w:themeColor="text1"/>
          <w:sz w:val="24"/>
          <w:szCs w:val="20"/>
          <w:u w:val="single"/>
          <w:lang w:val="zh-CN"/>
          <w14:textFill>
            <w14:solidFill>
              <w14:schemeClr w14:val="tx1"/>
            </w14:solidFill>
          </w14:textFill>
        </w:rPr>
        <w:t xml:space="preserve">              </w:t>
      </w:r>
      <w:r>
        <w:rPr>
          <w:rFonts w:hint="eastAsia" w:ascii="宋体" w:hAnsi="宋体"/>
          <w:b/>
          <w:color w:val="000000" w:themeColor="text1"/>
          <w:sz w:val="24"/>
          <w:szCs w:val="20"/>
          <w:lang w:val="zh-CN"/>
          <w14:textFill>
            <w14:solidFill>
              <w14:schemeClr w14:val="tx1"/>
            </w14:solidFill>
          </w14:textFill>
        </w:rPr>
        <w:t xml:space="preserve"> （生产厂商地址）。</w:t>
      </w:r>
      <w:r>
        <w:rPr>
          <w:rFonts w:hint="eastAsia" w:ascii="宋体" w:hAnsi="宋体"/>
          <w:b/>
          <w:color w:val="000000" w:themeColor="text1"/>
          <w:sz w:val="24"/>
          <w:szCs w:val="20"/>
          <w:u w:val="single"/>
          <w:lang w:val="zh-CN"/>
          <w14:textFill>
            <w14:solidFill>
              <w14:schemeClr w14:val="tx1"/>
            </w14:solidFill>
          </w14:textFill>
        </w:rPr>
        <w:t xml:space="preserve">             </w:t>
      </w:r>
      <w:r>
        <w:rPr>
          <w:rFonts w:hint="eastAsia" w:ascii="宋体" w:hAnsi="宋体"/>
          <w:b/>
          <w:color w:val="000000" w:themeColor="text1"/>
          <w:sz w:val="24"/>
          <w:szCs w:val="20"/>
          <w:lang w:val="zh-CN"/>
          <w14:textFill>
            <w14:solidFill>
              <w14:schemeClr w14:val="tx1"/>
            </w14:solidFill>
          </w14:textFill>
        </w:rPr>
        <w:t>公司是我公司正式授权经营我公司</w:t>
      </w:r>
      <w:r>
        <w:rPr>
          <w:rFonts w:hint="eastAsia" w:ascii="宋体" w:hAnsi="宋体"/>
          <w:b/>
          <w:color w:val="000000" w:themeColor="text1"/>
          <w:sz w:val="24"/>
          <w:szCs w:val="20"/>
          <w:u w:val="single"/>
          <w:lang w:val="zh-CN"/>
          <w14:textFill>
            <w14:solidFill>
              <w14:schemeClr w14:val="tx1"/>
            </w14:solidFill>
          </w14:textFill>
        </w:rPr>
        <w:t xml:space="preserve">            </w:t>
      </w:r>
      <w:r>
        <w:rPr>
          <w:rFonts w:hint="eastAsia" w:ascii="宋体" w:hAnsi="宋体"/>
          <w:b/>
          <w:color w:val="000000" w:themeColor="text1"/>
          <w:sz w:val="24"/>
          <w:szCs w:val="20"/>
          <w:lang w:val="zh-CN"/>
          <w14:textFill>
            <w14:solidFill>
              <w14:schemeClr w14:val="tx1"/>
            </w14:solidFill>
          </w14:textFill>
        </w:rPr>
        <w:t>（产品名称）的商家，它有权提供文旅博览集团有限公司</w:t>
      </w:r>
      <w:r>
        <w:rPr>
          <w:rFonts w:hint="eastAsia" w:ascii="宋体" w:hAnsi="宋体"/>
          <w:color w:val="000000" w:themeColor="text1"/>
          <w:sz w:val="24"/>
          <w:szCs w:val="20"/>
          <w:lang w:val="zh-CN"/>
          <w14:textFill>
            <w14:solidFill>
              <w14:schemeClr w14:val="tx1"/>
            </w14:solidFill>
          </w14:textFill>
        </w:rPr>
        <w:t>司</w:t>
      </w:r>
      <w:r>
        <w:rPr>
          <w:rFonts w:hint="eastAsia" w:ascii="宋体" w:hAnsi="宋体"/>
          <w:b/>
          <w:color w:val="000000" w:themeColor="text1"/>
          <w:sz w:val="24"/>
          <w:szCs w:val="20"/>
          <w:lang w:val="zh-CN"/>
          <w14:textFill>
            <w14:solidFill>
              <w14:schemeClr w14:val="tx1"/>
            </w14:solidFill>
          </w14:textFill>
        </w:rPr>
        <w:t>第</w:t>
      </w:r>
      <w:r>
        <w:rPr>
          <w:rFonts w:hint="eastAsia" w:ascii="宋体" w:hAnsi="宋体"/>
          <w:color w:val="000000" w:themeColor="text1"/>
          <w:sz w:val="24"/>
          <w:szCs w:val="20"/>
          <w:u w:val="single"/>
          <w:lang w:val="zh-CN"/>
          <w14:textFill>
            <w14:solidFill>
              <w14:schemeClr w14:val="tx1"/>
            </w14:solidFill>
          </w14:textFill>
        </w:rPr>
        <w:t>某编号</w:t>
      </w:r>
      <w:r>
        <w:rPr>
          <w:rFonts w:hint="eastAsia" w:ascii="宋体" w:hAnsi="宋体"/>
          <w:b/>
          <w:color w:val="000000" w:themeColor="text1"/>
          <w:sz w:val="24"/>
          <w:szCs w:val="20"/>
          <w:lang w:val="zh-CN"/>
          <w14:textFill>
            <w14:solidFill>
              <w14:schemeClr w14:val="tx1"/>
            </w14:solidFill>
          </w14:textFill>
        </w:rPr>
        <w:t>号</w:t>
      </w:r>
      <w:r>
        <w:rPr>
          <w:rFonts w:hint="eastAsia" w:ascii="宋体" w:hAnsi="宋体"/>
          <w:bCs/>
          <w:color w:val="000000" w:themeColor="text1"/>
          <w:sz w:val="24"/>
          <w:szCs w:val="20"/>
          <w:u w:val="single"/>
          <w:lang w:val="zh-CN"/>
          <w14:textFill>
            <w14:solidFill>
              <w14:schemeClr w14:val="tx1"/>
            </w14:solidFill>
          </w14:textFill>
        </w:rPr>
        <w:t>某项目</w:t>
      </w:r>
      <w:r>
        <w:rPr>
          <w:rFonts w:hint="eastAsia" w:ascii="宋体" w:hAnsi="宋体"/>
          <w:b/>
          <w:color w:val="000000" w:themeColor="text1"/>
          <w:sz w:val="24"/>
          <w:szCs w:val="20"/>
          <w:lang w:val="zh-CN"/>
          <w14:textFill>
            <w14:solidFill>
              <w14:schemeClr w14:val="tx1"/>
            </w14:solidFill>
          </w14:textFill>
        </w:rPr>
        <w:t>所需的由我公司生产或制造的货物。</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我公司保证与投标人共同承担该项目的相关法律责任及义务。</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贸易公司名称(</w:t>
      </w:r>
      <w:r>
        <w:rPr>
          <w:rFonts w:hint="eastAsia" w:ascii="宋体" w:hAnsi="宋体"/>
          <w:b/>
          <w:bCs/>
          <w:color w:val="000000" w:themeColor="text1"/>
          <w:sz w:val="24"/>
          <w14:textFill>
            <w14:solidFill>
              <w14:schemeClr w14:val="tx1"/>
            </w14:solidFill>
          </w14:textFill>
        </w:rPr>
        <w:t>如涉及进口产品</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出具授权书的生产厂商名称：</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授权人公章：</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ind w:firstLine="630"/>
        <w:rPr>
          <w:rFonts w:ascii="宋体" w:hAnsi="宋体"/>
          <w:color w:val="000000" w:themeColor="text1"/>
          <w:sz w:val="24"/>
          <w:u w:val="single"/>
          <w14:textFill>
            <w14:solidFill>
              <w14:schemeClr w14:val="tx1"/>
            </w14:solidFill>
          </w14:textFill>
        </w:rPr>
      </w:pPr>
    </w:p>
    <w:p>
      <w:pPr>
        <w:ind w:firstLine="630"/>
        <w:rPr>
          <w:rFonts w:ascii="宋体" w:hAnsi="宋体"/>
          <w:color w:val="000000" w:themeColor="text1"/>
          <w:sz w:val="24"/>
          <w:u w:val="single"/>
          <w14:textFill>
            <w14:solidFill>
              <w14:schemeClr w14:val="tx1"/>
            </w14:solidFill>
          </w14:textFill>
        </w:rPr>
      </w:pPr>
    </w:p>
    <w:p>
      <w:pPr>
        <w:spacing w:line="360" w:lineRule="auto"/>
        <w:ind w:firstLine="630"/>
        <w:rPr>
          <w:rFonts w:ascii="宋体" w:hAnsi="宋体"/>
          <w:color w:val="000000" w:themeColor="text1"/>
          <w:sz w:val="24"/>
          <w:u w:val="single"/>
          <w14:textFill>
            <w14:solidFill>
              <w14:schemeClr w14:val="tx1"/>
            </w14:solidFill>
          </w14:textFill>
        </w:rPr>
      </w:pPr>
    </w:p>
    <w:p>
      <w:pPr>
        <w:spacing w:line="360" w:lineRule="auto"/>
        <w:ind w:firstLine="630"/>
        <w:rPr>
          <w:rFonts w:ascii="宋体" w:hAnsi="宋体"/>
          <w:color w:val="000000" w:themeColor="text1"/>
          <w:sz w:val="24"/>
          <w:u w:val="single"/>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rFonts w:ascii="宋体" w:hAnsi="宋体"/>
          <w:color w:val="000000" w:themeColor="text1"/>
          <w:sz w:val="28"/>
          <w:u w:val="single"/>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77" w:name="_Toc102633645"/>
      <w:bookmarkStart w:id="178" w:name="_Toc6203"/>
      <w:bookmarkStart w:id="179" w:name="_Toc515390553"/>
      <w:r>
        <w:rPr>
          <w:rFonts w:hint="eastAsia" w:ascii="宋体" w:hAnsi="宋体"/>
          <w:b/>
          <w:bCs/>
          <w:color w:val="000000" w:themeColor="text1"/>
          <w:sz w:val="28"/>
          <w:szCs w:val="32"/>
          <w:lang w:val="zh-CN"/>
          <w14:textFill>
            <w14:solidFill>
              <w14:schemeClr w14:val="tx1"/>
            </w14:solidFill>
          </w14:textFill>
        </w:rPr>
        <w:t>十一．</w:t>
      </w:r>
      <w:bookmarkStart w:id="180" w:name="_Toc459990161"/>
      <w:bookmarkStart w:id="181" w:name="_Toc420342112"/>
      <w:r>
        <w:rPr>
          <w:rFonts w:hint="eastAsia" w:ascii="宋体" w:hAnsi="宋体"/>
          <w:b/>
          <w:bCs/>
          <w:color w:val="000000" w:themeColor="text1"/>
          <w:sz w:val="28"/>
          <w:szCs w:val="32"/>
          <w:lang w:val="zh-CN"/>
          <w14:textFill>
            <w14:solidFill>
              <w14:schemeClr w14:val="tx1"/>
            </w14:solidFill>
          </w14:textFill>
        </w:rPr>
        <w:t>项目人员配备</w:t>
      </w:r>
      <w:bookmarkEnd w:id="177"/>
      <w:bookmarkEnd w:id="178"/>
      <w:bookmarkEnd w:id="179"/>
      <w:bookmarkEnd w:id="180"/>
      <w:bookmarkEnd w:id="181"/>
    </w:p>
    <w:p>
      <w:pPr>
        <w:rPr>
          <w:color w:val="000000" w:themeColor="text1"/>
          <w14:textFill>
            <w14:solidFill>
              <w14:schemeClr w14:val="tx1"/>
            </w14:solidFill>
          </w14:textFill>
        </w:rPr>
      </w:pPr>
    </w:p>
    <w:p>
      <w:pPr>
        <w:spacing w:line="34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（一）项目组人员配备情况表</w:t>
      </w:r>
    </w:p>
    <w:p>
      <w:pPr>
        <w:spacing w:line="340" w:lineRule="exact"/>
        <w:rPr>
          <w:rFonts w:ascii="宋体" w:hAnsi="宋体"/>
          <w:color w:val="000000" w:themeColor="text1"/>
          <w:sz w:val="32"/>
          <w:szCs w:val="32"/>
          <w14:textFill>
            <w14:solidFill>
              <w14:schemeClr w14:val="tx1"/>
            </w14:solidFill>
          </w14:textFill>
        </w:rPr>
      </w:pPr>
    </w:p>
    <w:tbl>
      <w:tblPr>
        <w:tblStyle w:val="5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1701"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17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职称</w:t>
            </w: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学历</w:t>
            </w:r>
          </w:p>
        </w:tc>
        <w:tc>
          <w:tcPr>
            <w:tcW w:w="226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项目经理</w:t>
            </w: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技术负责人</w:t>
            </w: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其它人员</w:t>
            </w:r>
          </w:p>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bl>
    <w:p>
      <w:pPr>
        <w:autoSpaceDE w:val="0"/>
        <w:autoSpaceDN w:val="0"/>
        <w:adjustRightInd w:val="0"/>
        <w:spacing w:line="360" w:lineRule="auto"/>
        <w:ind w:firstLine="482" w:firstLineChars="200"/>
        <w:rPr>
          <w:rFonts w:ascii="宋体" w:hAnsi="宋体"/>
          <w:b/>
          <w:color w:val="000000" w:themeColor="text1"/>
          <w:sz w:val="24"/>
          <w14:textFill>
            <w14:solidFill>
              <w14:schemeClr w14:val="tx1"/>
            </w14:solidFill>
          </w14:textFill>
        </w:rPr>
      </w:pPr>
    </w:p>
    <w:p>
      <w:pPr>
        <w:autoSpaceDE w:val="0"/>
        <w:autoSpaceDN w:val="0"/>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投标人签章：</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p>
      <w:pPr>
        <w:adjustRightInd w:val="0"/>
        <w:spacing w:line="360" w:lineRule="auto"/>
        <w:ind w:firstLine="480" w:firstLineChars="200"/>
        <w:textAlignment w:val="baseline"/>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 管理机构的主要人员（项目</w:t>
      </w:r>
      <w:r>
        <w:rPr>
          <w:rFonts w:hint="eastAsia" w:ascii="宋体" w:hAnsi="宋体"/>
          <w:color w:val="000000" w:themeColor="text1"/>
          <w:sz w:val="24"/>
          <w14:textFill>
            <w14:solidFill>
              <w14:schemeClr w14:val="tx1"/>
            </w14:solidFill>
          </w14:textFill>
        </w:rPr>
        <w:t>经理</w:t>
      </w:r>
      <w:r>
        <w:rPr>
          <w:rFonts w:hint="eastAsia" w:ascii="宋体" w:hAnsi="宋体"/>
          <w:bCs/>
          <w:color w:val="000000" w:themeColor="text1"/>
          <w:sz w:val="24"/>
          <w:szCs w:val="24"/>
          <w14:textFill>
            <w14:solidFill>
              <w14:schemeClr w14:val="tx1"/>
            </w14:solidFill>
          </w14:textFill>
        </w:rPr>
        <w:t>）按招标文件要求附资质证书等证明资料扫描件；</w:t>
      </w:r>
    </w:p>
    <w:p>
      <w:pPr>
        <w:adjustRightInd w:val="0"/>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2.中标后如需更换管理机构主要人员，需书面向招标人提出，并获得书面同意后方可更换；</w:t>
      </w:r>
    </w:p>
    <w:p>
      <w:pP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182" w:name="_Toc391040780"/>
      <w:bookmarkStart w:id="183" w:name="_Toc390243257"/>
      <w:bookmarkStart w:id="184" w:name="_Toc471736426"/>
      <w:bookmarkStart w:id="185" w:name="_Toc459990156"/>
      <w:bookmarkStart w:id="186" w:name="_Toc420342107"/>
    </w:p>
    <w:bookmarkEnd w:id="182"/>
    <w:bookmarkEnd w:id="183"/>
    <w:bookmarkEnd w:id="184"/>
    <w:bookmarkEnd w:id="185"/>
    <w:bookmarkEnd w:id="186"/>
    <w:p>
      <w:pPr>
        <w:jc w:val="cente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36"/>
          <w:szCs w:val="36"/>
          <w:lang w:val="zh-CN"/>
          <w14:textFill>
            <w14:solidFill>
              <w14:schemeClr w14:val="tx1"/>
            </w14:solidFill>
          </w14:textFill>
        </w:rPr>
      </w:pPr>
      <w:bookmarkStart w:id="187" w:name="_Toc7078099"/>
      <w:bookmarkStart w:id="188" w:name="_Toc536542365"/>
      <w:bookmarkStart w:id="189" w:name="_Toc16146"/>
      <w:bookmarkStart w:id="190" w:name="_Toc102633646"/>
      <w:r>
        <w:rPr>
          <w:rFonts w:hint="eastAsia" w:ascii="宋体" w:hAnsi="宋体"/>
          <w:b/>
          <w:bCs/>
          <w:color w:val="000000" w:themeColor="text1"/>
          <w:sz w:val="28"/>
          <w:szCs w:val="32"/>
          <w:lang w:val="zh-CN"/>
          <w14:textFill>
            <w14:solidFill>
              <w14:schemeClr w14:val="tx1"/>
            </w14:solidFill>
          </w14:textFill>
        </w:rPr>
        <w:t>十二．售后服务体系与检测方案</w:t>
      </w:r>
      <w:bookmarkEnd w:id="187"/>
      <w:bookmarkEnd w:id="188"/>
      <w:bookmarkEnd w:id="189"/>
      <w:bookmarkEnd w:id="190"/>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6"/>
          <w:lang w:val="zh-CN"/>
          <w14:textFill>
            <w14:solidFill>
              <w14:schemeClr w14:val="tx1"/>
            </w14:solidFill>
          </w14:textFill>
        </w:rPr>
      </w:pPr>
      <w:bookmarkStart w:id="191" w:name="_Toc102633647"/>
      <w:bookmarkStart w:id="192" w:name="_Toc220232400"/>
      <w:bookmarkStart w:id="193" w:name="_Toc471736416"/>
      <w:bookmarkStart w:id="194" w:name="_Toc57984513"/>
      <w:bookmarkStart w:id="195" w:name="_Toc536542368"/>
      <w:bookmarkStart w:id="196" w:name="_Toc9822"/>
      <w:bookmarkStart w:id="197" w:name="_Toc7078102"/>
      <w:r>
        <w:rPr>
          <w:rFonts w:hint="eastAsia" w:ascii="宋体" w:hAnsi="宋体"/>
          <w:b/>
          <w:bCs/>
          <w:color w:val="000000" w:themeColor="text1"/>
          <w:sz w:val="28"/>
          <w:szCs w:val="32"/>
          <w:lang w:val="zh-CN"/>
          <w14:textFill>
            <w14:solidFill>
              <w14:schemeClr w14:val="tx1"/>
            </w14:solidFill>
          </w14:textFill>
        </w:rPr>
        <w:t>十三．产品质量承诺</w:t>
      </w:r>
      <w:bookmarkEnd w:id="191"/>
      <w:bookmarkEnd w:id="192"/>
      <w:bookmarkEnd w:id="193"/>
      <w:bookmarkEnd w:id="194"/>
      <w:bookmarkEnd w:id="195"/>
      <w:bookmarkEnd w:id="196"/>
      <w:bookmarkEnd w:id="197"/>
    </w:p>
    <w:p>
      <w:pPr>
        <w:spacing w:before="48" w:beforeLines="20" w:after="48" w:afterLines="20" w:line="360" w:lineRule="auto"/>
        <w:ind w:firstLine="480" w:firstLineChars="200"/>
        <w:jc w:val="center"/>
        <w:rPr>
          <w:rFonts w:ascii="宋体" w:hAnsi="宋体"/>
          <w:b/>
          <w:bCs/>
          <w:color w:val="000000" w:themeColor="text1"/>
          <w:sz w:val="32"/>
          <w:szCs w:val="32"/>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Start w:id="198" w:name="_Toc32139"/>
      <w:r>
        <w:rPr>
          <w:rFonts w:hint="eastAsia" w:ascii="宋体" w:hAnsi="宋体"/>
          <w:b/>
          <w:bCs/>
          <w:color w:val="000000" w:themeColor="text1"/>
          <w:sz w:val="32"/>
          <w:szCs w:val="32"/>
          <w:lang w:val="zh-CN"/>
          <w14:textFill>
            <w14:solidFill>
              <w14:schemeClr w14:val="tx1"/>
            </w14:solidFill>
          </w14:textFill>
        </w:rPr>
        <w:tab/>
      </w:r>
    </w:p>
    <w:p>
      <w:pPr>
        <w:spacing w:before="48" w:beforeLines="20" w:after="48" w:afterLines="20" w:line="360" w:lineRule="auto"/>
        <w:ind w:firstLine="643" w:firstLineChars="200"/>
        <w:jc w:val="center"/>
        <w:rPr>
          <w:rFonts w:ascii="宋体" w:hAnsi="宋体"/>
          <w:b/>
          <w:bCs/>
          <w:color w:val="000000" w:themeColor="text1"/>
          <w:sz w:val="32"/>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99" w:name="_Toc102633648"/>
      <w:r>
        <w:rPr>
          <w:rFonts w:hint="eastAsia" w:ascii="宋体" w:hAnsi="宋体"/>
          <w:b/>
          <w:bCs/>
          <w:color w:val="000000" w:themeColor="text1"/>
          <w:sz w:val="28"/>
          <w:szCs w:val="32"/>
          <w:lang w:val="zh-CN"/>
          <w14:textFill>
            <w14:solidFill>
              <w14:schemeClr w14:val="tx1"/>
            </w14:solidFill>
          </w14:textFill>
        </w:rPr>
        <w:t>十四、投标人认为需提供的其他资料</w:t>
      </w:r>
      <w:bookmarkEnd w:id="198"/>
      <w:bookmarkEnd w:id="199"/>
    </w:p>
    <w:p>
      <w:pP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200" w:name="_Toc51083298"/>
      <w:bookmarkStart w:id="201" w:name="_Toc51505261"/>
      <w:bookmarkStart w:id="202" w:name="_Toc22888343"/>
      <w:bookmarkStart w:id="203" w:name="_Toc18658870"/>
      <w:bookmarkStart w:id="204" w:name="_Toc55287019"/>
      <w:bookmarkStart w:id="205" w:name="_Toc17307116"/>
      <w:bookmarkStart w:id="206" w:name="_Toc300210382"/>
      <w:bookmarkStart w:id="207" w:name="_Toc5128"/>
      <w:bookmarkStart w:id="208" w:name="_Toc19773347"/>
      <w:bookmarkStart w:id="209" w:name="_Toc24284"/>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210" w:name="_Toc102633649"/>
      <w:r>
        <w:rPr>
          <w:rFonts w:hint="eastAsia" w:ascii="宋体" w:hAnsi="宋体"/>
          <w:b/>
          <w:bCs/>
          <w:color w:val="000000" w:themeColor="text1"/>
          <w:sz w:val="28"/>
          <w:szCs w:val="32"/>
          <w:lang w:val="zh-CN"/>
          <w14:textFill>
            <w14:solidFill>
              <w14:schemeClr w14:val="tx1"/>
            </w14:solidFill>
          </w14:textFill>
        </w:rPr>
        <w:t>十五．投标保证金退还声明</w:t>
      </w:r>
      <w:bookmarkEnd w:id="200"/>
      <w:bookmarkEnd w:id="201"/>
      <w:bookmarkEnd w:id="202"/>
      <w:bookmarkEnd w:id="203"/>
      <w:bookmarkEnd w:id="204"/>
      <w:bookmarkEnd w:id="205"/>
      <w:bookmarkEnd w:id="206"/>
      <w:bookmarkEnd w:id="207"/>
      <w:bookmarkEnd w:id="208"/>
      <w:bookmarkEnd w:id="209"/>
      <w:bookmarkEnd w:id="210"/>
    </w:p>
    <w:p>
      <w:pPr>
        <w:rPr>
          <w:color w:val="000000" w:themeColor="text1"/>
          <w14:textFill>
            <w14:solidFill>
              <w14:schemeClr w14:val="tx1"/>
            </w14:solidFill>
          </w14:textFill>
        </w:rPr>
      </w:pPr>
    </w:p>
    <w:p>
      <w:pPr>
        <w:spacing w:line="480" w:lineRule="auto"/>
        <w:ind w:firstLine="628" w:firstLineChars="262"/>
        <w:rPr>
          <w:rFonts w:hAnsi="Arial"/>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pPr>
        <w:spacing w:line="480" w:lineRule="auto"/>
        <w:ind w:firstLine="628" w:firstLineChars="262"/>
        <w:rPr>
          <w:rFonts w:hAnsi="Arial"/>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投标保证金金额：</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我单位投标保证金到期后请汇至如下账号：</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收款单位：</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开户行：</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银行账号：</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电话：</w:t>
      </w:r>
    </w:p>
    <w:p>
      <w:pPr>
        <w:spacing w:line="360" w:lineRule="auto"/>
        <w:ind w:firstLine="629"/>
        <w:rPr>
          <w:rFonts w:ascii="宋体" w:hAnsi="宋体"/>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地址：</w:t>
      </w:r>
    </w:p>
    <w:p>
      <w:pPr>
        <w:spacing w:line="360" w:lineRule="auto"/>
        <w:ind w:firstLine="629"/>
        <w:rPr>
          <w:rFonts w:ascii="宋体" w:hAnsi="宋体"/>
          <w:color w:val="000000" w:themeColor="text1"/>
          <w:sz w:val="24"/>
          <w:u w:val="single"/>
          <w14:textFill>
            <w14:solidFill>
              <w14:schemeClr w14:val="tx1"/>
            </w14:solidFill>
          </w14:textFill>
        </w:rPr>
      </w:pPr>
    </w:p>
    <w:p>
      <w:pPr>
        <w:spacing w:line="360" w:lineRule="auto"/>
        <w:ind w:firstLine="629"/>
        <w:rPr>
          <w:rFonts w:hAnsi="Arial"/>
          <w:color w:val="000000" w:themeColor="text1"/>
          <w:sz w:val="24"/>
          <w14:textFill>
            <w14:solidFill>
              <w14:schemeClr w14:val="tx1"/>
            </w14:solidFill>
          </w14:textFill>
        </w:rPr>
      </w:pPr>
      <w:r>
        <w:rPr>
          <w:rFonts w:hint="eastAsia"/>
          <w:color w:val="000000" w:themeColor="text1"/>
          <w14:textFill>
            <w14:solidFill>
              <w14:schemeClr w14:val="tx1"/>
            </w14:solidFill>
          </w14:textFill>
        </w:rPr>
        <w:t>附</w:t>
      </w:r>
      <w:r>
        <w:rPr>
          <w:rFonts w:hint="eastAsia" w:hAnsi="Arial"/>
          <w:color w:val="000000" w:themeColor="text1"/>
          <w:sz w:val="24"/>
          <w14:textFill>
            <w14:solidFill>
              <w14:schemeClr w14:val="tx1"/>
            </w14:solidFill>
          </w14:textFill>
        </w:rPr>
        <w:t>：投标保证金转账凭证扫描件</w:t>
      </w:r>
    </w:p>
    <w:p>
      <w:pPr>
        <w:spacing w:line="360" w:lineRule="auto"/>
        <w:rPr>
          <w:rFonts w:hAnsi="Arial"/>
          <w:color w:val="000000" w:themeColor="text1"/>
          <w:sz w:val="24"/>
          <w14:textFill>
            <w14:solidFill>
              <w14:schemeClr w14:val="tx1"/>
            </w14:solidFill>
          </w14:textFill>
        </w:rPr>
      </w:pPr>
    </w:p>
    <w:p>
      <w:pPr>
        <w:spacing w:line="360" w:lineRule="auto"/>
        <w:ind w:firstLine="629"/>
        <w:rPr>
          <w:rFonts w:hAnsi="Arial"/>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投标人（公章）：</w:t>
      </w:r>
    </w:p>
    <w:p>
      <w:pPr>
        <w:spacing w:line="360" w:lineRule="auto"/>
        <w:ind w:firstLine="629"/>
        <w:rPr>
          <w:rFonts w:hAnsi="Arial"/>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企业法人（签字）：</w:t>
      </w:r>
    </w:p>
    <w:p>
      <w:pPr>
        <w:spacing w:line="360" w:lineRule="auto"/>
        <w:ind w:firstLine="629"/>
        <w:rPr>
          <w:rFonts w:hAnsi="Arial"/>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授权代表（签字）：</w:t>
      </w:r>
    </w:p>
    <w:p>
      <w:pPr>
        <w:spacing w:line="360" w:lineRule="auto"/>
        <w:ind w:firstLine="629"/>
        <w:rPr>
          <w:rFonts w:hAnsi="Arial"/>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年月日</w:t>
      </w:r>
    </w:p>
    <w:p>
      <w:pPr>
        <w:pStyle w:val="3"/>
        <w:spacing w:line="500" w:lineRule="exact"/>
        <w:jc w:val="center"/>
        <w:rPr>
          <w:rFonts w:hAnsi="Arial"/>
          <w:color w:val="000000" w:themeColor="text1"/>
          <w:sz w:val="24"/>
          <w14:textFill>
            <w14:solidFill>
              <w14:schemeClr w14:val="tx1"/>
            </w14:solidFill>
          </w14:textFill>
        </w:rPr>
      </w:pPr>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简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panose1 w:val="02020609040205080304"/>
    <w:charset w:val="80"/>
    <w:family w:val="roman"/>
    <w:pitch w:val="default"/>
    <w:sig w:usb0="A00002BF" w:usb1="68C7FCFB" w:usb2="00000010" w:usb3="00000000" w:csb0="4002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宋体-18030">
    <w:altName w:val="微软雅黑"/>
    <w:panose1 w:val="00000000000000000000"/>
    <w:charset w:val="86"/>
    <w:family w:val="auto"/>
    <w:pitch w:val="default"/>
    <w:sig w:usb0="00000000" w:usb1="00000000" w:usb2="000A005E"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4</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45</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宋体" w:hAnsi="宋体"/>
        <w:b/>
        <w:i/>
        <w:sz w:val="24"/>
      </w:rPr>
    </w:pPr>
    <w:r>
      <w:rPr>
        <w:rFonts w:hint="eastAsia"/>
      </w:rPr>
      <w:t xml:space="preserve">合肥文旅博览集团有限公司招标文件-货物类（适用于综合评分法）                      </w:t>
    </w:r>
    <w:r>
      <w:t>2022</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4A119"/>
    <w:multiLevelType w:val="singleLevel"/>
    <w:tmpl w:val="CD64A119"/>
    <w:lvl w:ilvl="0" w:tentative="0">
      <w:start w:val="6"/>
      <w:numFmt w:val="chineseCounting"/>
      <w:suff w:val="space"/>
      <w:lvlText w:val="第%1章"/>
      <w:lvlJc w:val="left"/>
      <w:rPr>
        <w:rFonts w:hint="eastAsia"/>
      </w:rPr>
    </w:lvl>
  </w:abstractNum>
  <w:abstractNum w:abstractNumId="1">
    <w:nsid w:val="00000005"/>
    <w:multiLevelType w:val="multilevel"/>
    <w:tmpl w:val="00000005"/>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61207F6"/>
    <w:multiLevelType w:val="multilevel"/>
    <w:tmpl w:val="061207F6"/>
    <w:lvl w:ilvl="0" w:tentative="0">
      <w:start w:val="1"/>
      <w:numFmt w:val="japaneseCounting"/>
      <w:lvlText w:val="%1、"/>
      <w:lvlJc w:val="left"/>
      <w:pPr>
        <w:ind w:left="840" w:hanging="510"/>
      </w:pPr>
      <w:rPr>
        <w:rFonts w:hint="default"/>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3">
    <w:nsid w:val="2E4F3A11"/>
    <w:multiLevelType w:val="multilevel"/>
    <w:tmpl w:val="2E4F3A11"/>
    <w:lvl w:ilvl="0" w:tentative="0">
      <w:start w:val="1"/>
      <w:numFmt w:val="decimal"/>
      <w:pStyle w:val="63"/>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64"/>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62"/>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3E2E1B76"/>
    <w:multiLevelType w:val="multilevel"/>
    <w:tmpl w:val="3E2E1B76"/>
    <w:lvl w:ilvl="0" w:tentative="0">
      <w:start w:val="2"/>
      <w:numFmt w:val="japaneseCounting"/>
      <w:lvlText w:val="%1、"/>
      <w:lvlJc w:val="left"/>
      <w:pPr>
        <w:ind w:left="700" w:hanging="50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48716ABE"/>
    <w:multiLevelType w:val="multilevel"/>
    <w:tmpl w:val="48716ABE"/>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82"/>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6">
    <w:nsid w:val="4D2A0EDA"/>
    <w:multiLevelType w:val="multilevel"/>
    <w:tmpl w:val="4D2A0EDA"/>
    <w:lvl w:ilvl="0" w:tentative="0">
      <w:start w:val="2"/>
      <w:numFmt w:val="decimal"/>
      <w:lvlText w:val="%1"/>
      <w:lvlJc w:val="left"/>
      <w:pPr>
        <w:ind w:left="360" w:hanging="360"/>
      </w:pPr>
      <w:rPr>
        <w:rFonts w:hint="default"/>
      </w:rPr>
    </w:lvl>
    <w:lvl w:ilvl="1" w:tentative="0">
      <w:start w:val="6"/>
      <w:numFmt w:val="decimal"/>
      <w:lvlText w:val="%1.%2"/>
      <w:lvlJc w:val="left"/>
      <w:pPr>
        <w:ind w:left="909" w:hanging="360"/>
      </w:pPr>
      <w:rPr>
        <w:rFonts w:hint="default"/>
      </w:rPr>
    </w:lvl>
    <w:lvl w:ilvl="2" w:tentative="0">
      <w:start w:val="1"/>
      <w:numFmt w:val="decimal"/>
      <w:lvlText w:val="%1.%2.%3"/>
      <w:lvlJc w:val="left"/>
      <w:pPr>
        <w:ind w:left="1818" w:hanging="720"/>
      </w:pPr>
      <w:rPr>
        <w:rFonts w:hint="default"/>
      </w:rPr>
    </w:lvl>
    <w:lvl w:ilvl="3" w:tentative="0">
      <w:start w:val="1"/>
      <w:numFmt w:val="decimal"/>
      <w:lvlText w:val="%1.%2.%3.%4"/>
      <w:lvlJc w:val="left"/>
      <w:pPr>
        <w:ind w:left="2727" w:hanging="1080"/>
      </w:pPr>
      <w:rPr>
        <w:rFonts w:hint="default"/>
      </w:rPr>
    </w:lvl>
    <w:lvl w:ilvl="4" w:tentative="0">
      <w:start w:val="1"/>
      <w:numFmt w:val="decimal"/>
      <w:lvlText w:val="%1.%2.%3.%4.%5"/>
      <w:lvlJc w:val="left"/>
      <w:pPr>
        <w:ind w:left="3276" w:hanging="1080"/>
      </w:pPr>
      <w:rPr>
        <w:rFonts w:hint="default"/>
      </w:rPr>
    </w:lvl>
    <w:lvl w:ilvl="5" w:tentative="0">
      <w:start w:val="1"/>
      <w:numFmt w:val="decimal"/>
      <w:lvlText w:val="%1.%2.%3.%4.%5.%6"/>
      <w:lvlJc w:val="left"/>
      <w:pPr>
        <w:ind w:left="4185" w:hanging="1440"/>
      </w:pPr>
      <w:rPr>
        <w:rFonts w:hint="default"/>
      </w:rPr>
    </w:lvl>
    <w:lvl w:ilvl="6" w:tentative="0">
      <w:start w:val="1"/>
      <w:numFmt w:val="decimal"/>
      <w:lvlText w:val="%1.%2.%3.%4.%5.%6.%7"/>
      <w:lvlJc w:val="left"/>
      <w:pPr>
        <w:ind w:left="5094" w:hanging="1800"/>
      </w:pPr>
      <w:rPr>
        <w:rFonts w:hint="default"/>
      </w:rPr>
    </w:lvl>
    <w:lvl w:ilvl="7" w:tentative="0">
      <w:start w:val="1"/>
      <w:numFmt w:val="decimal"/>
      <w:lvlText w:val="%1.%2.%3.%4.%5.%6.%7.%8"/>
      <w:lvlJc w:val="left"/>
      <w:pPr>
        <w:ind w:left="5643" w:hanging="1800"/>
      </w:pPr>
      <w:rPr>
        <w:rFonts w:hint="default"/>
      </w:rPr>
    </w:lvl>
    <w:lvl w:ilvl="8" w:tentative="0">
      <w:start w:val="1"/>
      <w:numFmt w:val="decimal"/>
      <w:lvlText w:val="%1.%2.%3.%4.%5.%6.%7.%8.%9"/>
      <w:lvlJc w:val="left"/>
      <w:pPr>
        <w:ind w:left="6552" w:hanging="2160"/>
      </w:pPr>
      <w:rPr>
        <w:rFonts w:hint="default"/>
      </w:rPr>
    </w:lvl>
  </w:abstractNum>
  <w:abstractNum w:abstractNumId="7">
    <w:nsid w:val="6AA1747A"/>
    <w:multiLevelType w:val="multilevel"/>
    <w:tmpl w:val="6AA1747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669D5E2"/>
    <w:multiLevelType w:val="singleLevel"/>
    <w:tmpl w:val="7669D5E2"/>
    <w:lvl w:ilvl="0" w:tentative="0">
      <w:start w:val="1"/>
      <w:numFmt w:val="decimal"/>
      <w:suff w:val="nothing"/>
      <w:lvlText w:val="%1）"/>
      <w:lvlJc w:val="left"/>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0B"/>
    <w:rsid w:val="000035A3"/>
    <w:rsid w:val="000106D4"/>
    <w:rsid w:val="00010CC7"/>
    <w:rsid w:val="00015DB9"/>
    <w:rsid w:val="000165BF"/>
    <w:rsid w:val="000251FA"/>
    <w:rsid w:val="00031325"/>
    <w:rsid w:val="0003169D"/>
    <w:rsid w:val="00034DE4"/>
    <w:rsid w:val="000375D6"/>
    <w:rsid w:val="000500BD"/>
    <w:rsid w:val="00050A33"/>
    <w:rsid w:val="00050C67"/>
    <w:rsid w:val="00052552"/>
    <w:rsid w:val="00054AE6"/>
    <w:rsid w:val="00061E30"/>
    <w:rsid w:val="000677BD"/>
    <w:rsid w:val="00070AF8"/>
    <w:rsid w:val="00073003"/>
    <w:rsid w:val="00081E48"/>
    <w:rsid w:val="00083595"/>
    <w:rsid w:val="00083AB5"/>
    <w:rsid w:val="00083DB2"/>
    <w:rsid w:val="00087091"/>
    <w:rsid w:val="0009188A"/>
    <w:rsid w:val="000922C2"/>
    <w:rsid w:val="00093C96"/>
    <w:rsid w:val="000974B8"/>
    <w:rsid w:val="000A12C2"/>
    <w:rsid w:val="000B4FC1"/>
    <w:rsid w:val="000B5931"/>
    <w:rsid w:val="000C12DF"/>
    <w:rsid w:val="000C51EA"/>
    <w:rsid w:val="000C720D"/>
    <w:rsid w:val="000D0E34"/>
    <w:rsid w:val="000D17C8"/>
    <w:rsid w:val="000D5B94"/>
    <w:rsid w:val="000D64A2"/>
    <w:rsid w:val="000D73B0"/>
    <w:rsid w:val="000D7494"/>
    <w:rsid w:val="000E1FDF"/>
    <w:rsid w:val="000E61BF"/>
    <w:rsid w:val="000E7B46"/>
    <w:rsid w:val="000F404D"/>
    <w:rsid w:val="000F6CCD"/>
    <w:rsid w:val="001006B1"/>
    <w:rsid w:val="001029A1"/>
    <w:rsid w:val="00103B7D"/>
    <w:rsid w:val="00106234"/>
    <w:rsid w:val="0011682E"/>
    <w:rsid w:val="00121C5C"/>
    <w:rsid w:val="00122092"/>
    <w:rsid w:val="00123512"/>
    <w:rsid w:val="00133123"/>
    <w:rsid w:val="00136CE8"/>
    <w:rsid w:val="00143D8F"/>
    <w:rsid w:val="00145FCF"/>
    <w:rsid w:val="001509F6"/>
    <w:rsid w:val="001540DB"/>
    <w:rsid w:val="001567A4"/>
    <w:rsid w:val="00157DA2"/>
    <w:rsid w:val="00165A31"/>
    <w:rsid w:val="00165E3E"/>
    <w:rsid w:val="00167D2D"/>
    <w:rsid w:val="00170641"/>
    <w:rsid w:val="00171D92"/>
    <w:rsid w:val="00172A27"/>
    <w:rsid w:val="00172CCB"/>
    <w:rsid w:val="001758D1"/>
    <w:rsid w:val="001767F4"/>
    <w:rsid w:val="00177581"/>
    <w:rsid w:val="00180621"/>
    <w:rsid w:val="00182763"/>
    <w:rsid w:val="00182A03"/>
    <w:rsid w:val="00182F13"/>
    <w:rsid w:val="00187141"/>
    <w:rsid w:val="00187355"/>
    <w:rsid w:val="001873D0"/>
    <w:rsid w:val="00190A32"/>
    <w:rsid w:val="00190FC3"/>
    <w:rsid w:val="00191011"/>
    <w:rsid w:val="00192FA2"/>
    <w:rsid w:val="00193CCB"/>
    <w:rsid w:val="001A15C7"/>
    <w:rsid w:val="001A3416"/>
    <w:rsid w:val="001A5D42"/>
    <w:rsid w:val="001B1A5A"/>
    <w:rsid w:val="001B1E68"/>
    <w:rsid w:val="001B5756"/>
    <w:rsid w:val="001B6CA4"/>
    <w:rsid w:val="001C5E9E"/>
    <w:rsid w:val="001D22B3"/>
    <w:rsid w:val="001D7E67"/>
    <w:rsid w:val="001E0B84"/>
    <w:rsid w:val="001E1917"/>
    <w:rsid w:val="001E38B4"/>
    <w:rsid w:val="001E640C"/>
    <w:rsid w:val="001F18D1"/>
    <w:rsid w:val="001F2286"/>
    <w:rsid w:val="001F489C"/>
    <w:rsid w:val="001F711F"/>
    <w:rsid w:val="002115AF"/>
    <w:rsid w:val="002208C9"/>
    <w:rsid w:val="00220990"/>
    <w:rsid w:val="00232358"/>
    <w:rsid w:val="00234F18"/>
    <w:rsid w:val="0024080E"/>
    <w:rsid w:val="00241826"/>
    <w:rsid w:val="002505C8"/>
    <w:rsid w:val="00252128"/>
    <w:rsid w:val="0025330E"/>
    <w:rsid w:val="00256362"/>
    <w:rsid w:val="00256B0B"/>
    <w:rsid w:val="00260053"/>
    <w:rsid w:val="00260ED6"/>
    <w:rsid w:val="0026270B"/>
    <w:rsid w:val="00266ED5"/>
    <w:rsid w:val="00282F64"/>
    <w:rsid w:val="00284E8A"/>
    <w:rsid w:val="00286D1E"/>
    <w:rsid w:val="002871F0"/>
    <w:rsid w:val="00290E0B"/>
    <w:rsid w:val="0029160D"/>
    <w:rsid w:val="00291AA9"/>
    <w:rsid w:val="00291BDA"/>
    <w:rsid w:val="002925B9"/>
    <w:rsid w:val="00293307"/>
    <w:rsid w:val="00294401"/>
    <w:rsid w:val="002957A2"/>
    <w:rsid w:val="002A0717"/>
    <w:rsid w:val="002A106D"/>
    <w:rsid w:val="002A1AEB"/>
    <w:rsid w:val="002A35E3"/>
    <w:rsid w:val="002A3E6A"/>
    <w:rsid w:val="002A55E5"/>
    <w:rsid w:val="002A6ADC"/>
    <w:rsid w:val="002A6D1E"/>
    <w:rsid w:val="002A7309"/>
    <w:rsid w:val="002B25E9"/>
    <w:rsid w:val="002B2F57"/>
    <w:rsid w:val="002B3FCC"/>
    <w:rsid w:val="002B653A"/>
    <w:rsid w:val="002C2DE2"/>
    <w:rsid w:val="002C74C8"/>
    <w:rsid w:val="002C785E"/>
    <w:rsid w:val="002D4B74"/>
    <w:rsid w:val="002D797D"/>
    <w:rsid w:val="002E0440"/>
    <w:rsid w:val="002E0D6B"/>
    <w:rsid w:val="002E1859"/>
    <w:rsid w:val="002E2DB4"/>
    <w:rsid w:val="002E428A"/>
    <w:rsid w:val="002E60F3"/>
    <w:rsid w:val="002E7812"/>
    <w:rsid w:val="002F1441"/>
    <w:rsid w:val="002F16E1"/>
    <w:rsid w:val="002F214E"/>
    <w:rsid w:val="002F4164"/>
    <w:rsid w:val="002F4E93"/>
    <w:rsid w:val="00303BEB"/>
    <w:rsid w:val="003040D2"/>
    <w:rsid w:val="00305B48"/>
    <w:rsid w:val="0030781B"/>
    <w:rsid w:val="00317ED7"/>
    <w:rsid w:val="00321272"/>
    <w:rsid w:val="003228AD"/>
    <w:rsid w:val="00325655"/>
    <w:rsid w:val="003318E8"/>
    <w:rsid w:val="0033258B"/>
    <w:rsid w:val="00334886"/>
    <w:rsid w:val="00340899"/>
    <w:rsid w:val="00346CFB"/>
    <w:rsid w:val="003503E0"/>
    <w:rsid w:val="003519DD"/>
    <w:rsid w:val="00351E5E"/>
    <w:rsid w:val="00353D22"/>
    <w:rsid w:val="00355B69"/>
    <w:rsid w:val="0035697A"/>
    <w:rsid w:val="00360539"/>
    <w:rsid w:val="00362DC7"/>
    <w:rsid w:val="00363F24"/>
    <w:rsid w:val="00366291"/>
    <w:rsid w:val="003725BD"/>
    <w:rsid w:val="00376BA7"/>
    <w:rsid w:val="003822F5"/>
    <w:rsid w:val="0038312D"/>
    <w:rsid w:val="00383C28"/>
    <w:rsid w:val="00385FFF"/>
    <w:rsid w:val="00386644"/>
    <w:rsid w:val="00391B6E"/>
    <w:rsid w:val="003933DB"/>
    <w:rsid w:val="00393D11"/>
    <w:rsid w:val="003942DC"/>
    <w:rsid w:val="0039453A"/>
    <w:rsid w:val="00394D44"/>
    <w:rsid w:val="00394F7F"/>
    <w:rsid w:val="003B0A8B"/>
    <w:rsid w:val="003B0FB4"/>
    <w:rsid w:val="003B21C4"/>
    <w:rsid w:val="003B400F"/>
    <w:rsid w:val="003B4882"/>
    <w:rsid w:val="003C0193"/>
    <w:rsid w:val="003C01A9"/>
    <w:rsid w:val="003D2373"/>
    <w:rsid w:val="003D38BB"/>
    <w:rsid w:val="003D5DCD"/>
    <w:rsid w:val="003D7BDF"/>
    <w:rsid w:val="003E0A13"/>
    <w:rsid w:val="003E5BF3"/>
    <w:rsid w:val="003E5D09"/>
    <w:rsid w:val="003E65C3"/>
    <w:rsid w:val="003F29DE"/>
    <w:rsid w:val="003F2C49"/>
    <w:rsid w:val="003F7921"/>
    <w:rsid w:val="00400F2C"/>
    <w:rsid w:val="0040206D"/>
    <w:rsid w:val="0040374C"/>
    <w:rsid w:val="00403F76"/>
    <w:rsid w:val="00411F0F"/>
    <w:rsid w:val="00412C60"/>
    <w:rsid w:val="00413970"/>
    <w:rsid w:val="00422599"/>
    <w:rsid w:val="004225D3"/>
    <w:rsid w:val="00424680"/>
    <w:rsid w:val="0042556C"/>
    <w:rsid w:val="00425AF3"/>
    <w:rsid w:val="00426D82"/>
    <w:rsid w:val="00427F08"/>
    <w:rsid w:val="004302CE"/>
    <w:rsid w:val="00440EB9"/>
    <w:rsid w:val="004410C7"/>
    <w:rsid w:val="00441B3A"/>
    <w:rsid w:val="0044389C"/>
    <w:rsid w:val="00445B16"/>
    <w:rsid w:val="00445DD2"/>
    <w:rsid w:val="00445E36"/>
    <w:rsid w:val="004460A8"/>
    <w:rsid w:val="00447973"/>
    <w:rsid w:val="00451119"/>
    <w:rsid w:val="00451447"/>
    <w:rsid w:val="00451ACD"/>
    <w:rsid w:val="004533D6"/>
    <w:rsid w:val="00453E04"/>
    <w:rsid w:val="00454420"/>
    <w:rsid w:val="00456563"/>
    <w:rsid w:val="0046180F"/>
    <w:rsid w:val="00462FD8"/>
    <w:rsid w:val="00463267"/>
    <w:rsid w:val="00464611"/>
    <w:rsid w:val="004707D0"/>
    <w:rsid w:val="00472EA7"/>
    <w:rsid w:val="0047443A"/>
    <w:rsid w:val="00476E14"/>
    <w:rsid w:val="00477E15"/>
    <w:rsid w:val="0048008A"/>
    <w:rsid w:val="00481736"/>
    <w:rsid w:val="00484B61"/>
    <w:rsid w:val="00486967"/>
    <w:rsid w:val="004873FB"/>
    <w:rsid w:val="0049233E"/>
    <w:rsid w:val="004962CC"/>
    <w:rsid w:val="00497EC6"/>
    <w:rsid w:val="004A6495"/>
    <w:rsid w:val="004B0C11"/>
    <w:rsid w:val="004B5915"/>
    <w:rsid w:val="004B6AA8"/>
    <w:rsid w:val="004C0863"/>
    <w:rsid w:val="004C1A2E"/>
    <w:rsid w:val="004C1AF5"/>
    <w:rsid w:val="004D1F92"/>
    <w:rsid w:val="004D2B46"/>
    <w:rsid w:val="004D413E"/>
    <w:rsid w:val="004D52B6"/>
    <w:rsid w:val="004E0B01"/>
    <w:rsid w:val="004E2086"/>
    <w:rsid w:val="004E2310"/>
    <w:rsid w:val="004E2D49"/>
    <w:rsid w:val="004E2F0D"/>
    <w:rsid w:val="004E3766"/>
    <w:rsid w:val="004F128E"/>
    <w:rsid w:val="004F4F38"/>
    <w:rsid w:val="004F5FD0"/>
    <w:rsid w:val="0050175C"/>
    <w:rsid w:val="00502FBE"/>
    <w:rsid w:val="005055F8"/>
    <w:rsid w:val="00507362"/>
    <w:rsid w:val="00510C99"/>
    <w:rsid w:val="00511D05"/>
    <w:rsid w:val="00512F8C"/>
    <w:rsid w:val="00513759"/>
    <w:rsid w:val="005149BB"/>
    <w:rsid w:val="005151FA"/>
    <w:rsid w:val="00521C13"/>
    <w:rsid w:val="00523298"/>
    <w:rsid w:val="00523310"/>
    <w:rsid w:val="00523411"/>
    <w:rsid w:val="00524A70"/>
    <w:rsid w:val="00527DA4"/>
    <w:rsid w:val="00530ED5"/>
    <w:rsid w:val="00535551"/>
    <w:rsid w:val="00541DA2"/>
    <w:rsid w:val="00551D5E"/>
    <w:rsid w:val="00551E09"/>
    <w:rsid w:val="00555E88"/>
    <w:rsid w:val="00560C62"/>
    <w:rsid w:val="0056335F"/>
    <w:rsid w:val="005639AC"/>
    <w:rsid w:val="00566C97"/>
    <w:rsid w:val="00575119"/>
    <w:rsid w:val="005823EC"/>
    <w:rsid w:val="005904B5"/>
    <w:rsid w:val="005A413D"/>
    <w:rsid w:val="005A64BC"/>
    <w:rsid w:val="005A7181"/>
    <w:rsid w:val="005B0C22"/>
    <w:rsid w:val="005B1427"/>
    <w:rsid w:val="005B2CBF"/>
    <w:rsid w:val="005B51DB"/>
    <w:rsid w:val="005C1423"/>
    <w:rsid w:val="005C43C2"/>
    <w:rsid w:val="005C6C62"/>
    <w:rsid w:val="005D012F"/>
    <w:rsid w:val="005D210F"/>
    <w:rsid w:val="005E0C2F"/>
    <w:rsid w:val="005E49E3"/>
    <w:rsid w:val="005E6B2E"/>
    <w:rsid w:val="005F0E09"/>
    <w:rsid w:val="005F13A5"/>
    <w:rsid w:val="005F50AD"/>
    <w:rsid w:val="005F71CE"/>
    <w:rsid w:val="0060098C"/>
    <w:rsid w:val="00601316"/>
    <w:rsid w:val="0060768C"/>
    <w:rsid w:val="00607F38"/>
    <w:rsid w:val="00621A5D"/>
    <w:rsid w:val="00625222"/>
    <w:rsid w:val="006265A4"/>
    <w:rsid w:val="0063024E"/>
    <w:rsid w:val="00630C2A"/>
    <w:rsid w:val="006322AD"/>
    <w:rsid w:val="006327D9"/>
    <w:rsid w:val="00635863"/>
    <w:rsid w:val="00640572"/>
    <w:rsid w:val="00642FE4"/>
    <w:rsid w:val="00644A0A"/>
    <w:rsid w:val="00652237"/>
    <w:rsid w:val="00661219"/>
    <w:rsid w:val="00676E2C"/>
    <w:rsid w:val="00681981"/>
    <w:rsid w:val="00682E33"/>
    <w:rsid w:val="00683852"/>
    <w:rsid w:val="00685014"/>
    <w:rsid w:val="0069137C"/>
    <w:rsid w:val="00691BC2"/>
    <w:rsid w:val="00695BB7"/>
    <w:rsid w:val="006A0AF6"/>
    <w:rsid w:val="006A1112"/>
    <w:rsid w:val="006A3E3D"/>
    <w:rsid w:val="006B14CD"/>
    <w:rsid w:val="006B1F89"/>
    <w:rsid w:val="006B7F4F"/>
    <w:rsid w:val="006C1D2E"/>
    <w:rsid w:val="006C23D4"/>
    <w:rsid w:val="006C5436"/>
    <w:rsid w:val="006C5AEA"/>
    <w:rsid w:val="006D573B"/>
    <w:rsid w:val="006D57DD"/>
    <w:rsid w:val="006D59F7"/>
    <w:rsid w:val="006D6FFA"/>
    <w:rsid w:val="006E387A"/>
    <w:rsid w:val="006E3909"/>
    <w:rsid w:val="006E39BD"/>
    <w:rsid w:val="006E72A5"/>
    <w:rsid w:val="006F7F60"/>
    <w:rsid w:val="007036D9"/>
    <w:rsid w:val="0070546F"/>
    <w:rsid w:val="00707AE7"/>
    <w:rsid w:val="00710B83"/>
    <w:rsid w:val="00710CE4"/>
    <w:rsid w:val="0071226A"/>
    <w:rsid w:val="00713E75"/>
    <w:rsid w:val="00713E7E"/>
    <w:rsid w:val="00714C49"/>
    <w:rsid w:val="0072120C"/>
    <w:rsid w:val="0072609C"/>
    <w:rsid w:val="00726B75"/>
    <w:rsid w:val="00732508"/>
    <w:rsid w:val="00735E4B"/>
    <w:rsid w:val="00740B9D"/>
    <w:rsid w:val="00745F7B"/>
    <w:rsid w:val="00752A46"/>
    <w:rsid w:val="00752AFC"/>
    <w:rsid w:val="0075389C"/>
    <w:rsid w:val="007560E8"/>
    <w:rsid w:val="00761E33"/>
    <w:rsid w:val="007663D1"/>
    <w:rsid w:val="00766A33"/>
    <w:rsid w:val="007700B5"/>
    <w:rsid w:val="00780D9C"/>
    <w:rsid w:val="00781749"/>
    <w:rsid w:val="007877C9"/>
    <w:rsid w:val="00792F19"/>
    <w:rsid w:val="0079701A"/>
    <w:rsid w:val="007A0FDC"/>
    <w:rsid w:val="007A4367"/>
    <w:rsid w:val="007A5368"/>
    <w:rsid w:val="007A60C0"/>
    <w:rsid w:val="007B0353"/>
    <w:rsid w:val="007B1C4F"/>
    <w:rsid w:val="007B354C"/>
    <w:rsid w:val="007C097B"/>
    <w:rsid w:val="007D1B9E"/>
    <w:rsid w:val="007D1D27"/>
    <w:rsid w:val="007D52FA"/>
    <w:rsid w:val="007D5D5F"/>
    <w:rsid w:val="007D7ECD"/>
    <w:rsid w:val="007E07A7"/>
    <w:rsid w:val="007E4C8A"/>
    <w:rsid w:val="007E5AFC"/>
    <w:rsid w:val="007E75C3"/>
    <w:rsid w:val="007F0A95"/>
    <w:rsid w:val="007F5FD0"/>
    <w:rsid w:val="008128B8"/>
    <w:rsid w:val="00815391"/>
    <w:rsid w:val="00815CC7"/>
    <w:rsid w:val="008166FE"/>
    <w:rsid w:val="008307D0"/>
    <w:rsid w:val="00830E4A"/>
    <w:rsid w:val="00835BCB"/>
    <w:rsid w:val="00850903"/>
    <w:rsid w:val="00850D86"/>
    <w:rsid w:val="00853D8C"/>
    <w:rsid w:val="00865DFE"/>
    <w:rsid w:val="00870122"/>
    <w:rsid w:val="0087493C"/>
    <w:rsid w:val="0087726F"/>
    <w:rsid w:val="008813E3"/>
    <w:rsid w:val="00882634"/>
    <w:rsid w:val="00883D6B"/>
    <w:rsid w:val="00886160"/>
    <w:rsid w:val="008933C7"/>
    <w:rsid w:val="00895E26"/>
    <w:rsid w:val="008A404B"/>
    <w:rsid w:val="008A4B6B"/>
    <w:rsid w:val="008B2926"/>
    <w:rsid w:val="008B6B00"/>
    <w:rsid w:val="008B6B28"/>
    <w:rsid w:val="008C2643"/>
    <w:rsid w:val="008C40F1"/>
    <w:rsid w:val="008C4744"/>
    <w:rsid w:val="008C645B"/>
    <w:rsid w:val="008D0769"/>
    <w:rsid w:val="008D0F22"/>
    <w:rsid w:val="008D361A"/>
    <w:rsid w:val="008E123E"/>
    <w:rsid w:val="008E251D"/>
    <w:rsid w:val="008E582E"/>
    <w:rsid w:val="008E7F4B"/>
    <w:rsid w:val="008F149A"/>
    <w:rsid w:val="008F4165"/>
    <w:rsid w:val="008F67EE"/>
    <w:rsid w:val="009000C4"/>
    <w:rsid w:val="00911E5A"/>
    <w:rsid w:val="00913C55"/>
    <w:rsid w:val="00921461"/>
    <w:rsid w:val="0092742B"/>
    <w:rsid w:val="00930598"/>
    <w:rsid w:val="00930DEE"/>
    <w:rsid w:val="0093106A"/>
    <w:rsid w:val="00932EAF"/>
    <w:rsid w:val="00934EED"/>
    <w:rsid w:val="00935D83"/>
    <w:rsid w:val="00935F63"/>
    <w:rsid w:val="00936418"/>
    <w:rsid w:val="00937894"/>
    <w:rsid w:val="00940FFD"/>
    <w:rsid w:val="00941FAF"/>
    <w:rsid w:val="00945A59"/>
    <w:rsid w:val="0094711E"/>
    <w:rsid w:val="0094752C"/>
    <w:rsid w:val="00950E5C"/>
    <w:rsid w:val="0095667D"/>
    <w:rsid w:val="0095690F"/>
    <w:rsid w:val="009612C8"/>
    <w:rsid w:val="009671CB"/>
    <w:rsid w:val="00967968"/>
    <w:rsid w:val="00982352"/>
    <w:rsid w:val="00982D88"/>
    <w:rsid w:val="00986E38"/>
    <w:rsid w:val="00992FF0"/>
    <w:rsid w:val="009A16DE"/>
    <w:rsid w:val="009B1543"/>
    <w:rsid w:val="009B5DA1"/>
    <w:rsid w:val="009B6EB6"/>
    <w:rsid w:val="009C1060"/>
    <w:rsid w:val="009C3BEC"/>
    <w:rsid w:val="009D18FB"/>
    <w:rsid w:val="009D1A24"/>
    <w:rsid w:val="009D30A0"/>
    <w:rsid w:val="009E21BE"/>
    <w:rsid w:val="009E30A1"/>
    <w:rsid w:val="009E33B2"/>
    <w:rsid w:val="009E4C87"/>
    <w:rsid w:val="009E4E8C"/>
    <w:rsid w:val="009E61D6"/>
    <w:rsid w:val="009F305F"/>
    <w:rsid w:val="009F57D2"/>
    <w:rsid w:val="009F72B6"/>
    <w:rsid w:val="009F7301"/>
    <w:rsid w:val="009F7F8B"/>
    <w:rsid w:val="00A008D0"/>
    <w:rsid w:val="00A02D8E"/>
    <w:rsid w:val="00A03549"/>
    <w:rsid w:val="00A07E48"/>
    <w:rsid w:val="00A113E2"/>
    <w:rsid w:val="00A12979"/>
    <w:rsid w:val="00A15988"/>
    <w:rsid w:val="00A26BA0"/>
    <w:rsid w:val="00A27DEC"/>
    <w:rsid w:val="00A3623A"/>
    <w:rsid w:val="00A36550"/>
    <w:rsid w:val="00A41301"/>
    <w:rsid w:val="00A41F02"/>
    <w:rsid w:val="00A44A89"/>
    <w:rsid w:val="00A45BE0"/>
    <w:rsid w:val="00A50D82"/>
    <w:rsid w:val="00A51BDB"/>
    <w:rsid w:val="00A52920"/>
    <w:rsid w:val="00A56C4A"/>
    <w:rsid w:val="00A60031"/>
    <w:rsid w:val="00A6091B"/>
    <w:rsid w:val="00A61A8D"/>
    <w:rsid w:val="00A63838"/>
    <w:rsid w:val="00A64D1C"/>
    <w:rsid w:val="00A72769"/>
    <w:rsid w:val="00A7306D"/>
    <w:rsid w:val="00A76002"/>
    <w:rsid w:val="00A77107"/>
    <w:rsid w:val="00A77327"/>
    <w:rsid w:val="00A940F0"/>
    <w:rsid w:val="00AA0E81"/>
    <w:rsid w:val="00AA331B"/>
    <w:rsid w:val="00AA4F95"/>
    <w:rsid w:val="00AA64D2"/>
    <w:rsid w:val="00AA678F"/>
    <w:rsid w:val="00AA7B90"/>
    <w:rsid w:val="00AB27C6"/>
    <w:rsid w:val="00AB2FDC"/>
    <w:rsid w:val="00AB43ED"/>
    <w:rsid w:val="00AC1749"/>
    <w:rsid w:val="00AC4F57"/>
    <w:rsid w:val="00AD0330"/>
    <w:rsid w:val="00AD6D59"/>
    <w:rsid w:val="00AE3F71"/>
    <w:rsid w:val="00AE5C03"/>
    <w:rsid w:val="00AE7D2C"/>
    <w:rsid w:val="00B01ECB"/>
    <w:rsid w:val="00B0284E"/>
    <w:rsid w:val="00B0766E"/>
    <w:rsid w:val="00B078D3"/>
    <w:rsid w:val="00B1079C"/>
    <w:rsid w:val="00B11FE0"/>
    <w:rsid w:val="00B13314"/>
    <w:rsid w:val="00B133F4"/>
    <w:rsid w:val="00B1344B"/>
    <w:rsid w:val="00B142D6"/>
    <w:rsid w:val="00B154A6"/>
    <w:rsid w:val="00B17378"/>
    <w:rsid w:val="00B21FA5"/>
    <w:rsid w:val="00B22229"/>
    <w:rsid w:val="00B22745"/>
    <w:rsid w:val="00B25AC1"/>
    <w:rsid w:val="00B25BBF"/>
    <w:rsid w:val="00B343E6"/>
    <w:rsid w:val="00B3657D"/>
    <w:rsid w:val="00B4127B"/>
    <w:rsid w:val="00B413DD"/>
    <w:rsid w:val="00B43FEE"/>
    <w:rsid w:val="00B45F26"/>
    <w:rsid w:val="00B50D6E"/>
    <w:rsid w:val="00B51477"/>
    <w:rsid w:val="00B51BC4"/>
    <w:rsid w:val="00B51E41"/>
    <w:rsid w:val="00B52152"/>
    <w:rsid w:val="00B52E63"/>
    <w:rsid w:val="00B616DA"/>
    <w:rsid w:val="00B66A93"/>
    <w:rsid w:val="00B74383"/>
    <w:rsid w:val="00B766ED"/>
    <w:rsid w:val="00B7791A"/>
    <w:rsid w:val="00B8044D"/>
    <w:rsid w:val="00B8172C"/>
    <w:rsid w:val="00B83F95"/>
    <w:rsid w:val="00B8540A"/>
    <w:rsid w:val="00B8680C"/>
    <w:rsid w:val="00B872FE"/>
    <w:rsid w:val="00B90B93"/>
    <w:rsid w:val="00B93AD3"/>
    <w:rsid w:val="00B9526C"/>
    <w:rsid w:val="00B959DD"/>
    <w:rsid w:val="00BA19E2"/>
    <w:rsid w:val="00BA20C9"/>
    <w:rsid w:val="00BA23F1"/>
    <w:rsid w:val="00BA57B5"/>
    <w:rsid w:val="00BB32FC"/>
    <w:rsid w:val="00BB3A0A"/>
    <w:rsid w:val="00BC177E"/>
    <w:rsid w:val="00BC3C31"/>
    <w:rsid w:val="00BC42D3"/>
    <w:rsid w:val="00BD090E"/>
    <w:rsid w:val="00BD1274"/>
    <w:rsid w:val="00BD3FD5"/>
    <w:rsid w:val="00BD40F7"/>
    <w:rsid w:val="00BE05BB"/>
    <w:rsid w:val="00BF1A4D"/>
    <w:rsid w:val="00BF5F61"/>
    <w:rsid w:val="00BF659A"/>
    <w:rsid w:val="00C022A8"/>
    <w:rsid w:val="00C032BD"/>
    <w:rsid w:val="00C067DC"/>
    <w:rsid w:val="00C071DD"/>
    <w:rsid w:val="00C078F1"/>
    <w:rsid w:val="00C07F29"/>
    <w:rsid w:val="00C10930"/>
    <w:rsid w:val="00C109CF"/>
    <w:rsid w:val="00C10B0C"/>
    <w:rsid w:val="00C15CC2"/>
    <w:rsid w:val="00C2028A"/>
    <w:rsid w:val="00C27290"/>
    <w:rsid w:val="00C30FB2"/>
    <w:rsid w:val="00C33A5D"/>
    <w:rsid w:val="00C34286"/>
    <w:rsid w:val="00C3452C"/>
    <w:rsid w:val="00C3621E"/>
    <w:rsid w:val="00C368F4"/>
    <w:rsid w:val="00C37490"/>
    <w:rsid w:val="00C401FD"/>
    <w:rsid w:val="00C40BF6"/>
    <w:rsid w:val="00C4138F"/>
    <w:rsid w:val="00C4239E"/>
    <w:rsid w:val="00C43979"/>
    <w:rsid w:val="00C44951"/>
    <w:rsid w:val="00C46089"/>
    <w:rsid w:val="00C464C9"/>
    <w:rsid w:val="00C500F7"/>
    <w:rsid w:val="00C50EAE"/>
    <w:rsid w:val="00C518AA"/>
    <w:rsid w:val="00C54E51"/>
    <w:rsid w:val="00C555C4"/>
    <w:rsid w:val="00C55714"/>
    <w:rsid w:val="00C56E63"/>
    <w:rsid w:val="00C65FD6"/>
    <w:rsid w:val="00C7266C"/>
    <w:rsid w:val="00C72856"/>
    <w:rsid w:val="00C7353D"/>
    <w:rsid w:val="00C77528"/>
    <w:rsid w:val="00C80E42"/>
    <w:rsid w:val="00C843E5"/>
    <w:rsid w:val="00C8637C"/>
    <w:rsid w:val="00C90E61"/>
    <w:rsid w:val="00C92914"/>
    <w:rsid w:val="00C92BB2"/>
    <w:rsid w:val="00C95452"/>
    <w:rsid w:val="00C95AF8"/>
    <w:rsid w:val="00C97B0A"/>
    <w:rsid w:val="00CA1935"/>
    <w:rsid w:val="00CA1E51"/>
    <w:rsid w:val="00CA1F6C"/>
    <w:rsid w:val="00CA230C"/>
    <w:rsid w:val="00CA3BC6"/>
    <w:rsid w:val="00CB18E8"/>
    <w:rsid w:val="00CB42F9"/>
    <w:rsid w:val="00CB4BB2"/>
    <w:rsid w:val="00CC1DCC"/>
    <w:rsid w:val="00CC208D"/>
    <w:rsid w:val="00CC5EBA"/>
    <w:rsid w:val="00CC687D"/>
    <w:rsid w:val="00CD1F78"/>
    <w:rsid w:val="00CD763C"/>
    <w:rsid w:val="00CD7854"/>
    <w:rsid w:val="00CE0765"/>
    <w:rsid w:val="00CE4B22"/>
    <w:rsid w:val="00CE4D9A"/>
    <w:rsid w:val="00CE7904"/>
    <w:rsid w:val="00CF72D5"/>
    <w:rsid w:val="00CF7C91"/>
    <w:rsid w:val="00D0533F"/>
    <w:rsid w:val="00D05444"/>
    <w:rsid w:val="00D06A28"/>
    <w:rsid w:val="00D07DB0"/>
    <w:rsid w:val="00D10AA9"/>
    <w:rsid w:val="00D11426"/>
    <w:rsid w:val="00D21A1E"/>
    <w:rsid w:val="00D25E73"/>
    <w:rsid w:val="00D30431"/>
    <w:rsid w:val="00D30506"/>
    <w:rsid w:val="00D360D3"/>
    <w:rsid w:val="00D4342F"/>
    <w:rsid w:val="00D435A8"/>
    <w:rsid w:val="00D44A98"/>
    <w:rsid w:val="00D450FF"/>
    <w:rsid w:val="00D52223"/>
    <w:rsid w:val="00D54BEF"/>
    <w:rsid w:val="00D658D1"/>
    <w:rsid w:val="00D65A7C"/>
    <w:rsid w:val="00D67E5F"/>
    <w:rsid w:val="00D700F9"/>
    <w:rsid w:val="00D709EE"/>
    <w:rsid w:val="00D713D1"/>
    <w:rsid w:val="00D734AA"/>
    <w:rsid w:val="00D73555"/>
    <w:rsid w:val="00D74062"/>
    <w:rsid w:val="00D74C90"/>
    <w:rsid w:val="00D7598D"/>
    <w:rsid w:val="00D763B1"/>
    <w:rsid w:val="00D8284E"/>
    <w:rsid w:val="00D82B51"/>
    <w:rsid w:val="00D861E8"/>
    <w:rsid w:val="00D91C69"/>
    <w:rsid w:val="00D94B7F"/>
    <w:rsid w:val="00D964DA"/>
    <w:rsid w:val="00DA0527"/>
    <w:rsid w:val="00DA6955"/>
    <w:rsid w:val="00DA7BE3"/>
    <w:rsid w:val="00DB18CD"/>
    <w:rsid w:val="00DB3C15"/>
    <w:rsid w:val="00DB46A8"/>
    <w:rsid w:val="00DB498E"/>
    <w:rsid w:val="00DB4BE6"/>
    <w:rsid w:val="00DB57F0"/>
    <w:rsid w:val="00DB58E5"/>
    <w:rsid w:val="00DB5FF6"/>
    <w:rsid w:val="00DB7A28"/>
    <w:rsid w:val="00DC2BCF"/>
    <w:rsid w:val="00DC4276"/>
    <w:rsid w:val="00DC5B6B"/>
    <w:rsid w:val="00DC63D7"/>
    <w:rsid w:val="00DD227D"/>
    <w:rsid w:val="00DD27EE"/>
    <w:rsid w:val="00DE21B9"/>
    <w:rsid w:val="00DE2BD8"/>
    <w:rsid w:val="00DF0182"/>
    <w:rsid w:val="00DF474B"/>
    <w:rsid w:val="00DF59FF"/>
    <w:rsid w:val="00DF6BA5"/>
    <w:rsid w:val="00DF6C54"/>
    <w:rsid w:val="00E006C3"/>
    <w:rsid w:val="00E1233F"/>
    <w:rsid w:val="00E167E6"/>
    <w:rsid w:val="00E168D7"/>
    <w:rsid w:val="00E16A2B"/>
    <w:rsid w:val="00E17FAA"/>
    <w:rsid w:val="00E22E43"/>
    <w:rsid w:val="00E267B0"/>
    <w:rsid w:val="00E27CF4"/>
    <w:rsid w:val="00E41124"/>
    <w:rsid w:val="00E43B1A"/>
    <w:rsid w:val="00E4404E"/>
    <w:rsid w:val="00E44556"/>
    <w:rsid w:val="00E4486C"/>
    <w:rsid w:val="00E45883"/>
    <w:rsid w:val="00E47746"/>
    <w:rsid w:val="00E47992"/>
    <w:rsid w:val="00E50CC5"/>
    <w:rsid w:val="00E52082"/>
    <w:rsid w:val="00E537D2"/>
    <w:rsid w:val="00E57AAD"/>
    <w:rsid w:val="00E57CB7"/>
    <w:rsid w:val="00E57DB3"/>
    <w:rsid w:val="00E60456"/>
    <w:rsid w:val="00E6148D"/>
    <w:rsid w:val="00E647B9"/>
    <w:rsid w:val="00E6657D"/>
    <w:rsid w:val="00E6666C"/>
    <w:rsid w:val="00E713C8"/>
    <w:rsid w:val="00E71A01"/>
    <w:rsid w:val="00E74240"/>
    <w:rsid w:val="00E74CB1"/>
    <w:rsid w:val="00E75CF6"/>
    <w:rsid w:val="00E80043"/>
    <w:rsid w:val="00E8081C"/>
    <w:rsid w:val="00E80F6C"/>
    <w:rsid w:val="00E82A87"/>
    <w:rsid w:val="00E83E35"/>
    <w:rsid w:val="00E85BD2"/>
    <w:rsid w:val="00E879DE"/>
    <w:rsid w:val="00E91868"/>
    <w:rsid w:val="00E92AA2"/>
    <w:rsid w:val="00E93AF4"/>
    <w:rsid w:val="00E94523"/>
    <w:rsid w:val="00E95E9C"/>
    <w:rsid w:val="00EA02BE"/>
    <w:rsid w:val="00EA6EBE"/>
    <w:rsid w:val="00EB1352"/>
    <w:rsid w:val="00EB4D59"/>
    <w:rsid w:val="00EC4E34"/>
    <w:rsid w:val="00ED6DFC"/>
    <w:rsid w:val="00EE04A9"/>
    <w:rsid w:val="00EE06AC"/>
    <w:rsid w:val="00EE1A4B"/>
    <w:rsid w:val="00EE3509"/>
    <w:rsid w:val="00EE478E"/>
    <w:rsid w:val="00EF0E30"/>
    <w:rsid w:val="00EF1A83"/>
    <w:rsid w:val="00EF1DFF"/>
    <w:rsid w:val="00EF4158"/>
    <w:rsid w:val="00F00808"/>
    <w:rsid w:val="00F01A15"/>
    <w:rsid w:val="00F035B7"/>
    <w:rsid w:val="00F05728"/>
    <w:rsid w:val="00F068BF"/>
    <w:rsid w:val="00F07F81"/>
    <w:rsid w:val="00F111D7"/>
    <w:rsid w:val="00F12004"/>
    <w:rsid w:val="00F12EC0"/>
    <w:rsid w:val="00F160D7"/>
    <w:rsid w:val="00F16736"/>
    <w:rsid w:val="00F175CF"/>
    <w:rsid w:val="00F20036"/>
    <w:rsid w:val="00F20F28"/>
    <w:rsid w:val="00F24100"/>
    <w:rsid w:val="00F25E33"/>
    <w:rsid w:val="00F27C8B"/>
    <w:rsid w:val="00F32079"/>
    <w:rsid w:val="00F32EE1"/>
    <w:rsid w:val="00F37A6B"/>
    <w:rsid w:val="00F413F1"/>
    <w:rsid w:val="00F41A05"/>
    <w:rsid w:val="00F50AFC"/>
    <w:rsid w:val="00F56F2B"/>
    <w:rsid w:val="00F600E4"/>
    <w:rsid w:val="00F66EC1"/>
    <w:rsid w:val="00F72579"/>
    <w:rsid w:val="00F773F9"/>
    <w:rsid w:val="00F8097A"/>
    <w:rsid w:val="00F819A9"/>
    <w:rsid w:val="00F8586C"/>
    <w:rsid w:val="00F86144"/>
    <w:rsid w:val="00F94205"/>
    <w:rsid w:val="00F94735"/>
    <w:rsid w:val="00F965C0"/>
    <w:rsid w:val="00FA2F88"/>
    <w:rsid w:val="00FA39CC"/>
    <w:rsid w:val="00FA5436"/>
    <w:rsid w:val="00FA58B5"/>
    <w:rsid w:val="00FA620C"/>
    <w:rsid w:val="00FA7C85"/>
    <w:rsid w:val="00FB0A8A"/>
    <w:rsid w:val="00FB3B06"/>
    <w:rsid w:val="00FB5B2E"/>
    <w:rsid w:val="00FD1103"/>
    <w:rsid w:val="00FD6000"/>
    <w:rsid w:val="00FD7BCF"/>
    <w:rsid w:val="00FE0E2C"/>
    <w:rsid w:val="00FE34DF"/>
    <w:rsid w:val="00FE73C5"/>
    <w:rsid w:val="00FE752C"/>
    <w:rsid w:val="00FF12D0"/>
    <w:rsid w:val="00FF558A"/>
    <w:rsid w:val="00FF7C61"/>
    <w:rsid w:val="04070FD7"/>
    <w:rsid w:val="04AD49AF"/>
    <w:rsid w:val="07E57F8A"/>
    <w:rsid w:val="09A901E7"/>
    <w:rsid w:val="09AA1EA3"/>
    <w:rsid w:val="09B47B48"/>
    <w:rsid w:val="0AB83E86"/>
    <w:rsid w:val="0B457729"/>
    <w:rsid w:val="0C5D6CB0"/>
    <w:rsid w:val="0C8B2BCB"/>
    <w:rsid w:val="0D58692E"/>
    <w:rsid w:val="0D6F1C6D"/>
    <w:rsid w:val="0F047AD5"/>
    <w:rsid w:val="10566193"/>
    <w:rsid w:val="113E1ECE"/>
    <w:rsid w:val="11590601"/>
    <w:rsid w:val="115D31EF"/>
    <w:rsid w:val="12D9586D"/>
    <w:rsid w:val="14F73442"/>
    <w:rsid w:val="15BB3FE0"/>
    <w:rsid w:val="161A2316"/>
    <w:rsid w:val="181F6FEE"/>
    <w:rsid w:val="1890264B"/>
    <w:rsid w:val="1A1B129F"/>
    <w:rsid w:val="1A482EDA"/>
    <w:rsid w:val="1ABC6140"/>
    <w:rsid w:val="1B7B1FFE"/>
    <w:rsid w:val="1C596267"/>
    <w:rsid w:val="1D4B15AF"/>
    <w:rsid w:val="1DE673AB"/>
    <w:rsid w:val="1E065D08"/>
    <w:rsid w:val="1F881C91"/>
    <w:rsid w:val="1F8A53A7"/>
    <w:rsid w:val="22661437"/>
    <w:rsid w:val="23155FF5"/>
    <w:rsid w:val="27F018C7"/>
    <w:rsid w:val="27F7735A"/>
    <w:rsid w:val="280C59D4"/>
    <w:rsid w:val="2A1C1D38"/>
    <w:rsid w:val="2B7820CD"/>
    <w:rsid w:val="2B7D1323"/>
    <w:rsid w:val="2BF45A41"/>
    <w:rsid w:val="2C6D0AC3"/>
    <w:rsid w:val="2D840453"/>
    <w:rsid w:val="301D1BA7"/>
    <w:rsid w:val="33B144DD"/>
    <w:rsid w:val="34195B0A"/>
    <w:rsid w:val="34FF30A8"/>
    <w:rsid w:val="36EA36F6"/>
    <w:rsid w:val="377C34BF"/>
    <w:rsid w:val="384C3ABA"/>
    <w:rsid w:val="3B027975"/>
    <w:rsid w:val="3B653D1E"/>
    <w:rsid w:val="3CE3374A"/>
    <w:rsid w:val="3D6873BC"/>
    <w:rsid w:val="417D7548"/>
    <w:rsid w:val="42A02256"/>
    <w:rsid w:val="4393335D"/>
    <w:rsid w:val="43AA6122"/>
    <w:rsid w:val="48EF052A"/>
    <w:rsid w:val="49646C15"/>
    <w:rsid w:val="4EBA7F34"/>
    <w:rsid w:val="50A2358F"/>
    <w:rsid w:val="51AC7161"/>
    <w:rsid w:val="51AF2A2C"/>
    <w:rsid w:val="54A46C00"/>
    <w:rsid w:val="55DB2445"/>
    <w:rsid w:val="57AB69E7"/>
    <w:rsid w:val="57B97182"/>
    <w:rsid w:val="585E0AFE"/>
    <w:rsid w:val="59DF3948"/>
    <w:rsid w:val="5C421161"/>
    <w:rsid w:val="5F0F3C40"/>
    <w:rsid w:val="60184B53"/>
    <w:rsid w:val="61F45016"/>
    <w:rsid w:val="623E7BBD"/>
    <w:rsid w:val="641F6B07"/>
    <w:rsid w:val="656B4D08"/>
    <w:rsid w:val="65A771B4"/>
    <w:rsid w:val="68AE46AB"/>
    <w:rsid w:val="68B4270D"/>
    <w:rsid w:val="6A366533"/>
    <w:rsid w:val="6A805665"/>
    <w:rsid w:val="6B992415"/>
    <w:rsid w:val="6CF406D1"/>
    <w:rsid w:val="6D335B0B"/>
    <w:rsid w:val="703219B2"/>
    <w:rsid w:val="70517456"/>
    <w:rsid w:val="71BC008E"/>
    <w:rsid w:val="723E1398"/>
    <w:rsid w:val="72A14A47"/>
    <w:rsid w:val="735D680B"/>
    <w:rsid w:val="73655BBF"/>
    <w:rsid w:val="7425434E"/>
    <w:rsid w:val="74964A72"/>
    <w:rsid w:val="791F22C6"/>
    <w:rsid w:val="7ACF29F8"/>
    <w:rsid w:val="7ADA0DE1"/>
    <w:rsid w:val="7FDB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1" w:name="heading 8"/>
    <w:lsdException w:qFormat="1" w:uiPriority="1"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1" w:name="Normal Indent"/>
    <w:lsdException w:uiPriority="1"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1" w:name="caption"/>
    <w:lsdException w:uiPriority="1" w:name="table of figures"/>
    <w:lsdException w:uiPriority="1" w:name="envelope address"/>
    <w:lsdException w:qFormat="1" w:uiPriority="99" w:semiHidden="0" w:name="envelope return"/>
    <w:lsdException w:uiPriority="1" w:name="footnote reference"/>
    <w:lsdException w:qFormat="1" w:uiPriority="0" w:semiHidden="0" w:name="annotation reference"/>
    <w:lsdException w:uiPriority="1" w:name="line number"/>
    <w:lsdException w:qFormat="1" w:unhideWhenUsed="0" w:uiPriority="99" w:semiHidden="0" w:name="page number"/>
    <w:lsdException w:uiPriority="1" w:name="endnote reference"/>
    <w:lsdException w:uiPriority="1" w:name="endnote text"/>
    <w:lsdException w:qFormat="1" w:unhideWhenUsed="0" w:uiPriority="0" w:name="table of authorities"/>
    <w:lsdException w:uiPriority="1" w:name="macro"/>
    <w:lsdException w:qFormat="1" w:unhideWhenUsed="0" w:uiPriority="0"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qFormat="1" w:unhideWhenUsed="0" w:uiPriority="0" w:semiHidden="0" w:name="HTML Preformatted"/>
    <w:lsdException w:uiPriority="1" w:name="HTML Sample"/>
    <w:lsdException w:uiPriority="1" w:name="HTML Typewriter"/>
    <w:lsdException w:uiPriority="1" w:name="HTML Variable"/>
    <w:lsdException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99" w:semiHidden="0" w:name="Balloon Text"/>
    <w:lsdException w:unhideWhenUsed="0" w:uiPriority="1"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04"/>
    <w:qFormat/>
    <w:uiPriority w:val="99"/>
    <w:pPr>
      <w:keepNext/>
      <w:keepLines/>
      <w:spacing w:before="340" w:after="330" w:line="578" w:lineRule="auto"/>
      <w:outlineLvl w:val="0"/>
    </w:pPr>
    <w:rPr>
      <w:b/>
      <w:bCs/>
      <w:kern w:val="44"/>
      <w:sz w:val="30"/>
      <w:szCs w:val="44"/>
    </w:rPr>
  </w:style>
  <w:style w:type="paragraph" w:styleId="4">
    <w:name w:val="heading 2"/>
    <w:basedOn w:val="1"/>
    <w:next w:val="1"/>
    <w:link w:val="108"/>
    <w:qFormat/>
    <w:uiPriority w:val="99"/>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107"/>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9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95"/>
    <w:qFormat/>
    <w:uiPriority w:val="0"/>
    <w:pPr>
      <w:keepNext/>
      <w:outlineLvl w:val="4"/>
    </w:pPr>
    <w:rPr>
      <w:rFonts w:ascii="宋体" w:hAnsi="Arial"/>
      <w:bCs/>
      <w:sz w:val="28"/>
      <w:szCs w:val="20"/>
    </w:rPr>
  </w:style>
  <w:style w:type="paragraph" w:styleId="8">
    <w:name w:val="heading 6"/>
    <w:basedOn w:val="1"/>
    <w:next w:val="1"/>
    <w:link w:val="94"/>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93"/>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2">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style>
  <w:style w:type="paragraph" w:styleId="10">
    <w:name w:val="toc 7"/>
    <w:basedOn w:val="1"/>
    <w:next w:val="1"/>
    <w:semiHidden/>
    <w:qFormat/>
    <w:uiPriority w:val="0"/>
    <w:pPr>
      <w:ind w:left="1260"/>
      <w:jc w:val="left"/>
    </w:pPr>
    <w:rPr>
      <w:szCs w:val="21"/>
    </w:rPr>
  </w:style>
  <w:style w:type="paragraph" w:styleId="11">
    <w:name w:val="table of authorities"/>
    <w:basedOn w:val="1"/>
    <w:next w:val="1"/>
    <w:semiHidden/>
    <w:qFormat/>
    <w:uiPriority w:val="0"/>
    <w:pPr>
      <w:ind w:left="420" w:leftChars="200"/>
    </w:pPr>
    <w:rPr>
      <w:szCs w:val="20"/>
    </w:rPr>
  </w:style>
  <w:style w:type="paragraph" w:styleId="12">
    <w:name w:val="index 8"/>
    <w:basedOn w:val="1"/>
    <w:next w:val="1"/>
    <w:semiHidden/>
    <w:qFormat/>
    <w:uiPriority w:val="0"/>
    <w:pPr>
      <w:ind w:left="1400" w:leftChars="1400"/>
    </w:pPr>
    <w:rPr>
      <w:szCs w:val="20"/>
    </w:rPr>
  </w:style>
  <w:style w:type="paragraph" w:styleId="13">
    <w:name w:val="index 5"/>
    <w:basedOn w:val="1"/>
    <w:next w:val="1"/>
    <w:semiHidden/>
    <w:qFormat/>
    <w:uiPriority w:val="0"/>
    <w:pPr>
      <w:ind w:left="800" w:leftChars="800"/>
    </w:pPr>
    <w:rPr>
      <w:szCs w:val="20"/>
    </w:rPr>
  </w:style>
  <w:style w:type="paragraph" w:styleId="14">
    <w:name w:val="Document Map"/>
    <w:basedOn w:val="1"/>
    <w:link w:val="99"/>
    <w:semiHidden/>
    <w:qFormat/>
    <w:uiPriority w:val="0"/>
    <w:pPr>
      <w:shd w:val="clear" w:color="auto" w:fill="000080"/>
    </w:pPr>
    <w:rPr>
      <w:szCs w:val="20"/>
    </w:rPr>
  </w:style>
  <w:style w:type="paragraph" w:styleId="15">
    <w:name w:val="toa heading"/>
    <w:basedOn w:val="1"/>
    <w:next w:val="1"/>
    <w:semiHidden/>
    <w:qFormat/>
    <w:uiPriority w:val="0"/>
    <w:pPr>
      <w:spacing w:before="120"/>
    </w:pPr>
    <w:rPr>
      <w:rFonts w:ascii="Arial" w:hAnsi="Arial"/>
      <w:b/>
      <w:bCs/>
      <w:szCs w:val="24"/>
    </w:rPr>
  </w:style>
  <w:style w:type="paragraph" w:styleId="16">
    <w:name w:val="annotation text"/>
    <w:basedOn w:val="1"/>
    <w:link w:val="101"/>
    <w:qFormat/>
    <w:uiPriority w:val="0"/>
    <w:pPr>
      <w:jc w:val="left"/>
    </w:pPr>
    <w:rPr>
      <w:szCs w:val="20"/>
    </w:rPr>
  </w:style>
  <w:style w:type="paragraph" w:styleId="17">
    <w:name w:val="index 6"/>
    <w:basedOn w:val="1"/>
    <w:next w:val="1"/>
    <w:semiHidden/>
    <w:qFormat/>
    <w:uiPriority w:val="0"/>
    <w:pPr>
      <w:ind w:left="1000" w:leftChars="1000"/>
    </w:pPr>
    <w:rPr>
      <w:szCs w:val="20"/>
    </w:rPr>
  </w:style>
  <w:style w:type="paragraph" w:styleId="18">
    <w:name w:val="Body Text 3"/>
    <w:basedOn w:val="1"/>
    <w:link w:val="103"/>
    <w:qFormat/>
    <w:uiPriority w:val="0"/>
    <w:rPr>
      <w:rFonts w:ascii="黑体" w:hAnsi="Arial" w:eastAsia="黑体"/>
      <w:b/>
      <w:sz w:val="28"/>
      <w:szCs w:val="20"/>
    </w:rPr>
  </w:style>
  <w:style w:type="paragraph" w:styleId="19">
    <w:name w:val="Body Text"/>
    <w:basedOn w:val="1"/>
    <w:link w:val="98"/>
    <w:qFormat/>
    <w:uiPriority w:val="0"/>
    <w:rPr>
      <w:rFonts w:ascii="宋体" w:hAnsi="Arial"/>
      <w:sz w:val="28"/>
      <w:szCs w:val="20"/>
    </w:rPr>
  </w:style>
  <w:style w:type="paragraph" w:styleId="20">
    <w:name w:val="Body Text Indent"/>
    <w:basedOn w:val="1"/>
    <w:next w:val="21"/>
    <w:link w:val="88"/>
    <w:qFormat/>
    <w:uiPriority w:val="0"/>
    <w:pPr>
      <w:ind w:firstLine="645"/>
    </w:pPr>
    <w:rPr>
      <w:rFonts w:ascii="楷体_GB2312" w:eastAsia="楷体_GB2312"/>
      <w:sz w:val="32"/>
      <w:szCs w:val="20"/>
    </w:rPr>
  </w:style>
  <w:style w:type="paragraph" w:styleId="21">
    <w:name w:val="envelope return"/>
    <w:basedOn w:val="1"/>
    <w:unhideWhenUsed/>
    <w:qFormat/>
    <w:uiPriority w:val="99"/>
    <w:pPr>
      <w:snapToGrid w:val="0"/>
    </w:pPr>
    <w:rPr>
      <w:rFonts w:ascii="Arial" w:hAnsi="Arial"/>
    </w:rPr>
  </w:style>
  <w:style w:type="paragraph" w:styleId="22">
    <w:name w:val="Block Text"/>
    <w:basedOn w:val="1"/>
    <w:qFormat/>
    <w:uiPriority w:val="99"/>
    <w:pPr>
      <w:spacing w:after="156"/>
    </w:pPr>
    <w:rPr>
      <w:rFonts w:ascii="宋体"/>
    </w:rPr>
  </w:style>
  <w:style w:type="paragraph" w:styleId="23">
    <w:name w:val="index 4"/>
    <w:basedOn w:val="1"/>
    <w:next w:val="1"/>
    <w:semiHidden/>
    <w:qFormat/>
    <w:uiPriority w:val="0"/>
    <w:pPr>
      <w:ind w:left="600" w:leftChars="600"/>
    </w:pPr>
    <w:rPr>
      <w:szCs w:val="20"/>
    </w:rPr>
  </w:style>
  <w:style w:type="paragraph" w:styleId="24">
    <w:name w:val="toc 5"/>
    <w:basedOn w:val="1"/>
    <w:next w:val="1"/>
    <w:semiHidden/>
    <w:qFormat/>
    <w:uiPriority w:val="0"/>
    <w:pPr>
      <w:ind w:left="840"/>
      <w:jc w:val="left"/>
    </w:pPr>
    <w:rPr>
      <w:szCs w:val="21"/>
    </w:rPr>
  </w:style>
  <w:style w:type="paragraph" w:styleId="25">
    <w:name w:val="toc 3"/>
    <w:basedOn w:val="1"/>
    <w:next w:val="1"/>
    <w:qFormat/>
    <w:uiPriority w:val="39"/>
    <w:pPr>
      <w:tabs>
        <w:tab w:val="right" w:leader="dot" w:pos="9403"/>
      </w:tabs>
      <w:spacing w:line="380" w:lineRule="exact"/>
      <w:ind w:left="420"/>
      <w:jc w:val="left"/>
    </w:pPr>
    <w:rPr>
      <w:i/>
      <w:iCs/>
      <w:szCs w:val="24"/>
    </w:rPr>
  </w:style>
  <w:style w:type="paragraph" w:styleId="26">
    <w:name w:val="Plain Text"/>
    <w:basedOn w:val="1"/>
    <w:link w:val="91"/>
    <w:qFormat/>
    <w:uiPriority w:val="0"/>
    <w:rPr>
      <w:rFonts w:ascii="宋体" w:hAnsi="Courier New"/>
      <w:szCs w:val="20"/>
    </w:rPr>
  </w:style>
  <w:style w:type="paragraph" w:styleId="27">
    <w:name w:val="toc 8"/>
    <w:basedOn w:val="1"/>
    <w:next w:val="1"/>
    <w:semiHidden/>
    <w:qFormat/>
    <w:uiPriority w:val="0"/>
    <w:pPr>
      <w:ind w:left="1470"/>
      <w:jc w:val="left"/>
    </w:pPr>
    <w:rPr>
      <w:szCs w:val="21"/>
    </w:rPr>
  </w:style>
  <w:style w:type="paragraph" w:styleId="28">
    <w:name w:val="index 3"/>
    <w:basedOn w:val="1"/>
    <w:next w:val="1"/>
    <w:semiHidden/>
    <w:qFormat/>
    <w:uiPriority w:val="0"/>
    <w:pPr>
      <w:ind w:left="400" w:leftChars="400"/>
    </w:pPr>
    <w:rPr>
      <w:szCs w:val="20"/>
    </w:rPr>
  </w:style>
  <w:style w:type="paragraph" w:styleId="29">
    <w:name w:val="Date"/>
    <w:basedOn w:val="1"/>
    <w:next w:val="1"/>
    <w:link w:val="84"/>
    <w:qFormat/>
    <w:uiPriority w:val="0"/>
    <w:rPr>
      <w:b/>
      <w:sz w:val="28"/>
      <w:szCs w:val="20"/>
    </w:rPr>
  </w:style>
  <w:style w:type="paragraph" w:styleId="30">
    <w:name w:val="Body Text Indent 2"/>
    <w:basedOn w:val="1"/>
    <w:link w:val="86"/>
    <w:qFormat/>
    <w:uiPriority w:val="0"/>
    <w:pPr>
      <w:ind w:left="630" w:firstLine="645"/>
    </w:pPr>
    <w:rPr>
      <w:rFonts w:ascii="Arial" w:hAnsi="Arial" w:eastAsia="仿宋_GB2312"/>
      <w:sz w:val="32"/>
      <w:szCs w:val="20"/>
    </w:rPr>
  </w:style>
  <w:style w:type="paragraph" w:styleId="31">
    <w:name w:val="Balloon Text"/>
    <w:basedOn w:val="1"/>
    <w:link w:val="109"/>
    <w:qFormat/>
    <w:uiPriority w:val="99"/>
    <w:rPr>
      <w:sz w:val="18"/>
      <w:szCs w:val="18"/>
    </w:rPr>
  </w:style>
  <w:style w:type="paragraph" w:styleId="32">
    <w:name w:val="footer"/>
    <w:basedOn w:val="1"/>
    <w:link w:val="92"/>
    <w:qFormat/>
    <w:uiPriority w:val="99"/>
    <w:pPr>
      <w:tabs>
        <w:tab w:val="center" w:pos="4153"/>
        <w:tab w:val="right" w:pos="8306"/>
      </w:tabs>
      <w:snapToGrid w:val="0"/>
      <w:jc w:val="left"/>
    </w:pPr>
    <w:rPr>
      <w:sz w:val="18"/>
      <w:szCs w:val="20"/>
    </w:rPr>
  </w:style>
  <w:style w:type="paragraph" w:styleId="33">
    <w:name w:val="header"/>
    <w:basedOn w:val="1"/>
    <w:link w:val="102"/>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spacing w:before="120" w:after="120"/>
      <w:jc w:val="left"/>
    </w:pPr>
    <w:rPr>
      <w:caps/>
      <w:szCs w:val="24"/>
    </w:rPr>
  </w:style>
  <w:style w:type="paragraph" w:styleId="35">
    <w:name w:val="toc 4"/>
    <w:basedOn w:val="1"/>
    <w:next w:val="1"/>
    <w:semiHidden/>
    <w:qFormat/>
    <w:uiPriority w:val="0"/>
    <w:pPr>
      <w:ind w:left="630"/>
      <w:jc w:val="left"/>
    </w:pPr>
    <w:rPr>
      <w:szCs w:val="21"/>
    </w:rPr>
  </w:style>
  <w:style w:type="paragraph" w:styleId="36">
    <w:name w:val="index heading"/>
    <w:basedOn w:val="1"/>
    <w:next w:val="37"/>
    <w:semiHidden/>
    <w:qFormat/>
    <w:uiPriority w:val="0"/>
    <w:rPr>
      <w:szCs w:val="20"/>
    </w:rPr>
  </w:style>
  <w:style w:type="paragraph" w:styleId="37">
    <w:name w:val="index 1"/>
    <w:basedOn w:val="1"/>
    <w:next w:val="1"/>
    <w:semiHidden/>
    <w:qFormat/>
    <w:uiPriority w:val="0"/>
    <w:pPr>
      <w:jc w:val="center"/>
    </w:pPr>
    <w:rPr>
      <w:rFonts w:ascii="仿宋_GB2312" w:eastAsia="仿宋_GB2312"/>
      <w:b/>
      <w:bCs/>
      <w:sz w:val="28"/>
      <w:szCs w:val="20"/>
    </w:rPr>
  </w:style>
  <w:style w:type="paragraph" w:styleId="38">
    <w:name w:val="toc 6"/>
    <w:basedOn w:val="1"/>
    <w:next w:val="1"/>
    <w:semiHidden/>
    <w:qFormat/>
    <w:uiPriority w:val="0"/>
    <w:pPr>
      <w:ind w:left="1050"/>
      <w:jc w:val="left"/>
    </w:pPr>
    <w:rPr>
      <w:szCs w:val="21"/>
    </w:rPr>
  </w:style>
  <w:style w:type="paragraph" w:styleId="39">
    <w:name w:val="Body Text Indent 3"/>
    <w:basedOn w:val="1"/>
    <w:link w:val="97"/>
    <w:qFormat/>
    <w:uiPriority w:val="0"/>
    <w:pPr>
      <w:ind w:firstLine="645"/>
    </w:pPr>
    <w:rPr>
      <w:rFonts w:ascii="仿宋_GB2312" w:hAnsi="Arial" w:eastAsia="仿宋_GB2312"/>
      <w:color w:val="000000"/>
      <w:sz w:val="30"/>
      <w:szCs w:val="20"/>
    </w:rPr>
  </w:style>
  <w:style w:type="paragraph" w:styleId="40">
    <w:name w:val="index 7"/>
    <w:basedOn w:val="1"/>
    <w:next w:val="1"/>
    <w:semiHidden/>
    <w:qFormat/>
    <w:uiPriority w:val="0"/>
    <w:pPr>
      <w:ind w:left="1200" w:leftChars="1200"/>
    </w:pPr>
    <w:rPr>
      <w:szCs w:val="20"/>
    </w:rPr>
  </w:style>
  <w:style w:type="paragraph" w:styleId="41">
    <w:name w:val="index 9"/>
    <w:basedOn w:val="1"/>
    <w:next w:val="1"/>
    <w:semiHidden/>
    <w:qFormat/>
    <w:uiPriority w:val="0"/>
    <w:pPr>
      <w:ind w:left="1600" w:leftChars="1600"/>
    </w:pPr>
    <w:rPr>
      <w:szCs w:val="20"/>
    </w:rPr>
  </w:style>
  <w:style w:type="paragraph" w:styleId="42">
    <w:name w:val="toc 2"/>
    <w:basedOn w:val="1"/>
    <w:next w:val="1"/>
    <w:qFormat/>
    <w:uiPriority w:val="39"/>
    <w:pPr>
      <w:tabs>
        <w:tab w:val="right" w:leader="dot" w:pos="9403"/>
      </w:tabs>
      <w:ind w:left="210"/>
      <w:jc w:val="left"/>
    </w:pPr>
    <w:rPr>
      <w:smallCaps/>
      <w:sz w:val="28"/>
      <w:szCs w:val="24"/>
    </w:rPr>
  </w:style>
  <w:style w:type="paragraph" w:styleId="43">
    <w:name w:val="toc 9"/>
    <w:basedOn w:val="1"/>
    <w:next w:val="1"/>
    <w:semiHidden/>
    <w:qFormat/>
    <w:uiPriority w:val="0"/>
    <w:pPr>
      <w:ind w:left="1680"/>
      <w:jc w:val="left"/>
    </w:pPr>
    <w:rPr>
      <w:szCs w:val="21"/>
    </w:rPr>
  </w:style>
  <w:style w:type="paragraph" w:styleId="44">
    <w:name w:val="Body Text 2"/>
    <w:basedOn w:val="1"/>
    <w:link w:val="85"/>
    <w:qFormat/>
    <w:uiPriority w:val="0"/>
    <w:rPr>
      <w:rFonts w:ascii="仿宋_GB2312" w:eastAsia="仿宋_GB2312"/>
      <w:b/>
      <w:sz w:val="24"/>
      <w:szCs w:val="20"/>
    </w:rPr>
  </w:style>
  <w:style w:type="paragraph" w:styleId="45">
    <w:name w:val="HTML Preformatted"/>
    <w:basedOn w:val="1"/>
    <w:link w:val="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7">
    <w:name w:val="index 2"/>
    <w:basedOn w:val="1"/>
    <w:next w:val="1"/>
    <w:semiHidden/>
    <w:qFormat/>
    <w:uiPriority w:val="0"/>
    <w:pPr>
      <w:ind w:left="200" w:leftChars="200"/>
    </w:pPr>
    <w:rPr>
      <w:szCs w:val="20"/>
    </w:rPr>
  </w:style>
  <w:style w:type="paragraph" w:styleId="48">
    <w:name w:val="annotation subject"/>
    <w:basedOn w:val="16"/>
    <w:next w:val="16"/>
    <w:link w:val="89"/>
    <w:unhideWhenUsed/>
    <w:qFormat/>
    <w:uiPriority w:val="99"/>
    <w:rPr>
      <w:b/>
      <w:bCs/>
      <w:szCs w:val="22"/>
    </w:rPr>
  </w:style>
  <w:style w:type="paragraph" w:styleId="49">
    <w:name w:val="Body Text First Indent"/>
    <w:basedOn w:val="1"/>
    <w:link w:val="110"/>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50">
    <w:name w:val="Body Text First Indent 2"/>
    <w:basedOn w:val="20"/>
    <w:unhideWhenUsed/>
    <w:qFormat/>
    <w:uiPriority w:val="0"/>
    <w:pPr>
      <w:spacing w:after="120"/>
      <w:ind w:left="420" w:leftChars="200" w:firstLine="420" w:firstLineChars="200"/>
    </w:pPr>
    <w:rPr>
      <w:rFonts w:ascii="Times New Roman" w:cstheme="minorBidi"/>
      <w:sz w:val="21"/>
      <w:szCs w:val="22"/>
    </w:rPr>
  </w:style>
  <w:style w:type="character" w:styleId="53">
    <w:name w:val="Strong"/>
    <w:qFormat/>
    <w:uiPriority w:val="99"/>
    <w:rPr>
      <w:b/>
      <w:bCs/>
    </w:rPr>
  </w:style>
  <w:style w:type="character" w:styleId="54">
    <w:name w:val="page number"/>
    <w:qFormat/>
    <w:uiPriority w:val="99"/>
  </w:style>
  <w:style w:type="character" w:styleId="55">
    <w:name w:val="FollowedHyperlink"/>
    <w:qFormat/>
    <w:uiPriority w:val="0"/>
    <w:rPr>
      <w:color w:val="800080"/>
      <w:u w:val="singl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unhideWhenUsed/>
    <w:qFormat/>
    <w:uiPriority w:val="0"/>
    <w:rPr>
      <w:sz w:val="21"/>
      <w:szCs w:val="21"/>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60">
    <w:name w:val="Char Char Char Char"/>
    <w:basedOn w:val="1"/>
    <w:qFormat/>
    <w:uiPriority w:val="0"/>
    <w:pPr>
      <w:widowControl/>
      <w:spacing w:after="160" w:line="240" w:lineRule="exact"/>
      <w:jc w:val="left"/>
    </w:pPr>
    <w:rPr>
      <w:kern w:val="0"/>
      <w:sz w:val="24"/>
      <w:szCs w:val="24"/>
    </w:rPr>
  </w:style>
  <w:style w:type="paragraph" w:customStyle="1" w:styleId="61">
    <w:name w:val="样式1"/>
    <w:basedOn w:val="1"/>
    <w:link w:val="100"/>
    <w:qFormat/>
    <w:uiPriority w:val="0"/>
    <w:pPr>
      <w:numPr>
        <w:ilvl w:val="0"/>
        <w:numId w:val="1"/>
      </w:numPr>
      <w:adjustRightInd w:val="0"/>
      <w:textAlignment w:val="baseline"/>
    </w:pPr>
    <w:rPr>
      <w:rFonts w:ascii="宋体" w:hAnsi="宋体"/>
      <w:kern w:val="0"/>
      <w:szCs w:val="20"/>
    </w:rPr>
  </w:style>
  <w:style w:type="paragraph" w:customStyle="1" w:styleId="62">
    <w:name w:val="一级标题"/>
    <w:basedOn w:val="1"/>
    <w:next w:val="63"/>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63">
    <w:name w:val="二级标题"/>
    <w:basedOn w:val="1"/>
    <w:next w:val="64"/>
    <w:qFormat/>
    <w:uiPriority w:val="0"/>
    <w:pPr>
      <w:numPr>
        <w:ilvl w:val="0"/>
        <w:numId w:val="2"/>
      </w:numPr>
      <w:tabs>
        <w:tab w:val="left" w:pos="992"/>
        <w:tab w:val="clear" w:pos="425"/>
      </w:tabs>
      <w:ind w:left="992" w:hanging="567"/>
      <w:outlineLvl w:val="1"/>
    </w:pPr>
    <w:rPr>
      <w:rFonts w:ascii="黑体" w:eastAsia="黑体"/>
      <w:sz w:val="28"/>
      <w:szCs w:val="24"/>
    </w:rPr>
  </w:style>
  <w:style w:type="paragraph" w:customStyle="1" w:styleId="64">
    <w:name w:val="文章正文"/>
    <w:basedOn w:val="1"/>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65">
    <w:name w:val="基本文字 Char"/>
    <w:basedOn w:val="1"/>
    <w:qFormat/>
    <w:uiPriority w:val="0"/>
    <w:pPr>
      <w:spacing w:before="156" w:line="400" w:lineRule="atLeast"/>
      <w:ind w:firstLine="540" w:firstLineChars="225"/>
    </w:pPr>
    <w:rPr>
      <w:sz w:val="24"/>
      <w:szCs w:val="20"/>
    </w:rPr>
  </w:style>
  <w:style w:type="paragraph" w:customStyle="1" w:styleId="66">
    <w:name w:val="D&amp;L"/>
    <w:basedOn w:val="33"/>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67">
    <w:name w:val="Char"/>
    <w:basedOn w:val="1"/>
    <w:qFormat/>
    <w:uiPriority w:val="0"/>
    <w:rPr>
      <w:rFonts w:ascii="Tahoma" w:hAnsi="Tahoma"/>
      <w:sz w:val="24"/>
      <w:szCs w:val="20"/>
    </w:rPr>
  </w:style>
  <w:style w:type="paragraph" w:customStyle="1" w:styleId="68">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69">
    <w:name w:val="Char Char Char Char Char Char Char1 Char"/>
    <w:basedOn w:val="1"/>
    <w:qFormat/>
    <w:uiPriority w:val="0"/>
    <w:rPr>
      <w:rFonts w:ascii="Tahoma" w:hAnsi="Tahoma"/>
      <w:sz w:val="24"/>
      <w:szCs w:val="20"/>
    </w:rPr>
  </w:style>
  <w:style w:type="paragraph" w:customStyle="1" w:styleId="7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71">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72">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73">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74">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7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7">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styleId="78">
    <w:name w:val="List Paragraph"/>
    <w:basedOn w:val="1"/>
    <w:qFormat/>
    <w:uiPriority w:val="0"/>
    <w:pPr>
      <w:ind w:firstLine="420" w:firstLineChars="200"/>
    </w:pPr>
  </w:style>
  <w:style w:type="paragraph" w:customStyle="1" w:styleId="7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8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81">
    <w:name w:val="p0"/>
    <w:basedOn w:val="1"/>
    <w:qFormat/>
    <w:uiPriority w:val="0"/>
    <w:pPr>
      <w:widowControl/>
    </w:pPr>
    <w:rPr>
      <w:kern w:val="0"/>
      <w:szCs w:val="21"/>
    </w:rPr>
  </w:style>
  <w:style w:type="paragraph" w:customStyle="1" w:styleId="82">
    <w:name w:val="SUR-需求定义-第4级"/>
    <w:basedOn w:val="6"/>
    <w:next w:val="1"/>
    <w:qFormat/>
    <w:uiPriority w:val="0"/>
    <w:pPr>
      <w:numPr>
        <w:ilvl w:val="3"/>
        <w:numId w:val="3"/>
      </w:numPr>
      <w:tabs>
        <w:tab w:val="left" w:pos="1080"/>
        <w:tab w:val="clear" w:pos="2934"/>
      </w:tabs>
      <w:spacing w:before="0" w:after="0"/>
      <w:ind w:left="-283" w:firstLine="283"/>
      <w:jc w:val="left"/>
    </w:pPr>
    <w:rPr>
      <w:rFonts w:cs="Arial"/>
      <w:b w:val="0"/>
      <w:color w:val="0000FF"/>
      <w:sz w:val="24"/>
      <w:szCs w:val="24"/>
    </w:rPr>
  </w:style>
  <w:style w:type="paragraph" w:customStyle="1" w:styleId="8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日期 字符"/>
    <w:link w:val="29"/>
    <w:qFormat/>
    <w:uiPriority w:val="0"/>
    <w:rPr>
      <w:rFonts w:ascii="Times New Roman" w:hAnsi="Times New Roman"/>
      <w:b/>
      <w:kern w:val="2"/>
      <w:sz w:val="28"/>
    </w:rPr>
  </w:style>
  <w:style w:type="character" w:customStyle="1" w:styleId="85">
    <w:name w:val="正文文本 2 字符"/>
    <w:link w:val="44"/>
    <w:qFormat/>
    <w:uiPriority w:val="0"/>
    <w:rPr>
      <w:rFonts w:ascii="仿宋_GB2312" w:hAnsi="Times New Roman" w:eastAsia="仿宋_GB2312"/>
      <w:b/>
      <w:kern w:val="2"/>
      <w:sz w:val="24"/>
    </w:rPr>
  </w:style>
  <w:style w:type="character" w:customStyle="1" w:styleId="86">
    <w:name w:val="正文文本缩进 2 字符"/>
    <w:link w:val="30"/>
    <w:qFormat/>
    <w:uiPriority w:val="0"/>
    <w:rPr>
      <w:rFonts w:ascii="Arial" w:hAnsi="Arial" w:eastAsia="仿宋_GB2312"/>
      <w:kern w:val="2"/>
      <w:sz w:val="32"/>
    </w:rPr>
  </w:style>
  <w:style w:type="character" w:customStyle="1" w:styleId="87">
    <w:name w:val="Char Char1"/>
    <w:qFormat/>
    <w:uiPriority w:val="99"/>
    <w:rPr>
      <w:rFonts w:cs="Times New Roman"/>
      <w:kern w:val="2"/>
      <w:sz w:val="18"/>
      <w:szCs w:val="18"/>
    </w:rPr>
  </w:style>
  <w:style w:type="character" w:customStyle="1" w:styleId="88">
    <w:name w:val="正文文本缩进 字符"/>
    <w:link w:val="20"/>
    <w:qFormat/>
    <w:uiPriority w:val="0"/>
    <w:rPr>
      <w:rFonts w:ascii="楷体_GB2312" w:hAnsi="Times New Roman" w:eastAsia="楷体_GB2312"/>
      <w:kern w:val="2"/>
      <w:sz w:val="32"/>
    </w:rPr>
  </w:style>
  <w:style w:type="character" w:customStyle="1" w:styleId="89">
    <w:name w:val="批注主题 字符"/>
    <w:link w:val="48"/>
    <w:semiHidden/>
    <w:qFormat/>
    <w:uiPriority w:val="99"/>
    <w:rPr>
      <w:rFonts w:ascii="Times New Roman" w:hAnsi="Times New Roman"/>
      <w:b/>
      <w:bCs/>
      <w:kern w:val="2"/>
      <w:sz w:val="21"/>
      <w:szCs w:val="22"/>
    </w:rPr>
  </w:style>
  <w:style w:type="character" w:customStyle="1" w:styleId="90">
    <w:name w:val="HTML 预设格式 字符"/>
    <w:link w:val="45"/>
    <w:qFormat/>
    <w:uiPriority w:val="0"/>
    <w:rPr>
      <w:rFonts w:ascii="Arial" w:hAnsi="Arial"/>
      <w:sz w:val="24"/>
      <w:szCs w:val="24"/>
    </w:rPr>
  </w:style>
  <w:style w:type="character" w:customStyle="1" w:styleId="91">
    <w:name w:val="纯文本 字符"/>
    <w:link w:val="26"/>
    <w:qFormat/>
    <w:locked/>
    <w:uiPriority w:val="0"/>
    <w:rPr>
      <w:rFonts w:ascii="宋体" w:hAnsi="Courier New"/>
      <w:kern w:val="2"/>
      <w:sz w:val="21"/>
    </w:rPr>
  </w:style>
  <w:style w:type="character" w:customStyle="1" w:styleId="92">
    <w:name w:val="页脚 字符"/>
    <w:link w:val="32"/>
    <w:qFormat/>
    <w:uiPriority w:val="99"/>
    <w:rPr>
      <w:rFonts w:ascii="Times New Roman" w:hAnsi="Times New Roman"/>
      <w:kern w:val="2"/>
      <w:sz w:val="18"/>
    </w:rPr>
  </w:style>
  <w:style w:type="character" w:customStyle="1" w:styleId="93">
    <w:name w:val="标题 7 字符"/>
    <w:link w:val="9"/>
    <w:qFormat/>
    <w:uiPriority w:val="0"/>
    <w:rPr>
      <w:rFonts w:ascii="Arial" w:hAnsi="Arial" w:eastAsia="仿宋_GB2312" w:cs="Arial"/>
      <w:b/>
      <w:bCs/>
      <w:spacing w:val="-4"/>
      <w:kern w:val="2"/>
      <w:sz w:val="24"/>
      <w:szCs w:val="24"/>
    </w:rPr>
  </w:style>
  <w:style w:type="character" w:customStyle="1" w:styleId="94">
    <w:name w:val="标题 6 字符"/>
    <w:link w:val="8"/>
    <w:qFormat/>
    <w:uiPriority w:val="0"/>
    <w:rPr>
      <w:rFonts w:ascii="宋体" w:hAnsi="宋体"/>
      <w:sz w:val="28"/>
    </w:rPr>
  </w:style>
  <w:style w:type="character" w:customStyle="1" w:styleId="95">
    <w:name w:val="标题 5 字符"/>
    <w:link w:val="7"/>
    <w:qFormat/>
    <w:uiPriority w:val="0"/>
    <w:rPr>
      <w:rFonts w:ascii="宋体" w:hAnsi="Arial"/>
      <w:bCs/>
      <w:kern w:val="2"/>
      <w:sz w:val="28"/>
    </w:rPr>
  </w:style>
  <w:style w:type="character" w:customStyle="1" w:styleId="96">
    <w:name w:val="标题 4 字符"/>
    <w:link w:val="6"/>
    <w:qFormat/>
    <w:uiPriority w:val="0"/>
    <w:rPr>
      <w:rFonts w:ascii="Arial" w:hAnsi="Arial" w:eastAsia="黑体"/>
      <w:b/>
      <w:bCs/>
      <w:kern w:val="2"/>
      <w:sz w:val="28"/>
      <w:szCs w:val="28"/>
    </w:rPr>
  </w:style>
  <w:style w:type="character" w:customStyle="1" w:styleId="97">
    <w:name w:val="正文文本缩进 3 字符"/>
    <w:link w:val="39"/>
    <w:qFormat/>
    <w:uiPriority w:val="0"/>
    <w:rPr>
      <w:rFonts w:ascii="仿宋_GB2312" w:hAnsi="Arial" w:eastAsia="仿宋_GB2312"/>
      <w:color w:val="000000"/>
      <w:kern w:val="2"/>
      <w:sz w:val="30"/>
    </w:rPr>
  </w:style>
  <w:style w:type="character" w:customStyle="1" w:styleId="98">
    <w:name w:val="正文文本 字符"/>
    <w:link w:val="19"/>
    <w:qFormat/>
    <w:uiPriority w:val="0"/>
    <w:rPr>
      <w:rFonts w:ascii="宋体" w:hAnsi="Arial"/>
      <w:kern w:val="2"/>
      <w:sz w:val="28"/>
    </w:rPr>
  </w:style>
  <w:style w:type="character" w:customStyle="1" w:styleId="99">
    <w:name w:val="文档结构图 字符"/>
    <w:link w:val="14"/>
    <w:semiHidden/>
    <w:qFormat/>
    <w:uiPriority w:val="0"/>
    <w:rPr>
      <w:rFonts w:ascii="Times New Roman" w:hAnsi="Times New Roman"/>
      <w:kern w:val="2"/>
      <w:sz w:val="21"/>
      <w:shd w:val="clear" w:color="auto" w:fill="000080"/>
    </w:rPr>
  </w:style>
  <w:style w:type="character" w:customStyle="1" w:styleId="100">
    <w:name w:val="样式1 Char Char"/>
    <w:link w:val="61"/>
    <w:qFormat/>
    <w:locked/>
    <w:uiPriority w:val="0"/>
    <w:rPr>
      <w:rFonts w:ascii="宋体" w:hAnsi="宋体"/>
      <w:sz w:val="21"/>
    </w:rPr>
  </w:style>
  <w:style w:type="character" w:customStyle="1" w:styleId="101">
    <w:name w:val="批注文字 字符"/>
    <w:link w:val="16"/>
    <w:qFormat/>
    <w:uiPriority w:val="0"/>
    <w:rPr>
      <w:rFonts w:ascii="Times New Roman" w:hAnsi="Times New Roman"/>
      <w:kern w:val="2"/>
      <w:sz w:val="21"/>
    </w:rPr>
  </w:style>
  <w:style w:type="character" w:customStyle="1" w:styleId="102">
    <w:name w:val="页眉 字符"/>
    <w:link w:val="33"/>
    <w:qFormat/>
    <w:uiPriority w:val="0"/>
    <w:rPr>
      <w:rFonts w:ascii="Times New Roman" w:hAnsi="Times New Roman"/>
      <w:kern w:val="2"/>
      <w:sz w:val="18"/>
    </w:rPr>
  </w:style>
  <w:style w:type="character" w:customStyle="1" w:styleId="103">
    <w:name w:val="正文文本 3 字符"/>
    <w:link w:val="18"/>
    <w:qFormat/>
    <w:uiPriority w:val="0"/>
    <w:rPr>
      <w:rFonts w:ascii="黑体" w:hAnsi="Arial" w:eastAsia="黑体"/>
      <w:b/>
      <w:kern w:val="2"/>
      <w:sz w:val="28"/>
    </w:rPr>
  </w:style>
  <w:style w:type="character" w:customStyle="1" w:styleId="104">
    <w:name w:val="标题 1 字符"/>
    <w:link w:val="3"/>
    <w:qFormat/>
    <w:uiPriority w:val="99"/>
    <w:rPr>
      <w:rFonts w:ascii="Times New Roman" w:hAnsi="Times New Roman"/>
      <w:b/>
      <w:bCs/>
      <w:kern w:val="44"/>
      <w:sz w:val="30"/>
      <w:szCs w:val="44"/>
    </w:rPr>
  </w:style>
  <w:style w:type="character" w:customStyle="1" w:styleId="105">
    <w:name w:val="Char Char"/>
    <w:qFormat/>
    <w:uiPriority w:val="99"/>
    <w:rPr>
      <w:rFonts w:cs="Times New Roman"/>
      <w:kern w:val="2"/>
      <w:sz w:val="18"/>
      <w:szCs w:val="18"/>
    </w:rPr>
  </w:style>
  <w:style w:type="character" w:customStyle="1" w:styleId="106">
    <w:name w:val="HTML 预设格式 Char1"/>
    <w:semiHidden/>
    <w:qFormat/>
    <w:uiPriority w:val="99"/>
    <w:rPr>
      <w:rFonts w:ascii="Courier New" w:hAnsi="Courier New" w:cs="Courier New"/>
      <w:kern w:val="2"/>
    </w:rPr>
  </w:style>
  <w:style w:type="character" w:customStyle="1" w:styleId="107">
    <w:name w:val="标题 3 字符"/>
    <w:link w:val="5"/>
    <w:qFormat/>
    <w:uiPriority w:val="0"/>
    <w:rPr>
      <w:rFonts w:ascii="宋体" w:hAnsi="Times New Roman"/>
      <w:b/>
      <w:bCs/>
      <w:kern w:val="2"/>
      <w:sz w:val="32"/>
      <w:szCs w:val="32"/>
    </w:rPr>
  </w:style>
  <w:style w:type="character" w:customStyle="1" w:styleId="108">
    <w:name w:val="标题 2 字符"/>
    <w:link w:val="4"/>
    <w:qFormat/>
    <w:uiPriority w:val="99"/>
    <w:rPr>
      <w:rFonts w:ascii="Arial" w:hAnsi="Arial" w:eastAsia="黑体"/>
      <w:b/>
      <w:bCs/>
      <w:kern w:val="2"/>
      <w:sz w:val="32"/>
      <w:szCs w:val="32"/>
    </w:rPr>
  </w:style>
  <w:style w:type="character" w:customStyle="1" w:styleId="109">
    <w:name w:val="批注框文本 字符"/>
    <w:link w:val="31"/>
    <w:semiHidden/>
    <w:qFormat/>
    <w:uiPriority w:val="99"/>
    <w:rPr>
      <w:rFonts w:ascii="Times New Roman" w:hAnsi="Times New Roman"/>
      <w:kern w:val="2"/>
      <w:sz w:val="18"/>
      <w:szCs w:val="18"/>
    </w:rPr>
  </w:style>
  <w:style w:type="character" w:customStyle="1" w:styleId="110">
    <w:name w:val="正文首行缩进 字符"/>
    <w:link w:val="49"/>
    <w:qFormat/>
    <w:uiPriority w:val="0"/>
    <w:rPr>
      <w:rFonts w:ascii="Arial" w:hAnsi="Arial" w:eastAsia="仿宋_GB2312" w:cs="Arial"/>
      <w:kern w:val="2"/>
      <w:sz w:val="24"/>
      <w:szCs w:val="32"/>
    </w:rPr>
  </w:style>
  <w:style w:type="character" w:customStyle="1" w:styleId="111">
    <w:name w:val="纯文本 Char"/>
    <w:semiHidden/>
    <w:qFormat/>
    <w:uiPriority w:val="99"/>
    <w:rPr>
      <w:rFonts w:ascii="宋体" w:hAnsi="Courier New" w:cs="Courier New"/>
      <w:kern w:val="2"/>
      <w:sz w:val="21"/>
      <w:szCs w:val="21"/>
    </w:rPr>
  </w:style>
  <w:style w:type="paragraph" w:customStyle="1" w:styleId="112">
    <w:name w:val="列出段落1"/>
    <w:basedOn w:val="1"/>
    <w:qFormat/>
    <w:uiPriority w:val="0"/>
    <w:pPr>
      <w:ind w:firstLine="420" w:firstLineChars="200"/>
    </w:pPr>
  </w:style>
  <w:style w:type="paragraph" w:customStyle="1" w:styleId="113">
    <w:name w:val="Normal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5DE16C-B89E-49C1-B451-5BAC12B471C7}">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45</Pages>
  <Words>19732</Words>
  <Characters>20645</Characters>
  <Lines>227</Lines>
  <Paragraphs>64</Paragraphs>
  <TotalTime>134</TotalTime>
  <ScaleCrop>false</ScaleCrop>
  <LinksUpToDate>false</LinksUpToDate>
  <CharactersWithSpaces>28460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2020-10-27T00:59:00Z</dcterms:created>
  <dc:creator>越友中</dc:creator>
  <cp:lastModifiedBy>Lilian·聂</cp:lastModifiedBy>
  <cp:lastPrinted>2019-06-21T00:52:00Z</cp:lastPrinted>
  <dcterms:modified xsi:type="dcterms:W3CDTF">2022-05-05T01:06:37Z</dcterms:modified>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6535C52D95FF4A15B11C8F9430605FF8</vt:lpwstr>
  </property>
</Properties>
</file>