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Pr>
        <w:jc w:val="center"/>
      </w:pPr>
    </w:p>
    <w:p>
      <w:pPr>
        <w:jc w:val="center"/>
      </w:pPr>
    </w:p>
    <w:p>
      <w:pPr>
        <w:jc w:val="center"/>
      </w:pPr>
    </w:p>
    <w:p>
      <w:pPr>
        <w:jc w:val="center"/>
      </w:pPr>
    </w:p>
    <w:p>
      <w:pPr>
        <w:jc w:val="center"/>
      </w:pPr>
    </w:p>
    <w:p>
      <w:pPr>
        <w:jc w:val="center"/>
      </w:pPr>
    </w:p>
    <w:p>
      <w:pPr>
        <w:jc w:val="center"/>
      </w:pPr>
      <w: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spacing w:line="500" w:lineRule="exact"/>
        <w:ind w:left="1806" w:hanging="1806" w:hangingChars="500"/>
        <w:rPr>
          <w:rFonts w:ascii="Times New Roman" w:hAnsi="Times New Roman" w:cs="Times New Roman" w:eastAsiaTheme="minorEastAsia"/>
          <w:b/>
          <w:spacing w:val="20"/>
          <w:sz w:val="32"/>
          <w:szCs w:val="32"/>
          <w:u w:val="single"/>
        </w:rPr>
      </w:pPr>
      <w:r>
        <w:rPr>
          <w:rFonts w:hint="eastAsia"/>
          <w:b/>
          <w:spacing w:val="20"/>
          <w:sz w:val="32"/>
          <w:szCs w:val="32"/>
        </w:rPr>
        <w:t>项目名称：</w:t>
      </w:r>
      <w:r>
        <w:rPr>
          <w:rFonts w:hint="eastAsia" w:ascii="Times New Roman" w:hAnsi="Times New Roman" w:cs="Times New Roman" w:eastAsiaTheme="minorEastAsia"/>
          <w:b/>
          <w:spacing w:val="20"/>
          <w:sz w:val="32"/>
          <w:szCs w:val="32"/>
          <w:u w:val="single"/>
        </w:rPr>
        <w:t>风险评估和安全生产应急预案编制</w:t>
      </w:r>
      <w:r>
        <w:rPr>
          <w:rFonts w:hint="eastAsia" w:ascii="Times New Roman" w:hAnsi="Times New Roman" w:cs="Times New Roman"/>
          <w:b/>
          <w:spacing w:val="20"/>
          <w:sz w:val="32"/>
          <w:szCs w:val="32"/>
          <w:u w:val="single"/>
        </w:rPr>
        <w:t>服务</w:t>
      </w:r>
    </w:p>
    <w:p>
      <w:pPr>
        <w:spacing w:line="500" w:lineRule="exact"/>
        <w:rPr>
          <w:b/>
          <w:spacing w:val="20"/>
          <w:sz w:val="32"/>
          <w:szCs w:val="32"/>
          <w:u w:val="single"/>
        </w:rPr>
      </w:pPr>
      <w:r>
        <w:rPr>
          <w:rFonts w:hint="eastAsia"/>
          <w:b/>
          <w:spacing w:val="20"/>
          <w:sz w:val="32"/>
          <w:szCs w:val="32"/>
        </w:rPr>
        <w:t>项目编号：</w:t>
      </w:r>
      <w:r>
        <w:rPr>
          <w:rFonts w:hint="eastAsia"/>
          <w:b/>
          <w:spacing w:val="20"/>
          <w:sz w:val="32"/>
          <w:szCs w:val="32"/>
          <w:u w:val="single"/>
        </w:rPr>
        <w:t>2024WLYDZB00020号</w:t>
      </w:r>
    </w:p>
    <w:p>
      <w:pPr>
        <w:spacing w:line="500" w:lineRule="exact"/>
        <w:rPr>
          <w:b/>
          <w:spacing w:val="20"/>
          <w:sz w:val="32"/>
          <w:szCs w:val="32"/>
          <w:u w:val="single"/>
        </w:rPr>
      </w:pPr>
      <w:r>
        <w:rPr>
          <w:rFonts w:hint="eastAsia"/>
          <w:b/>
          <w:spacing w:val="20"/>
          <w:sz w:val="32"/>
          <w:szCs w:val="32"/>
        </w:rPr>
        <w:t>招 标 人：</w:t>
      </w:r>
      <w:r>
        <w:rPr>
          <w:rFonts w:hint="eastAsia"/>
          <w:b/>
          <w:spacing w:val="20"/>
          <w:sz w:val="32"/>
          <w:szCs w:val="32"/>
          <w:u w:val="single"/>
        </w:rPr>
        <w:t>合肥文旅博览集团野生动物园管理有限公司</w:t>
      </w:r>
    </w:p>
    <w:p>
      <w:pPr>
        <w:spacing w:line="500" w:lineRule="exact"/>
        <w:ind w:firstLine="723" w:firstLineChars="200"/>
        <w:rPr>
          <w:b/>
          <w:spacing w:val="20"/>
          <w:sz w:val="32"/>
          <w:szCs w:val="32"/>
        </w:rPr>
      </w:pPr>
    </w:p>
    <w:p/>
    <w:p/>
    <w:p/>
    <w:p/>
    <w:p/>
    <w:p>
      <w:pPr>
        <w:pStyle w:val="55"/>
        <w:ind w:left="400" w:firstLine="0"/>
        <w:jc w:val="center"/>
      </w:pPr>
      <w:r>
        <w:rPr>
          <w:rFonts w:eastAsiaTheme="majorEastAsia"/>
          <w:b/>
          <w:sz w:val="36"/>
          <w:u w:val="single"/>
        </w:rPr>
        <w:t xml:space="preserve">  </w:t>
      </w:r>
      <w:r>
        <w:rPr>
          <w:rFonts w:hint="eastAsia" w:eastAsiaTheme="majorEastAsia"/>
          <w:b/>
          <w:sz w:val="36"/>
          <w:u w:val="single"/>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rPr>
        <w:t>5</w:t>
      </w:r>
      <w:r>
        <w:rPr>
          <w:rFonts w:eastAsiaTheme="majorEastAsia"/>
          <w:b/>
          <w:sz w:val="36"/>
          <w:u w:val="single"/>
        </w:rPr>
        <w:t xml:space="preserve">  </w:t>
      </w:r>
      <w:r>
        <w:rPr>
          <w:rFonts w:eastAsiaTheme="majorEastAsia"/>
          <w:b/>
          <w:sz w:val="36"/>
        </w:rPr>
        <w:t>月</w:t>
      </w:r>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"_Toc7536" </w:instrText>
      </w:r>
      <w: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fldChar w:fldCharType="begin"/>
      </w:r>
      <w:r>
        <w:instrText xml:space="preserve"> HYPERLINK \l "_Toc12504" </w:instrText>
      </w:r>
      <w: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pPr>
        <w:pStyle w:val="35"/>
        <w:tabs>
          <w:tab w:val="right" w:leader="middleDot" w:pos="8869"/>
        </w:tabs>
        <w:rPr>
          <w:b/>
          <w:bCs/>
        </w:rPr>
      </w:pPr>
      <w:r>
        <w:fldChar w:fldCharType="begin"/>
      </w:r>
      <w:r>
        <w:instrText xml:space="preserve"> HYPERLINK \l "_Toc31311" </w:instrText>
      </w:r>
      <w: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pPr>
        <w:pStyle w:val="35"/>
        <w:tabs>
          <w:tab w:val="right" w:leader="middleDot" w:pos="8869"/>
        </w:tabs>
        <w:rPr>
          <w:b/>
          <w:bCs/>
        </w:rPr>
      </w:pPr>
      <w:r>
        <w:fldChar w:fldCharType="begin"/>
      </w:r>
      <w:r>
        <w:instrText xml:space="preserve"> HYPERLINK \l "_Toc14801" </w:instrText>
      </w:r>
      <w: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13</w:t>
      </w:r>
      <w:r>
        <w:rPr>
          <w:b/>
          <w:bCs/>
        </w:rPr>
        <w:fldChar w:fldCharType="end"/>
      </w:r>
      <w:r>
        <w:rPr>
          <w:b/>
          <w:bCs/>
        </w:rPr>
        <w:fldChar w:fldCharType="end"/>
      </w:r>
    </w:p>
    <w:p>
      <w:pPr>
        <w:pStyle w:val="35"/>
        <w:tabs>
          <w:tab w:val="right" w:leader="middleDot" w:pos="8869"/>
        </w:tabs>
        <w:rPr>
          <w:b/>
          <w:bCs/>
        </w:rPr>
      </w:pPr>
      <w:r>
        <w:fldChar w:fldCharType="begin"/>
      </w:r>
      <w:r>
        <w:instrText xml:space="preserve"> HYPERLINK \l "_Toc29765" </w:instrText>
      </w:r>
      <w: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pPr>
        <w:pStyle w:val="35"/>
        <w:tabs>
          <w:tab w:val="right" w:leader="middleDot" w:pos="8869"/>
        </w:tabs>
        <w:rPr>
          <w:b/>
          <w:bCs/>
        </w:rPr>
      </w:pPr>
      <w:r>
        <w:fldChar w:fldCharType="begin"/>
      </w:r>
      <w:r>
        <w:instrText xml:space="preserve"> HYPERLINK \l "_Toc1367" </w:instrText>
      </w:r>
      <w: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23</w:t>
      </w:r>
      <w:r>
        <w:rPr>
          <w:b/>
          <w:bCs/>
        </w:rPr>
        <w:fldChar w:fldCharType="end"/>
      </w:r>
      <w:r>
        <w:rPr>
          <w:b/>
          <w:bCs/>
        </w:rPr>
        <w:fldChar w:fldCharType="end"/>
      </w:r>
    </w:p>
    <w:p>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pPr>
        <w:spacing w:line="500" w:lineRule="exact"/>
        <w:ind w:firstLine="420" w:firstLineChars="200"/>
        <w:rPr>
          <w:rFonts w:asciiTheme="majorEastAsia" w:hAnsiTheme="majorEastAsia" w:eastAsiaTheme="majorEastAsia" w:cstheme="majorEastAsia"/>
          <w:sz w:val="21"/>
          <w:szCs w:val="21"/>
        </w:rPr>
      </w:pPr>
      <w:bookmarkStart w:id="3" w:name="_Toc1708"/>
      <w:r>
        <w:rPr>
          <w:rFonts w:ascii="Times New Roman" w:hAnsi="Times New Roman" w:cs="Times New Roman"/>
          <w:bCs/>
          <w:color w:val="000000"/>
          <w:sz w:val="21"/>
          <w:szCs w:val="21"/>
          <w:u w:val="single"/>
        </w:rPr>
        <w:t xml:space="preserve">  </w:t>
      </w:r>
      <w:r>
        <w:rPr>
          <w:rFonts w:hint="eastAsia" w:asciiTheme="majorEastAsia" w:hAnsiTheme="majorEastAsia" w:eastAsiaTheme="majorEastAsia" w:cstheme="majorEastAsia"/>
          <w:sz w:val="21"/>
          <w:szCs w:val="21"/>
          <w:u w:val="single"/>
        </w:rPr>
        <w:t>合肥文旅博览集团野生动物园管理有限公司</w:t>
      </w:r>
      <w:r>
        <w:rPr>
          <w:rFonts w:hint="eastAsia" w:asciiTheme="majorEastAsia" w:hAnsiTheme="majorEastAsia" w:eastAsiaTheme="majorEastAsia" w:cstheme="majorEastAsia"/>
          <w:sz w:val="21"/>
          <w:szCs w:val="21"/>
        </w:rPr>
        <w:t xml:space="preserve">  （简称“招标人”）现对 </w:t>
      </w:r>
      <w:r>
        <w:rPr>
          <w:rFonts w:hint="eastAsia" w:asciiTheme="majorEastAsia" w:hAnsiTheme="majorEastAsia" w:eastAsiaTheme="majorEastAsia" w:cstheme="majorEastAsia"/>
          <w:sz w:val="21"/>
          <w:szCs w:val="21"/>
          <w:u w:val="single"/>
        </w:rPr>
        <w:t xml:space="preserve">风险评估和安全生产应急预案编制服务 </w:t>
      </w:r>
      <w:r>
        <w:rPr>
          <w:rFonts w:hint="eastAsia" w:asciiTheme="majorEastAsia" w:hAnsiTheme="majorEastAsia" w:eastAsiaTheme="majorEastAsia" w:cstheme="majorEastAsia"/>
          <w:sz w:val="21"/>
          <w:szCs w:val="21"/>
        </w:rPr>
        <w:t>进行竞价，欢迎具备条件的投标人参加投标。</w:t>
      </w:r>
    </w:p>
    <w:p>
      <w:pPr>
        <w:spacing w:line="500" w:lineRule="exact"/>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一、项目名称及内容</w:t>
      </w:r>
      <w:bookmarkEnd w:id="3"/>
    </w:p>
    <w:p>
      <w:pPr>
        <w:spacing w:line="500" w:lineRule="exact"/>
        <w:ind w:firstLine="420" w:firstLineChars="200"/>
        <w:rPr>
          <w:rFonts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2024WLYDZB00020号</w:t>
      </w:r>
    </w:p>
    <w:p>
      <w:pPr>
        <w:spacing w:line="500" w:lineRule="exact"/>
        <w:ind w:firstLine="420" w:firstLineChars="200"/>
        <w:rPr>
          <w:rFonts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rPr>
        <w:t>风险评估和安全生产应急预案编制服务</w:t>
      </w:r>
    </w:p>
    <w:p>
      <w:pPr>
        <w:spacing w:line="500" w:lineRule="exact"/>
        <w:ind w:firstLine="420" w:firstLineChars="200"/>
        <w:rPr>
          <w:rFonts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rPr>
        <w:t>3.项目地点：</w:t>
      </w:r>
      <w:r>
        <w:rPr>
          <w:rFonts w:hint="eastAsia" w:asciiTheme="majorEastAsia" w:hAnsiTheme="majorEastAsia" w:eastAsiaTheme="majorEastAsia" w:cstheme="majorEastAsia"/>
          <w:sz w:val="21"/>
          <w:szCs w:val="21"/>
          <w:u w:val="single"/>
        </w:rPr>
        <w:t xml:space="preserve"> 合肥野生动物园 </w:t>
      </w:r>
    </w:p>
    <w:p>
      <w:pPr>
        <w:spacing w:line="500" w:lineRule="exact"/>
        <w:ind w:firstLine="420" w:firstLineChars="200"/>
        <w:rPr>
          <w:rFonts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rPr>
        <w:t>合肥文旅博览集团野生动物园管理有限公司</w:t>
      </w:r>
    </w:p>
    <w:p>
      <w:pPr>
        <w:spacing w:line="500" w:lineRule="exact"/>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heme="majorEastAsia" w:hAnsiTheme="majorEastAsia" w:eastAsiaTheme="majorEastAsia" w:cstheme="majorEastAsia"/>
          <w:sz w:val="21"/>
          <w:szCs w:val="21"/>
          <w:u w:val="single"/>
        </w:rPr>
        <w:t>风险评估和安全生产应急预案编制备案</w:t>
      </w:r>
    </w:p>
    <w:p>
      <w:pPr>
        <w:spacing w:line="500" w:lineRule="exact"/>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heme="majorEastAsia" w:hAnsiTheme="majorEastAsia" w:eastAsiaTheme="majorEastAsia" w:cstheme="majorEastAsia"/>
          <w:sz w:val="21"/>
          <w:szCs w:val="21"/>
          <w:u w:val="single"/>
        </w:rPr>
        <w:t xml:space="preserve">  自筹    </w:t>
      </w:r>
    </w:p>
    <w:p>
      <w:pPr>
        <w:spacing w:line="500" w:lineRule="exact"/>
        <w:ind w:firstLine="420" w:firstLineChars="200"/>
        <w:rPr>
          <w:rFonts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rPr>
        <w:t>7.项目预算：</w:t>
      </w:r>
      <w:r>
        <w:rPr>
          <w:rFonts w:hint="eastAsia" w:asciiTheme="majorEastAsia" w:hAnsiTheme="majorEastAsia" w:eastAsiaTheme="majorEastAsia" w:cstheme="majorEastAsia"/>
          <w:sz w:val="21"/>
          <w:szCs w:val="21"/>
          <w:u w:val="single"/>
        </w:rPr>
        <w:t xml:space="preserve">  4万元    </w:t>
      </w:r>
    </w:p>
    <w:p>
      <w:pPr>
        <w:spacing w:line="500" w:lineRule="exact"/>
        <w:ind w:firstLine="420" w:firstLineChars="200"/>
        <w:rPr>
          <w:rFonts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rPr>
        <w:t>8.项目类别：</w:t>
      </w:r>
      <w:r>
        <w:rPr>
          <w:rFonts w:hint="eastAsia" w:asciiTheme="majorEastAsia" w:hAnsiTheme="majorEastAsia" w:eastAsiaTheme="majorEastAsia" w:cstheme="majorEastAsia"/>
          <w:sz w:val="21"/>
          <w:szCs w:val="21"/>
          <w:u w:val="single"/>
        </w:rPr>
        <w:t xml:space="preserve">  服务类   </w:t>
      </w:r>
    </w:p>
    <w:p>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spacing w:line="360" w:lineRule="auto"/>
        <w:ind w:firstLine="420" w:firstLineChars="200"/>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2.投标人为合肥市应急管理局备案的安全评价与检验检测机构库成员。</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3.本项目不接受联合体投标。</w:t>
      </w:r>
    </w:p>
    <w:p>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rPr>
        <w:t>12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rPr>
        <w:t>14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spacing w:line="500" w:lineRule="exact"/>
        <w:ind w:firstLine="420" w:firstLineChars="200"/>
        <w:rPr>
          <w:rFonts w:ascii="Times New Roman" w:hAnsi="Times New Roman" w:cs="Times New Roman" w:eastAsiaTheme="majorEastAsia"/>
          <w:sz w:val="21"/>
          <w:szCs w:val="21"/>
          <w:u w:val="single"/>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竞价文件</w:t>
      </w:r>
      <w:r>
        <w:rPr>
          <w:rFonts w:ascii="Times New Roman" w:hAnsi="Times New Roman" w:cs="Times New Roman" w:eastAsiaTheme="majorEastAsia"/>
          <w:sz w:val="21"/>
          <w:szCs w:val="21"/>
        </w:rPr>
        <w:t>获取方式：</w:t>
      </w:r>
      <w:r>
        <w:rPr>
          <w:rFonts w:ascii="Times New Roman" w:hAnsi="Times New Roman" w:cs="Times New Roman" w:eastAsiaTheme="majorEastAsia"/>
          <w:sz w:val="21"/>
          <w:szCs w:val="21"/>
          <w:u w:val="single"/>
        </w:rPr>
        <w:t>投标人登录合肥文旅博览集团有限公司网站（http://www.zwzcgl.com）下载</w:t>
      </w:r>
      <w:r>
        <w:rPr>
          <w:rFonts w:hint="eastAsia" w:ascii="Times New Roman" w:hAnsi="Times New Roman" w:cs="Times New Roman" w:eastAsiaTheme="majorEastAsia"/>
          <w:sz w:val="21"/>
          <w:szCs w:val="21"/>
          <w:u w:val="single"/>
        </w:rPr>
        <w:t>竞价</w:t>
      </w:r>
      <w:r>
        <w:rPr>
          <w:rFonts w:ascii="Times New Roman" w:hAnsi="Times New Roman" w:cs="Times New Roman" w:eastAsiaTheme="majorEastAsia"/>
          <w:sz w:val="21"/>
          <w:szCs w:val="21"/>
          <w:u w:val="single"/>
        </w:rPr>
        <w:t>文件</w:t>
      </w:r>
    </w:p>
    <w:p>
      <w:pPr>
        <w:widowControl/>
        <w:spacing w:line="500" w:lineRule="exact"/>
        <w:ind w:firstLine="420" w:firstLineChars="200"/>
        <w:jc w:val="left"/>
        <w:rPr>
          <w:rFonts w:ascii="Times New Roman" w:hAnsi="Times New Roman" w:cs="Times New Roman"/>
          <w:bCs/>
          <w:snapToGrid w:val="0"/>
          <w:sz w:val="21"/>
          <w:u w:val="single"/>
        </w:rPr>
      </w:pPr>
      <w:r>
        <w:rPr>
          <w:rFonts w:ascii="Times New Roman" w:hAnsi="Times New Roman" w:cs="Times New Roman" w:eastAsiaTheme="majorEastAsia"/>
          <w:sz w:val="21"/>
          <w:szCs w:val="21"/>
        </w:rPr>
        <w:t>3.</w:t>
      </w:r>
      <w:r>
        <w:rPr>
          <w:rFonts w:ascii="Times New Roman" w:hAnsi="Times New Roman" w:cs="Times New Roman"/>
          <w:bCs/>
          <w:snapToGrid w:val="0"/>
          <w:sz w:val="21"/>
        </w:rPr>
        <w:t>报名方法：</w:t>
      </w:r>
      <w:r>
        <w:rPr>
          <w:rFonts w:ascii="Times New Roman" w:hAnsi="Times New Roman" w:cs="Times New Roman"/>
          <w:bCs/>
          <w:snapToGrid w:val="0"/>
          <w:sz w:val="21"/>
          <w:u w:val="single"/>
        </w:rPr>
        <w:t>投标人下载附件《投标报名信息表》并完整填写信息后在规定的报名日期内发送至邮箱：</w:t>
      </w:r>
      <w:r>
        <w:fldChar w:fldCharType="begin"/>
      </w:r>
      <w:r>
        <w:instrText xml:space="preserve"> HYPERLINK "mailto:******@qq.com" </w:instrText>
      </w:r>
      <w:r>
        <w:fldChar w:fldCharType="separate"/>
      </w:r>
      <w:r>
        <w:rPr>
          <w:rFonts w:hint="eastAsia" w:ascii="Times New Roman" w:hAnsi="Times New Roman" w:cs="Times New Roman"/>
          <w:bCs/>
          <w:snapToGrid w:val="0"/>
          <w:sz w:val="21"/>
          <w:u w:val="single"/>
        </w:rPr>
        <w:t>3122182365</w:t>
      </w:r>
      <w:r>
        <w:rPr>
          <w:rFonts w:ascii="Times New Roman" w:hAnsi="Times New Roman" w:cs="Times New Roman"/>
          <w:bCs/>
          <w:snapToGrid w:val="0"/>
          <w:sz w:val="21"/>
          <w:u w:val="single"/>
        </w:rPr>
        <w:t>@qq.com</w:t>
      </w:r>
      <w:r>
        <w:rPr>
          <w:rFonts w:ascii="Times New Roman" w:hAnsi="Times New Roman" w:cs="Times New Roman"/>
          <w:bCs/>
          <w:snapToGrid w:val="0"/>
          <w:sz w:val="21"/>
          <w:u w:val="single"/>
        </w:rPr>
        <w:fldChar w:fldCharType="end"/>
      </w:r>
    </w:p>
    <w:p>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rPr>
        <w:t>5</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rPr>
        <w:t>15</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rPr>
        <w:t>9</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heme="majorEastAsia" w:hAnsiTheme="majorEastAsia" w:eastAsiaTheme="majorEastAsia" w:cstheme="majorEastAsia"/>
          <w:sz w:val="21"/>
          <w:szCs w:val="21"/>
          <w:u w:val="single"/>
        </w:rPr>
        <w:t xml:space="preserve">  合肥文旅博览集团野生动物园管理有限公司  </w:t>
      </w:r>
    </w:p>
    <w:p>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pPr>
        <w:spacing w:line="360" w:lineRule="auto"/>
        <w:ind w:firstLine="435"/>
        <w:rPr>
          <w:rFonts w:ascii="Times New Roman" w:hAnsi="Times New Roman" w:cs="Times New Roman" w:eastAsiaTheme="majorEastAsia"/>
          <w:sz w:val="21"/>
          <w:szCs w:val="21"/>
        </w:rPr>
      </w:pPr>
      <w:bookmarkStart w:id="8" w:name="_Toc32146"/>
      <w:r>
        <w:rPr>
          <w:rFonts w:hint="eastAsia" w:ascii="Times New Roman" w:hAnsi="Times New Roman" w:cs="Times New Roman" w:eastAsiaTheme="majorEastAsia"/>
          <w:sz w:val="21"/>
          <w:szCs w:val="21"/>
        </w:rPr>
        <w:t>2024年5月15日9:30（截止）</w:t>
      </w:r>
    </w:p>
    <w:p>
      <w:pPr>
        <w:spacing w:line="400" w:lineRule="exact"/>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六、联系方式</w:t>
      </w:r>
      <w:bookmarkEnd w:id="8"/>
    </w:p>
    <w:p>
      <w:pPr>
        <w:spacing w:line="360" w:lineRule="auto"/>
        <w:ind w:firstLine="435"/>
        <w:rPr>
          <w:rFonts w:ascii="Times New Roman" w:hAnsi="Times New Roman" w:cs="Times New Roman" w:eastAsiaTheme="majorEastAsia"/>
          <w:sz w:val="21"/>
          <w:szCs w:val="21"/>
        </w:rPr>
      </w:pPr>
      <w:bookmarkStart w:id="9" w:name="_Toc30347"/>
      <w:r>
        <w:rPr>
          <w:rFonts w:hint="eastAsia" w:ascii="Times New Roman" w:hAnsi="Times New Roman" w:cs="Times New Roman" w:eastAsiaTheme="majorEastAsia"/>
          <w:sz w:val="21"/>
          <w:szCs w:val="21"/>
        </w:rPr>
        <w:t>1.招标人</w:t>
      </w:r>
    </w:p>
    <w:p>
      <w:pPr>
        <w:spacing w:line="360" w:lineRule="auto"/>
        <w:ind w:firstLine="435"/>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招标人：</w:t>
      </w:r>
      <w:r>
        <w:rPr>
          <w:rFonts w:hint="eastAsia" w:ascii="Times New Roman" w:hAnsi="Times New Roman" w:cs="Times New Roman" w:eastAsiaTheme="majorEastAsia"/>
          <w:sz w:val="21"/>
          <w:szCs w:val="21"/>
          <w:u w:val="single"/>
        </w:rPr>
        <w:t>合肥文旅博览集团野生动物园管理有限公司</w:t>
      </w:r>
    </w:p>
    <w:p>
      <w:pPr>
        <w:spacing w:line="360" w:lineRule="auto"/>
        <w:ind w:firstLine="435"/>
        <w:rPr>
          <w:rFonts w:ascii="Times New Roman" w:hAnsi="Times New Roman" w:cs="Times New Roman" w:eastAsiaTheme="majorEastAsia"/>
          <w:sz w:val="21"/>
          <w:szCs w:val="21"/>
          <w:u w:val="single"/>
        </w:rPr>
      </w:pPr>
      <w:r>
        <w:rPr>
          <w:rFonts w:hint="eastAsia" w:ascii="Times New Roman" w:hAnsi="Times New Roman" w:cs="Times New Roman" w:eastAsiaTheme="majorEastAsia"/>
          <w:sz w:val="21"/>
          <w:szCs w:val="21"/>
        </w:rPr>
        <w:t xml:space="preserve">地  址： </w:t>
      </w:r>
      <w:r>
        <w:rPr>
          <w:rFonts w:hint="eastAsia" w:ascii="Times New Roman" w:hAnsi="Times New Roman" w:cs="Times New Roman" w:eastAsiaTheme="majorEastAsia"/>
          <w:sz w:val="21"/>
          <w:szCs w:val="21"/>
          <w:u w:val="single"/>
        </w:rPr>
        <w:t xml:space="preserve">合肥市望江西路600号 </w:t>
      </w:r>
    </w:p>
    <w:p>
      <w:pPr>
        <w:spacing w:line="360" w:lineRule="auto"/>
        <w:ind w:firstLine="435"/>
        <w:rPr>
          <w:rFonts w:ascii="Times New Roman" w:hAnsi="Times New Roman" w:cs="Times New Roman" w:eastAsiaTheme="majorEastAsia"/>
          <w:sz w:val="21"/>
          <w:szCs w:val="21"/>
          <w:u w:val="single"/>
        </w:rPr>
      </w:pPr>
      <w:r>
        <w:rPr>
          <w:rFonts w:hint="eastAsia" w:ascii="Times New Roman" w:hAnsi="Times New Roman" w:cs="Times New Roman" w:eastAsiaTheme="majorEastAsia"/>
          <w:sz w:val="21"/>
          <w:szCs w:val="21"/>
        </w:rPr>
        <w:t>联系人：</w:t>
      </w:r>
      <w:r>
        <w:rPr>
          <w:rFonts w:hint="eastAsia" w:ascii="Times New Roman" w:hAnsi="Times New Roman" w:cs="Times New Roman" w:eastAsiaTheme="majorEastAsia"/>
          <w:sz w:val="21"/>
          <w:szCs w:val="21"/>
          <w:u w:val="single"/>
        </w:rPr>
        <w:t xml:space="preserve">  张工  </w:t>
      </w:r>
    </w:p>
    <w:p>
      <w:pPr>
        <w:spacing w:line="360" w:lineRule="auto"/>
        <w:ind w:firstLine="435"/>
        <w:rPr>
          <w:rFonts w:ascii="Times New Roman" w:hAnsi="Times New Roman" w:cs="Times New Roman" w:eastAsiaTheme="majorEastAsia"/>
          <w:sz w:val="21"/>
          <w:szCs w:val="21"/>
          <w:u w:val="single"/>
        </w:rPr>
      </w:pPr>
      <w:r>
        <w:rPr>
          <w:rFonts w:hint="eastAsia" w:ascii="Times New Roman" w:hAnsi="Times New Roman" w:cs="Times New Roman" w:eastAsiaTheme="majorEastAsia"/>
          <w:sz w:val="21"/>
          <w:szCs w:val="21"/>
        </w:rPr>
        <w:t>电  话：</w:t>
      </w:r>
      <w:r>
        <w:rPr>
          <w:rFonts w:hint="eastAsia" w:ascii="Times New Roman" w:hAnsi="Times New Roman" w:cs="Times New Roman" w:eastAsiaTheme="majorEastAsia"/>
          <w:sz w:val="21"/>
          <w:szCs w:val="21"/>
          <w:u w:val="single"/>
        </w:rPr>
        <w:t xml:space="preserve"> 15805696228 </w:t>
      </w:r>
    </w:p>
    <w:p>
      <w:pPr>
        <w:spacing w:line="360" w:lineRule="auto"/>
        <w:ind w:firstLine="435"/>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2.监督管理部门</w:t>
      </w:r>
    </w:p>
    <w:p>
      <w:pPr>
        <w:spacing w:line="360" w:lineRule="auto"/>
        <w:ind w:firstLine="435"/>
        <w:rPr>
          <w:rFonts w:ascii="Times New Roman" w:hAnsi="Times New Roman" w:cs="Times New Roman" w:eastAsiaTheme="majorEastAsia"/>
          <w:sz w:val="21"/>
          <w:szCs w:val="21"/>
          <w:u w:val="single"/>
        </w:rPr>
      </w:pPr>
      <w:r>
        <w:rPr>
          <w:rFonts w:hint="eastAsia" w:ascii="Times New Roman" w:hAnsi="Times New Roman" w:cs="Times New Roman" w:eastAsiaTheme="majorEastAsia"/>
          <w:sz w:val="21"/>
          <w:szCs w:val="21"/>
        </w:rPr>
        <w:t xml:space="preserve">监督管理部门： </w:t>
      </w:r>
      <w:r>
        <w:rPr>
          <w:rFonts w:hint="eastAsia" w:ascii="Times New Roman" w:hAnsi="Times New Roman" w:cs="Times New Roman" w:eastAsiaTheme="majorEastAsia"/>
          <w:sz w:val="21"/>
          <w:szCs w:val="21"/>
          <w:u w:val="single"/>
        </w:rPr>
        <w:t xml:space="preserve">党群工作部 </w:t>
      </w:r>
    </w:p>
    <w:p>
      <w:pPr>
        <w:spacing w:line="360" w:lineRule="auto"/>
        <w:ind w:firstLine="435"/>
        <w:rPr>
          <w:rFonts w:ascii="Times New Roman" w:hAnsi="Times New Roman" w:cs="Times New Roman" w:eastAsiaTheme="majorEastAsia"/>
          <w:sz w:val="21"/>
          <w:szCs w:val="21"/>
          <w:u w:val="single"/>
        </w:rPr>
      </w:pPr>
      <w:r>
        <w:rPr>
          <w:rFonts w:hint="eastAsia" w:ascii="Times New Roman" w:hAnsi="Times New Roman" w:cs="Times New Roman" w:eastAsiaTheme="majorEastAsia"/>
          <w:sz w:val="21"/>
          <w:szCs w:val="21"/>
        </w:rPr>
        <w:t>地  址：</w:t>
      </w:r>
      <w:r>
        <w:rPr>
          <w:rFonts w:hint="eastAsia" w:ascii="Times New Roman" w:hAnsi="Times New Roman" w:cs="Times New Roman" w:eastAsiaTheme="majorEastAsia"/>
          <w:sz w:val="21"/>
          <w:szCs w:val="21"/>
          <w:u w:val="single"/>
        </w:rPr>
        <w:t xml:space="preserve"> 合肥市望江西路600号 </w:t>
      </w:r>
    </w:p>
    <w:p>
      <w:pPr>
        <w:spacing w:line="360" w:lineRule="auto"/>
        <w:ind w:firstLine="435"/>
        <w:rPr>
          <w:rFonts w:ascii="Times New Roman" w:hAnsi="Times New Roman" w:cs="Times New Roman" w:eastAsiaTheme="majorEastAsia"/>
          <w:sz w:val="21"/>
          <w:szCs w:val="21"/>
          <w:u w:val="single"/>
        </w:rPr>
      </w:pPr>
      <w:r>
        <w:rPr>
          <w:rFonts w:hint="eastAsia" w:ascii="Times New Roman" w:hAnsi="Times New Roman" w:cs="Times New Roman" w:eastAsiaTheme="majorEastAsia"/>
          <w:sz w:val="21"/>
          <w:szCs w:val="21"/>
        </w:rPr>
        <w:t xml:space="preserve">电  话： </w:t>
      </w:r>
      <w:r>
        <w:rPr>
          <w:rFonts w:hint="eastAsia" w:ascii="Times New Roman" w:hAnsi="Times New Roman" w:cs="Times New Roman" w:eastAsiaTheme="majorEastAsia"/>
          <w:sz w:val="21"/>
          <w:szCs w:val="21"/>
          <w:u w:val="single"/>
        </w:rPr>
        <w:t xml:space="preserve">0551-65393102  </w:t>
      </w:r>
    </w:p>
    <w:p>
      <w:pPr>
        <w:spacing w:line="400" w:lineRule="exact"/>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七、其他事项说明</w:t>
      </w:r>
      <w:bookmarkEnd w:id="9"/>
    </w:p>
    <w:p>
      <w:pPr>
        <w:widowControl/>
        <w:spacing w:line="4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w:t>
      </w:r>
      <w:r>
        <w:rPr>
          <w:rFonts w:hint="eastAsia" w:ascii="Times New Roman" w:hAnsi="Times New Roman" w:cs="Times New Roman"/>
          <w:bCs/>
          <w:snapToGrid w:val="0"/>
          <w:sz w:val="21"/>
          <w:szCs w:val="21"/>
        </w:rPr>
        <w:t>1</w:t>
      </w:r>
      <w:r>
        <w:rPr>
          <w:rFonts w:ascii="Times New Roman" w:hAnsi="Times New Roman" w:cs="Times New Roman"/>
          <w:bCs/>
          <w:snapToGrid w:val="0"/>
          <w:sz w:val="21"/>
          <w:szCs w:val="21"/>
        </w:rPr>
        <w:t>:</w:t>
      </w:r>
      <w:r>
        <w:rPr>
          <w:rFonts w:hint="eastAsia" w:ascii="Times New Roman" w:hAnsi="Times New Roman" w:cs="Times New Roman"/>
          <w:bCs/>
          <w:snapToGrid w:val="0"/>
          <w:sz w:val="21"/>
          <w:szCs w:val="21"/>
        </w:rPr>
        <w:t>3</w:t>
      </w:r>
      <w:r>
        <w:rPr>
          <w:rFonts w:ascii="Times New Roman" w:hAnsi="Times New Roman" w:cs="Times New Roman"/>
          <w:bCs/>
          <w:snapToGrid w:val="0"/>
          <w:sz w:val="21"/>
          <w:szCs w:val="21"/>
        </w:rPr>
        <w:t>0，下午2:30-5:30，节假日休息）与项目联系人联系。</w:t>
      </w:r>
    </w:p>
    <w:p>
      <w:pPr>
        <w:spacing w:line="400" w:lineRule="exact"/>
        <w:ind w:firstLine="435"/>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10"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0"/>
    </w:p>
    <w:p>
      <w:pPr>
        <w:spacing w:line="360" w:lineRule="auto"/>
        <w:jc w:val="center"/>
        <w:outlineLvl w:val="1"/>
        <w:rPr>
          <w:rFonts w:asciiTheme="minorEastAsia" w:hAnsiTheme="minorEastAsia" w:eastAsiaTheme="minorEastAsia"/>
          <w:b/>
          <w:sz w:val="24"/>
        </w:rPr>
      </w:pPr>
      <w:bookmarkStart w:id="11"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1"/>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pPr>
              <w:pStyle w:val="69"/>
              <w:widowControl w:val="0"/>
              <w:spacing w:before="0" w:beforeAutospacing="0" w:after="0" w:afterAutospacing="0" w:line="360" w:lineRule="auto"/>
              <w:jc w:val="both"/>
              <w:rPr>
                <w:rFonts w:cs="宋体"/>
                <w:b w:val="0"/>
                <w:strike/>
                <w:sz w:val="21"/>
                <w:szCs w:val="21"/>
              </w:rPr>
            </w:pPr>
            <w:r>
              <w:rPr>
                <w:rFonts w:hint="eastAsia" w:cs="宋体"/>
                <w:b w:val="0"/>
                <w:sz w:val="21"/>
                <w:szCs w:val="21"/>
              </w:rPr>
              <w:t>合肥野生动物园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pPr>
              <w:pStyle w:val="96"/>
              <w:tabs>
                <w:tab w:val="left" w:pos="1152"/>
              </w:tabs>
              <w:spacing w:before="0" w:beforeAutospacing="0" w:after="0" w:afterAutospacing="0" w:line="360" w:lineRule="auto"/>
              <w:rPr>
                <w:rFonts w:cs="宋体"/>
                <w:b/>
                <w:strike/>
                <w:sz w:val="21"/>
                <w:szCs w:val="21"/>
              </w:rPr>
            </w:pPr>
            <w:r>
              <w:rPr>
                <w:rFonts w:hint="eastAsia" w:cs="宋体"/>
                <w:bCs/>
                <w:sz w:val="21"/>
                <w:szCs w:val="21"/>
              </w:rPr>
              <w:t>60日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张工，15805696228  </w:t>
            </w:r>
          </w:p>
          <w:p>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5" w:type="pct"/>
            <w:vAlign w:val="center"/>
          </w:tcPr>
          <w:p>
            <w:pPr>
              <w:spacing w:line="360" w:lineRule="auto"/>
              <w:rPr>
                <w:sz w:val="21"/>
                <w:szCs w:val="21"/>
              </w:rPr>
            </w:pPr>
            <w:r>
              <w:rPr>
                <w:rFonts w:hint="eastAsia"/>
                <w:sz w:val="21"/>
                <w:szCs w:val="21"/>
              </w:rPr>
              <w:t>投标人应按下列规定提供业绩证明资料：</w:t>
            </w:r>
          </w:p>
          <w:p>
            <w:pPr>
              <w:spacing w:line="360" w:lineRule="auto"/>
              <w:rPr>
                <w:sz w:val="21"/>
                <w:szCs w:val="21"/>
              </w:rPr>
            </w:pPr>
            <w:r>
              <w:rPr>
                <w:rFonts w:hint="eastAsia"/>
                <w:sz w:val="21"/>
                <w:szCs w:val="21"/>
              </w:rPr>
              <w:t>□已完成的业绩：投标文件中须同时提供以下业绩证明材料：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16"/>
                <w:szCs w:val="16"/>
              </w:rPr>
            </w:pPr>
            <w:r>
              <w:rPr>
                <w:rFonts w:hint="eastAsia"/>
                <w:sz w:val="21"/>
                <w:szCs w:val="21"/>
              </w:rPr>
              <w:t>（2）与该业绩对应的项目已完成的证明材料（如验收报告或业主（或合同甲方）证明）。</w:t>
            </w:r>
          </w:p>
          <w:p>
            <w:pPr>
              <w:spacing w:line="360" w:lineRule="auto"/>
              <w:rPr>
                <w:sz w:val="21"/>
                <w:szCs w:val="21"/>
              </w:rPr>
            </w:pPr>
            <w:r>
              <w:rPr>
                <w:rFonts w:hint="eastAsia"/>
                <w:sz w:val="21"/>
                <w:szCs w:val="21"/>
              </w:rPr>
              <w:t>□正在履约或已完成的业绩：投标文件中须同时提供以下业绩证明材料：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21"/>
                <w:szCs w:val="21"/>
              </w:rPr>
            </w:pPr>
            <w:r>
              <w:rPr>
                <w:rFonts w:hint="eastAsia"/>
                <w:sz w:val="21"/>
                <w:szCs w:val="21"/>
              </w:rPr>
              <w:t>（2）与该业绩对应的项目正在履约或已完成的证明材料（如验收报告或业主（或合同甲方）证明）。</w:t>
            </w:r>
          </w:p>
          <w:p>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pPr>
              <w:spacing w:line="360" w:lineRule="auto"/>
              <w:rPr>
                <w:sz w:val="16"/>
                <w:szCs w:val="16"/>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2024 </w:t>
            </w:r>
            <w:r>
              <w:rPr>
                <w:rFonts w:hint="eastAsia" w:cs="宋体"/>
                <w:bCs/>
                <w:kern w:val="2"/>
                <w:sz w:val="21"/>
                <w:szCs w:val="21"/>
              </w:rPr>
              <w:t>年</w:t>
            </w:r>
            <w:r>
              <w:rPr>
                <w:rFonts w:hint="eastAsia" w:cs="宋体"/>
                <w:bCs/>
                <w:kern w:val="2"/>
                <w:sz w:val="21"/>
                <w:szCs w:val="21"/>
                <w:u w:val="single"/>
              </w:rPr>
              <w:t xml:space="preserve"> 5 </w:t>
            </w:r>
            <w:r>
              <w:rPr>
                <w:rFonts w:hint="eastAsia" w:cs="宋体"/>
                <w:bCs/>
                <w:kern w:val="2"/>
                <w:sz w:val="21"/>
                <w:szCs w:val="21"/>
              </w:rPr>
              <w:t>月</w:t>
            </w:r>
            <w:r>
              <w:rPr>
                <w:rFonts w:hint="eastAsia" w:cs="宋体"/>
                <w:bCs/>
                <w:kern w:val="2"/>
                <w:sz w:val="21"/>
                <w:szCs w:val="21"/>
                <w:u w:val="single"/>
              </w:rPr>
              <w:t xml:space="preserve"> 13 </w:t>
            </w:r>
            <w:r>
              <w:rPr>
                <w:rFonts w:hint="eastAsia" w:cs="宋体"/>
                <w:bCs/>
                <w:kern w:val="2"/>
                <w:sz w:val="21"/>
                <w:szCs w:val="21"/>
              </w:rPr>
              <w:t>日</w:t>
            </w:r>
            <w:r>
              <w:rPr>
                <w:rFonts w:hint="eastAsia" w:cs="宋体"/>
                <w:bCs/>
                <w:kern w:val="2"/>
                <w:sz w:val="21"/>
                <w:szCs w:val="21"/>
                <w:u w:val="single"/>
              </w:rPr>
              <w:t xml:space="preserve"> 17 </w:t>
            </w:r>
            <w:r>
              <w:rPr>
                <w:rFonts w:hint="eastAsia" w:cs="宋体"/>
                <w:bCs/>
                <w:kern w:val="2"/>
                <w:sz w:val="21"/>
                <w:szCs w:val="21"/>
              </w:rPr>
              <w:t>时</w:t>
            </w:r>
            <w:r>
              <w:rPr>
                <w:rFonts w:hint="eastAsia" w:cs="宋体"/>
                <w:bCs/>
                <w:kern w:val="2"/>
                <w:sz w:val="21"/>
                <w:szCs w:val="21"/>
                <w:u w:val="single"/>
              </w:rPr>
              <w:t xml:space="preserve"> 00 </w:t>
            </w:r>
            <w:r>
              <w:rPr>
                <w:rFonts w:hint="eastAsia" w:cs="宋体"/>
                <w:bCs/>
                <w:kern w:val="2"/>
                <w:sz w:val="21"/>
                <w:szCs w:val="21"/>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hint="eastAsia" w:ascii="Times New Roman" w:hAnsi="Times New Roman" w:cs="Times New Roman"/>
                <w:bCs/>
                <w:sz w:val="21"/>
                <w:szCs w:val="21"/>
              </w:rPr>
              <w:t>3122182365</w:t>
            </w:r>
            <w:r>
              <w:rPr>
                <w:rFonts w:ascii="Times New Roman" w:hAnsi="Times New Roman" w:cs="Times New Roman"/>
                <w:bCs/>
                <w:sz w:val="21"/>
                <w:szCs w:val="21"/>
              </w:rPr>
              <w:t>@qq.com</w:t>
            </w:r>
            <w:r>
              <w:rPr>
                <w:rFonts w:ascii="Times New Roman" w:hAnsi="Times New Roman" w:cs="Times New Roman"/>
                <w:bCs/>
                <w:snapToGrid w:val="0"/>
                <w:color w:val="000000"/>
                <w:sz w:val="21"/>
                <w:szCs w:val="22"/>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pPr>
              <w:adjustRightInd w:val="0"/>
              <w:snapToGrid w:val="0"/>
              <w:spacing w:line="360" w:lineRule="auto"/>
              <w:jc w:val="left"/>
              <w:rPr>
                <w:rFonts w:cs="宋体"/>
                <w:bCs/>
                <w:sz w:val="21"/>
                <w:szCs w:val="21"/>
              </w:rPr>
            </w:pPr>
            <w:r>
              <w:rPr>
                <w:rFonts w:hint="eastAsia" w:cs="宋体"/>
                <w:bCs/>
                <w:sz w:val="21"/>
                <w:szCs w:val="21"/>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pPr>
              <w:spacing w:line="500" w:lineRule="exact"/>
              <w:jc w:val="center"/>
              <w:rPr>
                <w:rFonts w:cs="宋体"/>
                <w:bCs/>
                <w:kern w:val="2"/>
                <w:sz w:val="21"/>
                <w:szCs w:val="21"/>
              </w:rPr>
            </w:pPr>
            <w:r>
              <w:rPr>
                <w:rFonts w:hint="eastAsia" w:ascii="Times New Roman" w:hAnsi="Times New Roman"/>
                <w:color w:val="000000"/>
              </w:rPr>
              <w:t>投标文件的递交</w:t>
            </w:r>
          </w:p>
        </w:tc>
        <w:tc>
          <w:tcPr>
            <w:tcW w:w="3625" w:type="pct"/>
            <w:vAlign w:val="center"/>
          </w:tcPr>
          <w:p>
            <w:pPr>
              <w:pStyle w:val="76"/>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hint="eastAsia" w:ascii="Times New Roman" w:hAnsi="Times New Roman" w:cs="Times New Roman"/>
                <w:snapToGrid w:val="0"/>
                <w:color w:val="000000"/>
                <w:sz w:val="21"/>
                <w:szCs w:val="21"/>
                <w:shd w:val="clear" w:color="auto" w:fill="FFFFFF"/>
              </w:rPr>
              <w:t>具体要求如下：</w:t>
            </w:r>
          </w:p>
          <w:p>
            <w:pPr>
              <w:pStyle w:val="76"/>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ascii="Times New Roman" w:hAnsi="Times New Roman" w:cs="Times New Roman"/>
                <w:snapToGrid w:val="0"/>
                <w:color w:val="000000"/>
                <w:sz w:val="21"/>
                <w:szCs w:val="21"/>
                <w:shd w:val="clear" w:color="auto" w:fill="FFFFFF"/>
              </w:rPr>
              <w:t>1.投标文件应装订成册、密封，并在封面注明招标编号、投标项目等，同时在密封处加盖骑缝章；正、副本各一份。</w:t>
            </w:r>
          </w:p>
          <w:p>
            <w:pPr>
              <w:pStyle w:val="76"/>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hint="eastAsia" w:ascii="Times New Roman" w:hAnsi="Times New Roman" w:cs="Times New Roman"/>
                <w:snapToGrid w:val="0"/>
                <w:color w:val="000000"/>
                <w:sz w:val="21"/>
                <w:szCs w:val="21"/>
                <w:shd w:val="clear" w:color="auto" w:fill="FFFFFF"/>
              </w:rPr>
              <w:t>2.投标文件由投标人自行递交。</w:t>
            </w:r>
          </w:p>
          <w:p>
            <w:pPr>
              <w:pStyle w:val="76"/>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hint="eastAsia" w:ascii="Times New Roman" w:hAnsi="Times New Roman" w:cs="Times New Roman"/>
                <w:snapToGrid w:val="0"/>
                <w:color w:val="000000"/>
                <w:sz w:val="21"/>
                <w:szCs w:val="21"/>
                <w:shd w:val="clear" w:color="auto" w:fill="FFFFFF"/>
              </w:rPr>
              <w:t>投标文件应在投标截止时间前在开标地点递交，并提供以下证明材料，否则招标人不予接收。</w:t>
            </w:r>
          </w:p>
          <w:p>
            <w:pPr>
              <w:pStyle w:val="76"/>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hint="eastAsia" w:ascii="Times New Roman" w:hAnsi="Times New Roman" w:cs="Times New Roman"/>
                <w:snapToGrid w:val="0"/>
                <w:color w:val="000000"/>
                <w:sz w:val="21"/>
                <w:szCs w:val="21"/>
                <w:shd w:val="clear" w:color="auto" w:fill="FFFFFF"/>
              </w:rPr>
              <w:t>（1）法定代表人亲自递交的，应提供法定代表人身份证明和法定代表人的有效身份证件；</w:t>
            </w:r>
          </w:p>
          <w:p>
            <w:pPr>
              <w:pStyle w:val="76"/>
              <w:spacing w:line="360" w:lineRule="auto"/>
              <w:ind w:firstLine="0" w:firstLineChars="0"/>
              <w:jc w:val="left"/>
              <w:rPr>
                <w:rFonts w:cs="宋体"/>
                <w:color w:val="FF0000"/>
                <w:sz w:val="21"/>
                <w:szCs w:val="21"/>
              </w:rPr>
            </w:pPr>
            <w:r>
              <w:rPr>
                <w:rFonts w:hint="eastAsia" w:ascii="Times New Roman" w:hAnsi="Times New Roman" w:cs="Times New Roman"/>
                <w:snapToGrid w:val="0"/>
                <w:color w:val="000000"/>
                <w:sz w:val="21"/>
                <w:szCs w:val="21"/>
                <w:shd w:val="clear" w:color="auto" w:fill="FFFFFF"/>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A8"/>
            </w:r>
            <w:r>
              <w:rPr>
                <w:rFonts w:hint="eastAsia" w:cs="宋体"/>
                <w:b w:val="0"/>
                <w:sz w:val="21"/>
                <w:szCs w:val="21"/>
              </w:rPr>
              <w:t>数据电文</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12</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ascii="仿宋_GB2312" w:hAnsi="仿宋_GB2312" w:eastAsia="仿宋_GB2312" w:cs="仿宋_GB2312"/>
                <w:bCs/>
                <w:snapToGrid w:val="0"/>
                <w:sz w:val="21"/>
                <w:szCs w:val="21"/>
                <w:u w:val="single"/>
              </w:rPr>
              <w:t>/</w:t>
            </w:r>
            <w:r>
              <w:rPr>
                <w:rFonts w:hint="eastAsia" w:cs="宋体"/>
                <w:bCs/>
                <w:snapToGrid w:val="0"/>
                <w:sz w:val="21"/>
                <w:szCs w:val="21"/>
                <w:u w:val="single"/>
              </w:rPr>
              <w:t xml:space="preserve">    </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pPr>
              <w:spacing w:line="360" w:lineRule="auto"/>
              <w:rPr>
                <w:rFonts w:cs="宋体"/>
                <w:sz w:val="21"/>
                <w:szCs w:val="21"/>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pPr>
              <w:spacing w:line="360" w:lineRule="auto"/>
              <w:rPr>
                <w:rFonts w:cs="宋体"/>
                <w:bCs/>
                <w:sz w:val="21"/>
                <w:szCs w:val="21"/>
              </w:rPr>
            </w:pPr>
            <w:r>
              <w:rPr>
                <w:rFonts w:hint="eastAsia" w:cs="宋体"/>
                <w:bCs/>
                <w:sz w:val="21"/>
                <w:szCs w:val="21"/>
              </w:rPr>
              <w:t>（1）构成本竞价文件的各个组成文件应互为解释，互为说明；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w:t>
            </w:r>
          </w:p>
        </w:tc>
      </w:tr>
    </w:tbl>
    <w:p>
      <w:pPr>
        <w:pStyle w:val="117"/>
        <w:adjustRightInd w:val="0"/>
        <w:snapToGrid w:val="0"/>
        <w:spacing w:line="360" w:lineRule="auto"/>
        <w:rPr>
          <w:rFonts w:ascii="宋体" w:hAnsi="宋体"/>
          <w:b/>
          <w:sz w:val="24"/>
          <w:szCs w:val="24"/>
        </w:rPr>
      </w:pPr>
      <w:bookmarkStart w:id="12" w:name="_Toc4558"/>
    </w:p>
    <w:p>
      <w:pPr>
        <w:jc w:val="center"/>
        <w:rPr>
          <w:rFonts w:asciiTheme="minorEastAsia" w:hAnsiTheme="minorEastAsia" w:eastAsiaTheme="minorEastAsia"/>
          <w:b/>
          <w:sz w:val="24"/>
        </w:rPr>
      </w:pPr>
      <w:r>
        <w:rPr>
          <w:rFonts w:hint="eastAsia"/>
          <w:b/>
          <w:sz w:val="24"/>
          <w:szCs w:val="24"/>
        </w:rPr>
        <w:br w:type="page"/>
      </w:r>
      <w:bookmarkEnd w:id="12"/>
      <w:r>
        <w:rPr>
          <w:rFonts w:hint="eastAsia" w:asciiTheme="minorEastAsia" w:hAnsiTheme="minorEastAsia" w:eastAsiaTheme="minorEastAsia"/>
          <w:b/>
          <w:sz w:val="24"/>
        </w:rPr>
        <w:t>投标人须知正文</w:t>
      </w:r>
    </w:p>
    <w:p>
      <w:pPr>
        <w:spacing w:line="360" w:lineRule="auto"/>
        <w:ind w:firstLine="437"/>
        <w:outlineLvl w:val="2"/>
        <w:rPr>
          <w:rFonts w:ascii="Times New Roman" w:hAnsi="Times New Roman" w:cs="Times New Roman" w:eastAsiaTheme="minorEastAsia"/>
          <w:b/>
          <w:sz w:val="24"/>
        </w:rPr>
      </w:pPr>
      <w:bookmarkStart w:id="13" w:name="_Toc28737"/>
      <w:r>
        <w:rPr>
          <w:rFonts w:ascii="Times New Roman" w:hAnsi="Times New Roman" w:cs="Times New Roman" w:eastAsiaTheme="minorEastAsia"/>
          <w:b/>
          <w:sz w:val="24"/>
        </w:rPr>
        <w:t>1.有关定义</w:t>
      </w:r>
      <w:bookmarkEnd w:id="1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2"/>
        <w:rPr>
          <w:rFonts w:ascii="Times New Roman" w:hAnsi="Times New Roman" w:cs="Times New Roman" w:eastAsiaTheme="minorEastAsia"/>
          <w:b/>
          <w:sz w:val="24"/>
        </w:rPr>
      </w:pPr>
      <w:bookmarkStart w:id="14" w:name="_Toc26438"/>
      <w:r>
        <w:rPr>
          <w:rFonts w:ascii="Times New Roman" w:hAnsi="Times New Roman" w:cs="Times New Roman" w:eastAsiaTheme="minorEastAsia"/>
          <w:b/>
          <w:sz w:val="24"/>
        </w:rPr>
        <w:t>2.资金来源</w:t>
      </w:r>
      <w:bookmarkEnd w:id="1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2"/>
        <w:rPr>
          <w:rFonts w:ascii="Times New Roman" w:hAnsi="Times New Roman" w:cs="Times New Roman" w:eastAsiaTheme="minorEastAsia"/>
          <w:b/>
          <w:sz w:val="24"/>
        </w:rPr>
      </w:pPr>
      <w:bookmarkStart w:id="15"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2"/>
        <w:rPr>
          <w:rFonts w:ascii="Times New Roman" w:hAnsi="Times New Roman" w:cs="Times New Roman" w:eastAsiaTheme="minorEastAsia"/>
          <w:b/>
          <w:sz w:val="24"/>
        </w:rPr>
      </w:pPr>
      <w:bookmarkStart w:id="16"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2"/>
        <w:rPr>
          <w:rFonts w:ascii="Times New Roman" w:hAnsi="Times New Roman" w:cs="Times New Roman" w:eastAsiaTheme="minorEastAsia"/>
          <w:b/>
          <w:sz w:val="24"/>
        </w:rPr>
      </w:pPr>
      <w:bookmarkStart w:id="17"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2"/>
        <w:rPr>
          <w:rFonts w:ascii="Times New Roman" w:hAnsi="Times New Roman" w:cs="Times New Roman" w:eastAsiaTheme="minorEastAsia"/>
          <w:b/>
          <w:sz w:val="24"/>
        </w:rPr>
      </w:pPr>
      <w:bookmarkStart w:id="18"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2"/>
        <w:rPr>
          <w:rFonts w:ascii="Times New Roman" w:hAnsi="Times New Roman" w:cs="Times New Roman" w:eastAsiaTheme="minorEastAsia"/>
          <w:b/>
          <w:sz w:val="24"/>
        </w:rPr>
      </w:pPr>
      <w:bookmarkStart w:id="19"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2"/>
        <w:rPr>
          <w:rFonts w:ascii="Times New Roman" w:hAnsi="Times New Roman" w:cs="Times New Roman" w:eastAsiaTheme="minorEastAsia"/>
          <w:b/>
          <w:sz w:val="24"/>
        </w:rPr>
      </w:pPr>
      <w:bookmarkStart w:id="20"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0"/>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2"/>
        <w:rPr>
          <w:rFonts w:ascii="Times New Roman" w:hAnsi="Times New Roman" w:cs="Times New Roman" w:eastAsiaTheme="minorEastAsia"/>
          <w:b/>
          <w:sz w:val="24"/>
        </w:rPr>
      </w:pPr>
      <w:bookmarkStart w:id="21"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1"/>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rPr>
        <w:t>竞价公告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2"/>
        <w:rPr>
          <w:rFonts w:ascii="Times New Roman" w:hAnsi="Times New Roman" w:cs="Times New Roman" w:eastAsiaTheme="minorEastAsia"/>
          <w:b/>
          <w:sz w:val="24"/>
        </w:rPr>
      </w:pPr>
      <w:bookmarkStart w:id="22"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2"/>
        <w:rPr>
          <w:rFonts w:ascii="Times New Roman" w:hAnsi="Times New Roman" w:cs="Times New Roman" w:eastAsiaTheme="minorEastAsia"/>
          <w:b/>
          <w:sz w:val="24"/>
        </w:rPr>
      </w:pPr>
      <w:bookmarkStart w:id="23"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2"/>
        <w:rPr>
          <w:rFonts w:ascii="Times New Roman" w:hAnsi="Times New Roman" w:cs="Times New Roman" w:eastAsiaTheme="minorEastAsia"/>
          <w:b/>
          <w:sz w:val="24"/>
        </w:rPr>
      </w:pPr>
      <w:bookmarkStart w:id="24"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2"/>
        <w:rPr>
          <w:rFonts w:ascii="Times New Roman" w:hAnsi="Times New Roman" w:cs="Times New Roman" w:eastAsiaTheme="minorEastAsia"/>
          <w:b/>
          <w:sz w:val="24"/>
        </w:rPr>
      </w:pPr>
      <w:bookmarkStart w:id="25"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2"/>
        <w:rPr>
          <w:rFonts w:ascii="Times New Roman" w:hAnsi="Times New Roman" w:cs="Times New Roman" w:eastAsiaTheme="minorEastAsia"/>
          <w:b/>
          <w:sz w:val="24"/>
        </w:rPr>
      </w:pPr>
      <w:bookmarkStart w:id="26"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pPr>
        <w:spacing w:line="360" w:lineRule="auto"/>
        <w:ind w:firstLine="437"/>
        <w:outlineLvl w:val="2"/>
        <w:rPr>
          <w:rFonts w:ascii="Times New Roman" w:hAnsi="Times New Roman" w:cs="Times New Roman" w:eastAsiaTheme="minorEastAsia"/>
          <w:b/>
          <w:sz w:val="24"/>
        </w:rPr>
      </w:pPr>
      <w:bookmarkStart w:id="27"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2"/>
        <w:rPr>
          <w:rFonts w:ascii="Times New Roman" w:hAnsi="Times New Roman" w:cs="Times New Roman" w:eastAsiaTheme="minorEastAsia"/>
          <w:b/>
          <w:sz w:val="24"/>
        </w:rPr>
      </w:pPr>
      <w:bookmarkStart w:id="28"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2"/>
        <w:rPr>
          <w:rFonts w:ascii="Times New Roman" w:hAnsi="Times New Roman" w:cs="Times New Roman" w:eastAsiaTheme="minorEastAsia"/>
          <w:b/>
          <w:sz w:val="24"/>
        </w:rPr>
      </w:pPr>
      <w:bookmarkStart w:id="29"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9"/>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2"/>
        <w:rPr>
          <w:rFonts w:ascii="Times New Roman" w:hAnsi="Times New Roman" w:cs="Times New Roman" w:eastAsiaTheme="minorEastAsia"/>
          <w:b/>
          <w:sz w:val="24"/>
        </w:rPr>
      </w:pPr>
      <w:bookmarkStart w:id="30"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3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2"/>
        <w:rPr>
          <w:rFonts w:ascii="Times New Roman" w:hAnsi="Times New Roman" w:cs="Times New Roman" w:eastAsiaTheme="minorEastAsia"/>
          <w:b/>
          <w:sz w:val="24"/>
        </w:rPr>
      </w:pPr>
      <w:bookmarkStart w:id="31"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31"/>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2"/>
        <w:rPr>
          <w:rFonts w:ascii="Times New Roman" w:hAnsi="Times New Roman" w:cs="Times New Roman" w:eastAsiaTheme="minorEastAsia"/>
          <w:b/>
          <w:sz w:val="24"/>
        </w:rPr>
      </w:pPr>
      <w:bookmarkStart w:id="32"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rPr>
        <w:t>竞价公告</w:t>
      </w:r>
      <w:r>
        <w:rPr>
          <w:rFonts w:ascii="Times New Roman" w:hAnsi="Times New Roman" w:cs="Times New Roman" w:eastAsiaTheme="minorEastAsia"/>
          <w:bCs/>
          <w:sz w:val="21"/>
        </w:rPr>
        <w:t>载明的监督管理部门提出。</w:t>
      </w:r>
    </w:p>
    <w:p>
      <w:pPr>
        <w:spacing w:line="360" w:lineRule="auto"/>
        <w:ind w:firstLine="437"/>
        <w:outlineLvl w:val="2"/>
        <w:rPr>
          <w:rFonts w:ascii="Times New Roman" w:hAnsi="Times New Roman" w:cs="Times New Roman" w:eastAsiaTheme="minorEastAsia"/>
          <w:b/>
          <w:sz w:val="24"/>
        </w:rPr>
      </w:pPr>
      <w:bookmarkStart w:id="33"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2"/>
        <w:rPr>
          <w:rFonts w:ascii="Times New Roman" w:hAnsi="Times New Roman" w:cs="Times New Roman" w:eastAsiaTheme="minorEastAsia"/>
          <w:b/>
          <w:sz w:val="24"/>
        </w:rPr>
      </w:pPr>
      <w:bookmarkStart w:id="34"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2"/>
        <w:rPr>
          <w:rFonts w:ascii="Times New Roman" w:hAnsi="Times New Roman" w:cs="Times New Roman" w:eastAsiaTheme="minorEastAsia"/>
          <w:b/>
          <w:sz w:val="24"/>
        </w:rPr>
      </w:pPr>
      <w:bookmarkStart w:id="35"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2"/>
        <w:rPr>
          <w:rFonts w:ascii="Times New Roman" w:hAnsi="Times New Roman" w:cs="Times New Roman" w:eastAsiaTheme="minorEastAsia"/>
          <w:b/>
          <w:sz w:val="24"/>
        </w:rPr>
      </w:pPr>
      <w:bookmarkStart w:id="36"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2"/>
        <w:rPr>
          <w:rFonts w:ascii="Times New Roman" w:hAnsi="Times New Roman" w:cs="Times New Roman" w:eastAsiaTheme="minorEastAsia"/>
          <w:b/>
          <w:sz w:val="24"/>
        </w:rPr>
      </w:pPr>
      <w:bookmarkStart w:id="37"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360" w:lineRule="auto"/>
        <w:jc w:val="center"/>
        <w:outlineLvl w:val="0"/>
        <w:rPr>
          <w:rFonts w:asciiTheme="minorEastAsia" w:hAnsiTheme="minorEastAsia" w:eastAsiaTheme="minorEastAsia"/>
          <w:b/>
          <w:sz w:val="28"/>
        </w:rPr>
      </w:pPr>
      <w:bookmarkStart w:id="38" w:name="_Toc31311"/>
      <w:r>
        <w:rPr>
          <w:rFonts w:hint="eastAsia" w:asciiTheme="minorEastAsia" w:hAnsiTheme="minorEastAsia" w:eastAsiaTheme="minorEastAsia"/>
          <w:b/>
          <w:sz w:val="28"/>
        </w:rPr>
        <w:t>第三章 招标人要求</w:t>
      </w:r>
      <w:bookmarkEnd w:id="3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要求应尽可能清晰准确，对于可以进行定量评估的工作，</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要求不仅应明确规定其功能、用途、质量、环境、安全，并且要规定偏差的范围和计算方法，以及检验、试验、试运行的具体要求。对于</w:t>
      </w:r>
      <w:r>
        <w:rPr>
          <w:rFonts w:hint="eastAsia" w:ascii="Times New Roman" w:hAnsi="Times New Roman" w:cs="Times New Roman" w:eastAsiaTheme="minorEastAsia"/>
          <w:bCs/>
          <w:sz w:val="21"/>
        </w:rPr>
        <w:t>投标人</w:t>
      </w:r>
      <w:r>
        <w:rPr>
          <w:rFonts w:ascii="Times New Roman" w:hAnsi="Times New Roman" w:cs="Times New Roman" w:eastAsiaTheme="minorEastAsia"/>
          <w:bCs/>
          <w:sz w:val="21"/>
        </w:rPr>
        <w:t>负责提供的有关服务，在</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要求中应一并明确规定。</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要求通常包括但不限于以下内容：</w:t>
      </w:r>
    </w:p>
    <w:p>
      <w:pPr>
        <w:spacing w:line="360" w:lineRule="auto"/>
        <w:outlineLvl w:val="1"/>
        <w:rPr>
          <w:rFonts w:ascii="Times New Roman" w:hAnsi="Times New Roman"/>
          <w:b/>
          <w:sz w:val="24"/>
          <w:szCs w:val="24"/>
        </w:rPr>
      </w:pPr>
      <w:bookmarkStart w:id="39" w:name="_Toc482188637"/>
      <w:bookmarkStart w:id="40" w:name="_Toc19590"/>
      <w:r>
        <w:rPr>
          <w:rFonts w:ascii="Times New Roman" w:hAnsi="Times New Roman"/>
          <w:b/>
          <w:sz w:val="24"/>
          <w:szCs w:val="24"/>
        </w:rPr>
        <w:t>一、</w:t>
      </w:r>
      <w:bookmarkEnd w:id="39"/>
      <w:r>
        <w:rPr>
          <w:rFonts w:hint="eastAsia" w:ascii="Times New Roman" w:hAnsi="Times New Roman"/>
          <w:b/>
          <w:sz w:val="24"/>
          <w:szCs w:val="24"/>
        </w:rPr>
        <w:t>项目概况</w:t>
      </w:r>
      <w:bookmarkEnd w:id="40"/>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合肥野生动物园风险评估和安全生产应急预案编制服务。</w:t>
      </w:r>
    </w:p>
    <w:p>
      <w:pPr>
        <w:spacing w:line="360" w:lineRule="auto"/>
        <w:outlineLvl w:val="1"/>
        <w:rPr>
          <w:rFonts w:ascii="Times New Roman" w:hAnsi="Times New Roman"/>
          <w:b/>
          <w:sz w:val="24"/>
          <w:szCs w:val="24"/>
        </w:rPr>
      </w:pPr>
      <w:bookmarkStart w:id="41" w:name="_Toc482188638"/>
      <w:bookmarkStart w:id="42" w:name="_Toc26876"/>
      <w:r>
        <w:rPr>
          <w:rFonts w:ascii="Times New Roman" w:hAnsi="Times New Roman"/>
          <w:b/>
          <w:sz w:val="24"/>
          <w:szCs w:val="24"/>
        </w:rPr>
        <w:t>二、</w:t>
      </w:r>
      <w:bookmarkEnd w:id="41"/>
      <w:r>
        <w:rPr>
          <w:rFonts w:hint="eastAsia" w:ascii="Times New Roman" w:hAnsi="Times New Roman"/>
          <w:b/>
          <w:sz w:val="24"/>
          <w:szCs w:val="24"/>
        </w:rPr>
        <w:t>服务内容及要求</w:t>
      </w:r>
      <w:bookmarkEnd w:id="42"/>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对合肥文旅博览集团野生动物园管理有限公司进行实地勘察，完成风险评估报告，编制生产安全事故应急综合预案、专项预案、现场处置方案及应急处置卡（包括且不限于应急处置功能组、重点岗位）通过专家验收，并在属地应急管理部门完成备案。同时结合所编制的应急预案提供一次消防安全培训及指导消防疏散演练。</w:t>
      </w:r>
    </w:p>
    <w:p>
      <w:pPr>
        <w:spacing w:line="360" w:lineRule="auto"/>
        <w:outlineLvl w:val="1"/>
        <w:rPr>
          <w:rFonts w:ascii="Times New Roman" w:hAnsi="Times New Roman"/>
          <w:b/>
          <w:sz w:val="24"/>
          <w:szCs w:val="24"/>
        </w:rPr>
      </w:pPr>
      <w:bookmarkStart w:id="43" w:name="_Toc482188639"/>
      <w:bookmarkStart w:id="44" w:name="_Toc15614"/>
      <w:r>
        <w:rPr>
          <w:rFonts w:ascii="Times New Roman" w:hAnsi="Times New Roman"/>
          <w:b/>
          <w:sz w:val="24"/>
          <w:szCs w:val="24"/>
        </w:rPr>
        <w:t>三、</w:t>
      </w:r>
      <w:bookmarkEnd w:id="43"/>
      <w:r>
        <w:rPr>
          <w:rFonts w:hint="eastAsia" w:ascii="Times New Roman" w:hAnsi="Times New Roman"/>
          <w:b/>
          <w:sz w:val="24"/>
          <w:szCs w:val="24"/>
        </w:rPr>
        <w:t>成果要求</w:t>
      </w:r>
      <w:bookmarkEnd w:id="4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在合同签订之日起30日内完成合肥文旅博览集团野生动物园管理有限公司风险评估，出具风险评估报告；60日内完成生产安全事故应急预案编制、评审和备案，向甲方提交经备案的《合肥文旅博览集团野生动物园管理有限公司生产安全事故风险评估报告》、《合肥文旅博览集团野生动物园管理有限公司生产安全事故应急资源调查报告》和《合肥文旅博览集团野生动物园管理有限公司生产安全事故应急预案》文本（纸质文本六套和可编辑电子文本一套）。</w:t>
      </w:r>
    </w:p>
    <w:p>
      <w:pPr>
        <w:spacing w:line="360" w:lineRule="auto"/>
        <w:outlineLvl w:val="1"/>
        <w:rPr>
          <w:rFonts w:ascii="Times New Roman" w:hAnsi="Times New Roman"/>
          <w:b/>
          <w:sz w:val="24"/>
          <w:szCs w:val="24"/>
        </w:rPr>
      </w:pPr>
      <w:bookmarkStart w:id="45" w:name="_Toc482188644"/>
      <w:bookmarkStart w:id="46" w:name="_Toc482188645"/>
      <w:r>
        <w:rPr>
          <w:rFonts w:hint="eastAsia" w:ascii="Times New Roman" w:hAnsi="Times New Roman"/>
          <w:b/>
          <w:sz w:val="24"/>
          <w:szCs w:val="24"/>
        </w:rPr>
        <w:t>四、</w:t>
      </w:r>
      <w:bookmarkEnd w:id="45"/>
      <w:r>
        <w:rPr>
          <w:rFonts w:hint="eastAsia" w:ascii="Times New Roman" w:hAnsi="Times New Roman"/>
          <w:b/>
          <w:sz w:val="24"/>
          <w:szCs w:val="24"/>
        </w:rPr>
        <w:t>报价要求</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本项目采用总价报价，除非合同另有规定，该总价包含但不限于造价咨询服务费、报告编制费、现场调研勘察费、数据采集费、文本制作费、人工费、差旅费、利润、税金等全部费用。投标报价总价不得高于项目概算。</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2.服务范围中必须全部在投标文件中报价，不得有漏项，否则为无效投标。</w:t>
      </w:r>
    </w:p>
    <w:p>
      <w:pPr>
        <w:spacing w:line="360" w:lineRule="auto"/>
        <w:outlineLvl w:val="1"/>
        <w:rPr>
          <w:rFonts w:ascii="Times New Roman" w:hAnsi="Times New Roman"/>
          <w:b/>
          <w:sz w:val="24"/>
          <w:szCs w:val="24"/>
        </w:rPr>
      </w:pPr>
      <w:r>
        <w:rPr>
          <w:rFonts w:hint="eastAsia" w:ascii="Times New Roman" w:hAnsi="Times New Roman"/>
          <w:b/>
          <w:sz w:val="24"/>
          <w:szCs w:val="24"/>
        </w:rPr>
        <w:t>五、付款方式</w:t>
      </w:r>
    </w:p>
    <w:p>
      <w:pPr>
        <w:spacing w:line="360" w:lineRule="auto"/>
        <w:ind w:firstLine="437"/>
        <w:rPr>
          <w:rFonts w:ascii="Times New Roman" w:hAnsi="Times New Roman" w:cs="Times New Roman" w:eastAsiaTheme="minorEastAsia"/>
          <w:bCs/>
          <w:color w:val="auto"/>
          <w:sz w:val="21"/>
          <w:u w:val="none"/>
        </w:rPr>
      </w:pPr>
      <w:r>
        <w:rPr>
          <w:rFonts w:hint="eastAsia" w:ascii="Times New Roman" w:hAnsi="Times New Roman" w:cs="Times New Roman" w:eastAsiaTheme="minorEastAsia"/>
          <w:bCs/>
          <w:color w:val="auto"/>
          <w:sz w:val="21"/>
          <w:u w:val="none"/>
        </w:rPr>
        <w:t>中标人完成合同约定的服务内容并经招标人验收无误，且预案通过评审并经主管部门备案成功，且中标人提供全额增值税专用发票</w:t>
      </w:r>
      <w:r>
        <w:rPr>
          <w:rFonts w:ascii="Times New Roman" w:hAnsi="Times New Roman" w:cs="Times New Roman" w:eastAsiaTheme="minorEastAsia"/>
          <w:bCs/>
          <w:color w:val="auto"/>
          <w:sz w:val="21"/>
          <w:u w:val="none"/>
        </w:rPr>
        <w:t>之日起15个工作日内，</w:t>
      </w:r>
      <w:r>
        <w:rPr>
          <w:rFonts w:hint="eastAsia" w:ascii="Times New Roman" w:hAnsi="Times New Roman" w:cs="Times New Roman" w:eastAsiaTheme="minorEastAsia"/>
          <w:bCs/>
          <w:color w:val="auto"/>
          <w:sz w:val="21"/>
          <w:u w:val="none"/>
        </w:rPr>
        <w:t>招标人</w:t>
      </w:r>
      <w:r>
        <w:rPr>
          <w:rFonts w:ascii="Times New Roman" w:hAnsi="Times New Roman" w:cs="Times New Roman" w:eastAsiaTheme="minorEastAsia"/>
          <w:bCs/>
          <w:color w:val="auto"/>
          <w:sz w:val="21"/>
          <w:u w:val="none"/>
        </w:rPr>
        <w:t>一次性支付编制费用。前述费用为固定费用，一次性包死，包括但不限于预案编制、指导评估、修订等</w:t>
      </w:r>
      <w:r>
        <w:rPr>
          <w:rFonts w:hint="eastAsia" w:ascii="Times New Roman" w:hAnsi="Times New Roman" w:cs="Times New Roman" w:eastAsiaTheme="minorEastAsia"/>
          <w:bCs/>
          <w:color w:val="auto"/>
          <w:sz w:val="21"/>
          <w:u w:val="none"/>
        </w:rPr>
        <w:t>中标人</w:t>
      </w:r>
      <w:r>
        <w:rPr>
          <w:rFonts w:ascii="Times New Roman" w:hAnsi="Times New Roman" w:cs="Times New Roman" w:eastAsiaTheme="minorEastAsia"/>
          <w:bCs/>
          <w:color w:val="auto"/>
          <w:sz w:val="21"/>
          <w:u w:val="none"/>
        </w:rPr>
        <w:t>完成本合同约定服务所需的一切费用。除此之外，</w:t>
      </w:r>
      <w:r>
        <w:rPr>
          <w:rFonts w:hint="eastAsia" w:ascii="Times New Roman" w:hAnsi="Times New Roman" w:cs="Times New Roman" w:eastAsiaTheme="minorEastAsia"/>
          <w:bCs/>
          <w:color w:val="auto"/>
          <w:sz w:val="21"/>
          <w:u w:val="none"/>
        </w:rPr>
        <w:t>招标人</w:t>
      </w:r>
      <w:r>
        <w:rPr>
          <w:rFonts w:ascii="Times New Roman" w:hAnsi="Times New Roman" w:cs="Times New Roman" w:eastAsiaTheme="minorEastAsia"/>
          <w:bCs/>
          <w:color w:val="auto"/>
          <w:sz w:val="21"/>
          <w:u w:val="none"/>
        </w:rPr>
        <w:t>无需就本合同项下服务向</w:t>
      </w:r>
      <w:r>
        <w:rPr>
          <w:rFonts w:hint="eastAsia" w:ascii="Times New Roman" w:hAnsi="Times New Roman" w:cs="Times New Roman" w:eastAsiaTheme="minorEastAsia"/>
          <w:bCs/>
          <w:color w:val="auto"/>
          <w:sz w:val="21"/>
          <w:u w:val="none"/>
        </w:rPr>
        <w:t>中标人</w:t>
      </w:r>
      <w:r>
        <w:rPr>
          <w:rFonts w:ascii="Times New Roman" w:hAnsi="Times New Roman" w:cs="Times New Roman" w:eastAsiaTheme="minorEastAsia"/>
          <w:bCs/>
          <w:color w:val="auto"/>
          <w:sz w:val="21"/>
          <w:u w:val="none"/>
        </w:rPr>
        <w:t>或第三方支付任何其他费用。</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在委托人付款前，中标人需向委托人交付等额的增值税专用发票，否则委托人有权拒绝或者延迟付款，且不承担违约责任。</w:t>
      </w:r>
    </w:p>
    <w:bookmarkEnd w:id="46"/>
    <w:p>
      <w:pPr>
        <w:spacing w:line="360" w:lineRule="auto"/>
        <w:ind w:firstLine="400" w:firstLineChars="200"/>
        <w:rPr>
          <w:rFonts w:ascii="Times New Roman" w:hAnsi="Times New Roman"/>
          <w:color w:val="FF0000"/>
        </w:rPr>
      </w:pPr>
    </w:p>
    <w:p>
      <w:pPr>
        <w:rPr>
          <w:rFonts w:ascii="Times New Roman" w:hAnsi="Times New Roman"/>
          <w:sz w:val="24"/>
          <w:szCs w:val="24"/>
        </w:rPr>
      </w:pPr>
    </w:p>
    <w:p>
      <w:pPr>
        <w:rPr>
          <w:rFonts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47" w:name="_Toc14801"/>
      <w:r>
        <w:rPr>
          <w:rFonts w:hint="eastAsia" w:asciiTheme="minorEastAsia" w:hAnsiTheme="minorEastAsia" w:eastAsiaTheme="minorEastAsia"/>
          <w:b/>
          <w:sz w:val="28"/>
        </w:rPr>
        <w:t>第四章  评审方法和标准</w:t>
      </w:r>
      <w:bookmarkEnd w:id="47"/>
    </w:p>
    <w:p>
      <w:pPr>
        <w:spacing w:line="360" w:lineRule="auto"/>
        <w:ind w:firstLine="437"/>
        <w:outlineLvl w:val="1"/>
        <w:rPr>
          <w:rFonts w:asciiTheme="minorEastAsia" w:hAnsiTheme="minorEastAsia" w:eastAsiaTheme="minorEastAsia"/>
          <w:b/>
          <w:sz w:val="24"/>
        </w:rPr>
      </w:pPr>
      <w:bookmarkStart w:id="48" w:name="_Toc29594"/>
      <w:r>
        <w:rPr>
          <w:rFonts w:hint="eastAsia" w:asciiTheme="minorEastAsia" w:hAnsiTheme="minorEastAsia" w:eastAsiaTheme="minorEastAsia"/>
          <w:b/>
          <w:sz w:val="24"/>
        </w:rPr>
        <w:t>一、总则</w:t>
      </w:r>
      <w:bookmarkEnd w:id="48"/>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49" w:name="_Toc22999"/>
      <w:r>
        <w:rPr>
          <w:rFonts w:hint="eastAsia" w:asciiTheme="minorEastAsia" w:hAnsiTheme="minorEastAsia" w:eastAsiaTheme="minorEastAsia"/>
          <w:b/>
          <w:sz w:val="24"/>
        </w:rPr>
        <w:t>二、评审方法</w:t>
      </w:r>
      <w:bookmarkEnd w:id="49"/>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23"/>
        <w:gridCol w:w="5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1"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pPr>
              <w:adjustRightInd w:val="0"/>
              <w:snapToGrid w:val="0"/>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pPr>
              <w:adjustRightInd w:val="0"/>
              <w:snapToGrid w:val="0"/>
              <w:ind w:right="-10"/>
              <w:jc w:val="center"/>
              <w:rPr>
                <w:rFonts w:cs="Times New Roman"/>
                <w:color w:val="auto"/>
                <w:kern w:val="2"/>
                <w:sz w:val="21"/>
                <w:szCs w:val="21"/>
                <w:highlight w:val="none"/>
              </w:rPr>
            </w:pPr>
            <w:r>
              <w:rPr>
                <w:rFonts w:hint="eastAsia" w:cs="Times New Roman"/>
                <w:color w:val="auto"/>
                <w:kern w:val="2"/>
                <w:sz w:val="21"/>
                <w:szCs w:val="21"/>
                <w:highlight w:val="none"/>
              </w:rPr>
              <w:t>投标人为合肥市应急管理局备案的安全评价与检验检测机构库成员。</w:t>
            </w:r>
          </w:p>
        </w:tc>
        <w:tc>
          <w:tcPr>
            <w:tcW w:w="3283" w:type="pct"/>
            <w:vAlign w:val="center"/>
          </w:tcPr>
          <w:p>
            <w:pPr>
              <w:adjustRightInd w:val="0"/>
              <w:snapToGrid w:val="0"/>
              <w:ind w:right="-10"/>
              <w:rPr>
                <w:rFonts w:ascii="Calibri" w:hAnsi="Calibri" w:cs="Times New Roman"/>
                <w:color w:val="auto"/>
                <w:kern w:val="2"/>
                <w:sz w:val="21"/>
                <w:szCs w:val="21"/>
                <w:highlight w:val="none"/>
              </w:rPr>
            </w:pPr>
            <w:r>
              <w:rPr>
                <w:rFonts w:hint="eastAsia" w:cs="Times New Roman"/>
                <w:color w:val="auto"/>
                <w:kern w:val="2"/>
                <w:sz w:val="21"/>
                <w:szCs w:val="21"/>
                <w:highlight w:val="none"/>
              </w:rPr>
              <w:t>符合</w:t>
            </w:r>
            <w:r>
              <w:rPr>
                <w:rFonts w:hint="eastAsia" w:ascii="Times New Roman" w:hAnsi="Times New Roman" w:cs="Times New Roman" w:eastAsiaTheme="minorEastAsia"/>
                <w:color w:val="auto"/>
                <w:sz w:val="21"/>
                <w:szCs w:val="21"/>
                <w:highlight w:val="none"/>
              </w:rPr>
              <w:t>竞价</w:t>
            </w:r>
            <w:r>
              <w:rPr>
                <w:rFonts w:hint="eastAsia" w:cs="Times New Roman"/>
                <w:color w:val="auto"/>
                <w:kern w:val="2"/>
                <w:sz w:val="21"/>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pPr>
              <w:adjustRightInd w:val="0"/>
              <w:snapToGrid w:val="0"/>
              <w:ind w:right="-10"/>
              <w:rPr>
                <w:rFonts w:ascii="Calibri" w:hAnsi="Calibri" w:cs="Times New Roman"/>
                <w:kern w:val="2"/>
                <w:sz w:val="21"/>
                <w:szCs w:val="21"/>
              </w:rPr>
            </w:pPr>
            <w:r>
              <w:rPr>
                <w:rFonts w:hint="eastAsia" w:cs="Times New Roman"/>
                <w:kern w:val="2"/>
                <w:sz w:val="21"/>
                <w:szCs w:val="21"/>
              </w:rPr>
              <w:t>不接受联合招标。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pPr>
              <w:adjustRightInd w:val="0"/>
              <w:snapToGrid w:val="0"/>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3" w:type="pct"/>
            <w:vAlign w:val="center"/>
          </w:tcPr>
          <w:p>
            <w:pPr>
              <w:adjustRightInd w:val="0"/>
              <w:snapToGrid w:val="0"/>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pPr>
              <w:adjustRightInd w:val="0"/>
              <w:snapToGrid w:val="0"/>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1"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pPr>
              <w:adjustRightInd w:val="0"/>
              <w:snapToGrid w:val="0"/>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1"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pPr>
              <w:adjustRightInd w:val="0"/>
              <w:snapToGrid w:val="0"/>
              <w:ind w:right="-10"/>
              <w:rPr>
                <w:rFonts w:cs="Times New Roman"/>
                <w:kern w:val="2"/>
                <w:sz w:val="21"/>
                <w:szCs w:val="21"/>
              </w:rPr>
            </w:pPr>
            <w:r>
              <w:rPr>
                <w:rFonts w:hint="eastAsia" w:cs="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50" w:name="_Toc4545"/>
      <w:bookmarkStart w:id="51" w:name="_Toc29576"/>
      <w:r>
        <w:rPr>
          <w:rFonts w:asciiTheme="minorEastAsia" w:hAnsiTheme="minorEastAsia" w:eastAsiaTheme="minorEastAsia"/>
          <w:b/>
          <w:sz w:val="24"/>
        </w:rPr>
        <w:t>三、评审程序</w:t>
      </w:r>
      <w:bookmarkEnd w:id="50"/>
      <w:bookmarkEnd w:id="51"/>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pPr>
        <w:spacing w:line="360" w:lineRule="auto"/>
        <w:ind w:firstLine="437"/>
        <w:outlineLvl w:val="1"/>
        <w:rPr>
          <w:rFonts w:asciiTheme="minorEastAsia" w:hAnsiTheme="minorEastAsia" w:eastAsiaTheme="minorEastAsia"/>
          <w:b/>
          <w:sz w:val="24"/>
        </w:rPr>
      </w:pPr>
      <w:bookmarkStart w:id="52" w:name="_Toc27565"/>
      <w:bookmarkStart w:id="53" w:name="_Toc11842"/>
      <w:r>
        <w:rPr>
          <w:rFonts w:asciiTheme="minorEastAsia" w:hAnsiTheme="minorEastAsia" w:eastAsiaTheme="minorEastAsia"/>
          <w:b/>
          <w:sz w:val="24"/>
        </w:rPr>
        <w:t>四、相关说明。</w:t>
      </w:r>
      <w:bookmarkEnd w:id="52"/>
      <w:bookmarkEnd w:id="53"/>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ins w:id="0" w:author="Administrator" w:date="2024-05-10T17:44:00Z"/>
          <w:rFonts w:asciiTheme="minorEastAsia" w:hAnsiTheme="minorEastAsia" w:eastAsiaTheme="minorEastAsia"/>
          <w:b/>
          <w:sz w:val="28"/>
        </w:rPr>
      </w:pPr>
      <w:bookmarkStart w:id="54" w:name="_Toc29765"/>
      <w:r>
        <w:rPr>
          <w:rFonts w:hint="eastAsia" w:asciiTheme="minorEastAsia" w:hAnsiTheme="minorEastAsia" w:eastAsiaTheme="minorEastAsia"/>
          <w:b/>
          <w:sz w:val="28"/>
        </w:rPr>
        <w:t>第五章 合同</w:t>
      </w:r>
      <w:bookmarkEnd w:id="54"/>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乙方： </w:t>
      </w:r>
    </w:p>
    <w:p>
      <w:pPr>
        <w:ind w:firstLine="480"/>
        <w:rPr>
          <w:rFonts w:asciiTheme="minorEastAsia" w:hAnsiTheme="minorEastAsia" w:eastAsiaTheme="minorEastAsia" w:cstheme="minorEastAsia"/>
          <w:sz w:val="21"/>
          <w:szCs w:val="21"/>
        </w:rPr>
      </w:pPr>
    </w:p>
    <w:p>
      <w:pPr>
        <w:spacing w:line="500" w:lineRule="exact"/>
        <w:ind w:firstLine="420" w:firstLineChars="200"/>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sz w:val="21"/>
          <w:szCs w:val="21"/>
        </w:rPr>
        <w:t>鉴于甲方</w:t>
      </w:r>
      <w:r>
        <w:rPr>
          <w:rFonts w:hint="eastAsia" w:asciiTheme="minorEastAsia" w:hAnsiTheme="minorEastAsia" w:eastAsiaTheme="minorEastAsia" w:cstheme="minorEastAsia"/>
          <w:color w:val="auto"/>
          <w:sz w:val="21"/>
          <w:szCs w:val="21"/>
          <w:u w:val="none"/>
        </w:rPr>
        <w:t>需要，乙方向甲方提供风险评估和生产安全事故应急预案编制、修订、评审以及现场项目验收评估报告的编制服务，根据《中华人民共和国民法典》有关规定及《公共安全 城市安全风险评估》（中华人民共和国国家标准）、《生产安全事故应急预案管理办法》（中华人民共和国应急管理部令第2号）等相关法律法规的规定，经双方友好协商，同意就以下条款订立本合同，共同信守执行。</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第一条　甲方按合同的约定向乙方提供真实完整的技术资料、数据和工作条件，乙方依据相关法律、法规、规程和技术标准对项目进行调查、分析，客观、公正的开展技术服务工作；乙方应按照风险评估、预案管理的有关规定，对照法律法规、部门规章、行业标准和规范，向甲方提交符合风险评估的评估报告和备案要求的应急预案。</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第二条　乙方应对甲方提供的技术资料、数据妥善保管，甲方所提供的技术资料、数据和商业机密等乙方不得引用、发表和向第三者提供。无论本合同变更、解除或者终止，乙方均应继续承担约定的保密义务。合同履行完毕后，乙方应当将甲方提供的材料返还给甲方。</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第三条  乙方应当在本合同签订后</w:t>
      </w:r>
      <w:r>
        <w:rPr>
          <w:rFonts w:asciiTheme="minorEastAsia" w:hAnsiTheme="minorEastAsia" w:eastAsiaTheme="minorEastAsia" w:cstheme="minorEastAsia"/>
          <w:color w:val="auto"/>
          <w:sz w:val="21"/>
          <w:szCs w:val="21"/>
          <w:u w:val="none"/>
        </w:rPr>
        <w:t>3日内一次性向甲方提交评估所需材料清单，甲方根据实际情况向乙方提供资料。后期乙方要求甲方补充提交其他材料的，不得作为乙方迟延完成评估工作的理由。</w:t>
      </w:r>
      <w:r>
        <w:rPr>
          <w:rFonts w:hint="eastAsia" w:asciiTheme="minorEastAsia" w:hAnsiTheme="minorEastAsia" w:eastAsiaTheme="minorEastAsia" w:cstheme="minorEastAsia"/>
          <w:color w:val="auto"/>
          <w:sz w:val="21"/>
          <w:szCs w:val="21"/>
          <w:u w:val="none"/>
        </w:rPr>
        <w:t>，乙方于收到甲方提供的材料后即时开展评估和编制工作，并于【30】日内完成风险评估报告、【60】日内完成应急预案编制工作；应急预案编制完成后，乙方立即申请专家到甲方企业现场开展评审工作；预案在通过评审并经主管部门备案成功后，视为乙方完成了服务事项。自合同正式生效之日起至成功备案，乙方需在收到甲方提供的材料后3个月内完成。</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第四条　本次风险评估和应急预案编制技术服务费用共计    元整（¥  ）</w:t>
      </w:r>
      <w:r>
        <w:rPr>
          <w:rFonts w:asciiTheme="minorEastAsia" w:hAnsiTheme="minorEastAsia" w:eastAsiaTheme="minorEastAsia" w:cstheme="minorEastAsia"/>
          <w:color w:val="auto"/>
          <w:sz w:val="21"/>
          <w:szCs w:val="21"/>
          <w:u w:val="none"/>
        </w:rPr>
        <w:t xml:space="preserve">  </w:t>
      </w:r>
      <w:r>
        <w:rPr>
          <w:rFonts w:hint="eastAsia" w:asciiTheme="minorEastAsia" w:hAnsiTheme="minorEastAsia" w:eastAsiaTheme="minorEastAsia" w:cstheme="minorEastAsia"/>
          <w:color w:val="auto"/>
          <w:sz w:val="21"/>
          <w:szCs w:val="21"/>
          <w:u w:val="none"/>
        </w:rPr>
        <w:t>，</w:t>
      </w:r>
      <w:bookmarkStart w:id="55" w:name="_Hlk166313316"/>
      <w:r>
        <w:rPr>
          <w:rFonts w:hint="eastAsia" w:asciiTheme="minorEastAsia" w:hAnsiTheme="minorEastAsia" w:eastAsiaTheme="minorEastAsia" w:cstheme="minorEastAsia"/>
          <w:color w:val="auto"/>
          <w:sz w:val="21"/>
          <w:szCs w:val="21"/>
          <w:u w:val="none"/>
        </w:rPr>
        <w:t>乙方完成合同约定的服务内容并经甲方验收无误，且预案通过评审并经主管部门备案成功，且乙方提供全额增值税专用发票（税率：  ）之日起15个工作日内，甲方一次性支付编制费用。前述费用为固定费用，一次性包死，包括但不限于预案编制、指导评估、修订等乙方完成本合同约定服务所需的一切费用。除此之外，甲方无需就本合同项下服务向乙方或第三方支付任何其他费用。</w:t>
      </w:r>
      <w:bookmarkEnd w:id="55"/>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 xml:space="preserve">第五条 </w:t>
      </w:r>
      <w:r>
        <w:rPr>
          <w:rFonts w:asciiTheme="minorEastAsia" w:hAnsiTheme="minorEastAsia" w:eastAsiaTheme="minorEastAsia" w:cstheme="minorEastAsia"/>
          <w:color w:val="auto"/>
          <w:sz w:val="21"/>
          <w:szCs w:val="21"/>
          <w:u w:val="none"/>
        </w:rPr>
        <w:t xml:space="preserve"> </w:t>
      </w:r>
      <w:r>
        <w:rPr>
          <w:rFonts w:hint="eastAsia" w:asciiTheme="minorEastAsia" w:hAnsiTheme="minorEastAsia" w:eastAsiaTheme="minorEastAsia" w:cstheme="minorEastAsia"/>
          <w:color w:val="auto"/>
          <w:sz w:val="21"/>
          <w:szCs w:val="21"/>
          <w:u w:val="none"/>
        </w:rPr>
        <w:t>乙方应为经主管税务机关认可的小规模纳税人。甲方付款前，乙方应向甲方提供合规的足额增值税专用发票。</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 xml:space="preserve">第六条 </w:t>
      </w:r>
      <w:r>
        <w:rPr>
          <w:rFonts w:asciiTheme="minorEastAsia" w:hAnsiTheme="minorEastAsia" w:eastAsiaTheme="minorEastAsia" w:cstheme="minorEastAsia"/>
          <w:color w:val="auto"/>
          <w:sz w:val="21"/>
          <w:szCs w:val="21"/>
          <w:u w:val="none"/>
        </w:rPr>
        <w:t xml:space="preserve"> </w:t>
      </w:r>
      <w:r>
        <w:rPr>
          <w:rFonts w:hint="eastAsia" w:asciiTheme="minorEastAsia" w:hAnsiTheme="minorEastAsia" w:eastAsiaTheme="minorEastAsia" w:cstheme="minorEastAsia"/>
          <w:color w:val="auto"/>
          <w:sz w:val="21"/>
          <w:szCs w:val="21"/>
          <w:u w:val="none"/>
        </w:rPr>
        <w:t>乙方在本合同中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第七条　违约责任</w:t>
      </w:r>
    </w:p>
    <w:p>
      <w:pPr>
        <w:spacing w:line="500" w:lineRule="exact"/>
        <w:ind w:firstLine="482"/>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val="en-US" w:eastAsia="zh-CN"/>
        </w:rPr>
        <w:t>1</w:t>
      </w:r>
      <w:r>
        <w:rPr>
          <w:rFonts w:hint="eastAsia" w:asciiTheme="minorEastAsia" w:hAnsiTheme="minorEastAsia" w:eastAsiaTheme="minorEastAsia" w:cstheme="minorEastAsia"/>
          <w:color w:val="auto"/>
          <w:sz w:val="21"/>
          <w:szCs w:val="21"/>
          <w:u w:val="none"/>
        </w:rPr>
        <w:t>、乙方保证在本合同约定时间内为甲方编制的评估报告和应急预案通过评审并完成备案，如报告和预案未通过评审和备案的，乙方按照甲方要求期限免费为甲方进行修改，并不得收取任何额外费用，直至甲方通过评审、备案为止。如乙方的报告和预案逾期通过评审、备案的，每逾期一日，乙方应当按照合同总价款的千分之一向甲方支付违约金，逾期超过30日的，甲方有权单方面解除本合同并有权要求乙方支付合同服务费金额的</w:t>
      </w:r>
      <w:r>
        <w:rPr>
          <w:rFonts w:asciiTheme="minorEastAsia" w:hAnsiTheme="minorEastAsia" w:eastAsiaTheme="minorEastAsia" w:cstheme="minorEastAsia"/>
          <w:color w:val="auto"/>
          <w:sz w:val="21"/>
          <w:szCs w:val="21"/>
          <w:u w:val="none"/>
        </w:rPr>
        <w:t>20%作为违约金</w:t>
      </w:r>
      <w:r>
        <w:rPr>
          <w:rFonts w:hint="eastAsia" w:asciiTheme="minorEastAsia" w:hAnsiTheme="minorEastAsia" w:eastAsiaTheme="minorEastAsia" w:cstheme="minorEastAsia"/>
          <w:color w:val="auto"/>
          <w:sz w:val="21"/>
          <w:szCs w:val="21"/>
          <w:u w:val="none"/>
        </w:rPr>
        <w:t>，</w:t>
      </w:r>
      <w:bookmarkStart w:id="56" w:name="_Hlk166312810"/>
      <w:r>
        <w:rPr>
          <w:rFonts w:hint="eastAsia" w:asciiTheme="minorEastAsia" w:hAnsiTheme="minorEastAsia" w:eastAsiaTheme="minorEastAsia" w:cstheme="minorEastAsia"/>
          <w:color w:val="auto"/>
          <w:sz w:val="21"/>
          <w:szCs w:val="21"/>
          <w:u w:val="none"/>
        </w:rPr>
        <w:t>同时，甲方未支付的费用无须继续支付</w:t>
      </w:r>
      <w:bookmarkEnd w:id="56"/>
      <w:r>
        <w:rPr>
          <w:rFonts w:hint="eastAsia" w:asciiTheme="minorEastAsia" w:hAnsiTheme="minorEastAsia" w:eastAsiaTheme="minorEastAsia" w:cstheme="minorEastAsia"/>
          <w:color w:val="auto"/>
          <w:sz w:val="21"/>
          <w:szCs w:val="21"/>
          <w:u w:val="none"/>
        </w:rPr>
        <w:t>。</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val="en-US" w:eastAsia="zh-CN"/>
        </w:rPr>
        <w:t>2</w:t>
      </w:r>
      <w:r>
        <w:rPr>
          <w:rFonts w:hint="eastAsia" w:asciiTheme="minorEastAsia" w:hAnsiTheme="minorEastAsia" w:eastAsiaTheme="minorEastAsia" w:cstheme="minorEastAsia"/>
          <w:color w:val="auto"/>
          <w:sz w:val="21"/>
          <w:szCs w:val="21"/>
          <w:u w:val="none"/>
        </w:rPr>
        <w:t>、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val="en-US" w:eastAsia="zh-CN"/>
        </w:rPr>
        <w:t>3</w:t>
      </w:r>
      <w:r>
        <w:rPr>
          <w:rFonts w:hint="eastAsia" w:asciiTheme="minorEastAsia" w:hAnsiTheme="minorEastAsia" w:eastAsiaTheme="minorEastAsia" w:cstheme="minorEastAsia"/>
          <w:color w:val="auto"/>
          <w:sz w:val="21"/>
          <w:szCs w:val="21"/>
          <w:u w:val="none"/>
        </w:rPr>
        <w:t>、乙方未经甲方书面同意，不得使用或泄露其在合同履行过程中知悉的商业秘密以及与甲方讨论、签订、执行本合同过程中所获悉的应予以保密的文件及资料(包括商业秘密、公司计划、运营活动、财务信息、技术信息、经营信息及其他商业秘密)，否则，甲方有权解除合同并可要求乙方支付本合同服务费金额 20% 的违约金，同时，甲方未支付的费用无须继续支付，给甲方造成其他损失的乙方应负责赔偿。本条保密义务为独立条款，不受本合同其他条款的影响或约束，无论本合同是否存在其他争议或者是否终止、解除，各方均应遵守本条约定；否则，给对方造成损失的，违约方应予以全额赔偿。</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val="en-US" w:eastAsia="zh-CN"/>
        </w:rPr>
        <w:t>4</w:t>
      </w:r>
      <w:r>
        <w:rPr>
          <w:rFonts w:hint="eastAsia" w:asciiTheme="minorEastAsia" w:hAnsiTheme="minorEastAsia" w:eastAsiaTheme="minorEastAsia" w:cstheme="minorEastAsia"/>
          <w:color w:val="auto"/>
          <w:sz w:val="21"/>
          <w:szCs w:val="21"/>
          <w:u w:val="none"/>
        </w:rPr>
        <w:t>、乙方提供的工作成果不符合本合同约定或甲方的要求，甲方有权要求乙方在限定时间内完成整改，乙方应当承担整改费用及逾期完工的违约责任。如乙方未在甲方限定时间内完成整改或经3次整改后仍不符合甲方要求的，甲方有权解除本合同并要求乙方支付合同服务费金额的20%作为违约金，同时，甲方未支付的费用无须继续支付。</w:t>
      </w:r>
    </w:p>
    <w:p>
      <w:pPr>
        <w:spacing w:line="500" w:lineRule="exact"/>
        <w:ind w:firstLine="482"/>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val="en-US" w:eastAsia="zh-CN"/>
        </w:rPr>
        <w:t>5</w:t>
      </w:r>
      <w:r>
        <w:rPr>
          <w:rFonts w:hint="eastAsia" w:asciiTheme="minorEastAsia" w:hAnsiTheme="minorEastAsia" w:eastAsiaTheme="minorEastAsia" w:cstheme="minorEastAsia"/>
          <w:color w:val="auto"/>
          <w:sz w:val="21"/>
          <w:szCs w:val="21"/>
          <w:u w:val="none"/>
        </w:rPr>
        <w:t>、乙方逾期完成任一阶段工作的，每逾期一日，乙方应当按照合同总价款的千分之一向甲方支付违约金，逾期超过</w:t>
      </w:r>
      <w:r>
        <w:rPr>
          <w:rFonts w:asciiTheme="minorEastAsia" w:hAnsiTheme="minorEastAsia" w:eastAsiaTheme="minorEastAsia" w:cstheme="minorEastAsia"/>
          <w:color w:val="auto"/>
          <w:sz w:val="21"/>
          <w:szCs w:val="21"/>
          <w:u w:val="none"/>
        </w:rPr>
        <w:t>30日的，甲方有权单方面解除本合同并有权要求乙方支付合同服务费金额的20%作为违约金，同时，甲方未支付的费用无须继续支付。</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val="en-US" w:eastAsia="zh-CN"/>
        </w:rPr>
        <w:t>6</w:t>
      </w:r>
      <w:r>
        <w:rPr>
          <w:rFonts w:hint="eastAsia" w:asciiTheme="minorEastAsia" w:hAnsiTheme="minorEastAsia" w:eastAsiaTheme="minorEastAsia" w:cstheme="minorEastAsia"/>
          <w:color w:val="auto"/>
          <w:sz w:val="21"/>
          <w:szCs w:val="21"/>
          <w:u w:val="none"/>
        </w:rPr>
        <w:t>、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第八条　本合同在履行的过程中如出现争议，双方应本着平等自愿的原则，按照合同的约定分清各自的责任，采用协商的办法解决争议。协商不成的双方按以下第（2）种方式处理：</w:t>
      </w:r>
    </w:p>
    <w:p>
      <w:pPr>
        <w:pStyle w:val="27"/>
        <w:spacing w:line="500" w:lineRule="exact"/>
        <w:ind w:firstLine="482"/>
        <w:rPr>
          <w:rFonts w:asciiTheme="minorEastAsia" w:hAnsiTheme="minorEastAsia" w:cstheme="minorEastAsia"/>
          <w:color w:val="auto"/>
          <w:sz w:val="21"/>
          <w:szCs w:val="21"/>
          <w:u w:val="none"/>
        </w:rPr>
      </w:pPr>
      <w:r>
        <w:rPr>
          <w:rFonts w:hint="eastAsia" w:asciiTheme="minorEastAsia" w:hAnsiTheme="minorEastAsia" w:cstheme="minorEastAsia"/>
          <w:color w:val="auto"/>
          <w:sz w:val="21"/>
          <w:szCs w:val="21"/>
          <w:u w:val="none"/>
        </w:rPr>
        <w:t>（1）提交合肥市或区县仲裁委员会仲裁。</w:t>
      </w:r>
    </w:p>
    <w:p>
      <w:pPr>
        <w:pStyle w:val="27"/>
        <w:spacing w:line="500" w:lineRule="exact"/>
        <w:ind w:firstLine="482"/>
        <w:rPr>
          <w:rFonts w:asciiTheme="minorEastAsia" w:hAnsiTheme="minorEastAsia" w:cstheme="minorEastAsia"/>
          <w:color w:val="auto"/>
          <w:sz w:val="21"/>
          <w:szCs w:val="21"/>
          <w:u w:val="none"/>
        </w:rPr>
      </w:pPr>
      <w:r>
        <w:rPr>
          <w:rFonts w:hint="eastAsia" w:asciiTheme="minorEastAsia" w:hAnsiTheme="minorEastAsia" w:cstheme="minorEastAsia"/>
          <w:color w:val="auto"/>
          <w:sz w:val="21"/>
          <w:szCs w:val="21"/>
          <w:u w:val="none"/>
        </w:rPr>
        <w:t>（2）依法向甲方所在地人民法院起诉。</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第九条　附则</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1、合同经双方法定代表人或者授权代表签字、盖章后生效，本合同履行完毕后自动终止。</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2、合同未尽事宜，由双方协商达成书面补充协议，补充协议与本合同内容冲突的以补充协议为准。</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3、本合同壹式  肆 份，甲方执  叁 份、乙方执  壹 份，均具有同等法律效力。</w:t>
      </w:r>
    </w:p>
    <w:p>
      <w:pPr>
        <w:spacing w:line="500" w:lineRule="exact"/>
        <w:ind w:firstLine="482"/>
        <w:rPr>
          <w:rFonts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4、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pPr>
        <w:ind w:firstLine="480"/>
        <w:rPr>
          <w:rFonts w:asciiTheme="minorEastAsia" w:hAnsiTheme="minorEastAsia" w:eastAsiaTheme="minorEastAsia" w:cstheme="minorEastAsia"/>
          <w:color w:val="auto"/>
          <w:sz w:val="21"/>
          <w:szCs w:val="21"/>
          <w:u w:val="none"/>
        </w:rPr>
      </w:pPr>
      <w:bookmarkStart w:id="77" w:name="_GoBack"/>
      <w:bookmarkEnd w:id="77"/>
    </w:p>
    <w:p>
      <w:pPr>
        <w:ind w:firstLine="480"/>
        <w:rPr>
          <w:rFonts w:asciiTheme="minorEastAsia" w:hAnsiTheme="minorEastAsia" w:eastAsiaTheme="minorEastAsia" w:cstheme="minorEastAsia"/>
          <w:sz w:val="21"/>
          <w:szCs w:val="21"/>
        </w:rPr>
      </w:pPr>
    </w:p>
    <w:p>
      <w:pPr>
        <w:spacing w:line="500" w:lineRule="exact"/>
        <w:ind w:firstLine="48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pPr>
        <w:spacing w:line="500" w:lineRule="exact"/>
        <w:ind w:firstLine="48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pPr>
        <w:spacing w:line="500" w:lineRule="exact"/>
        <w:ind w:firstLine="48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pPr>
        <w:spacing w:line="500" w:lineRule="exact"/>
        <w:ind w:firstLine="48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委托代理人：                         委托代理人：</w:t>
      </w:r>
    </w:p>
    <w:p>
      <w:pPr>
        <w:spacing w:line="500" w:lineRule="exact"/>
        <w:ind w:firstLine="48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pPr>
        <w:spacing w:line="500" w:lineRule="exact"/>
        <w:ind w:firstLine="48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pPr>
        <w:spacing w:line="500" w:lineRule="exact"/>
        <w:ind w:firstLine="48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pPr>
        <w:spacing w:line="500" w:lineRule="exact"/>
        <w:ind w:firstLine="48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                     年  月  日</w:t>
      </w:r>
    </w:p>
    <w:p>
      <w:pPr>
        <w:spacing w:line="360" w:lineRule="auto"/>
        <w:jc w:val="center"/>
        <w:outlineLvl w:val="0"/>
        <w:rPr>
          <w:rFonts w:asciiTheme="minorEastAsia" w:hAnsiTheme="minorEastAsia" w:eastAsiaTheme="minorEastAsia"/>
          <w:b/>
          <w:sz w:val="28"/>
        </w:rPr>
      </w:pPr>
    </w:p>
    <w:p>
      <w:pPr>
        <w:pageBreakBefore/>
        <w:spacing w:before="312" w:beforeLines="100" w:after="312" w:afterLines="100" w:line="500" w:lineRule="exact"/>
        <w:jc w:val="center"/>
        <w:outlineLvl w:val="0"/>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廉  政  协  议</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spacing w:line="500" w:lineRule="exact"/>
        <w:ind w:firstLine="420" w:firstLineChars="200"/>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spacing w:line="50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spacing w:line="50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rPr>
        <w:t xml:space="preserve">        </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spacing w:line="50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spacing w:line="500" w:lineRule="exact"/>
        <w:rPr>
          <w:rFonts w:asciiTheme="minorEastAsia" w:hAnsiTheme="minorEastAsia" w:eastAsiaTheme="minorEastAsia" w:cstheme="minorEastAsia"/>
          <w:sz w:val="21"/>
          <w:szCs w:val="21"/>
        </w:rPr>
      </w:pPr>
    </w:p>
    <w:p>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spacing w:line="500" w:lineRule="exact"/>
      </w:pPr>
      <w:r>
        <w:rPr>
          <w:rFonts w:hint="eastAsia" w:asciiTheme="minorEastAsia" w:hAnsiTheme="minorEastAsia" w:eastAsiaTheme="minorEastAsia" w:cstheme="minorEastAsia"/>
          <w:sz w:val="21"/>
          <w:szCs w:val="21"/>
        </w:rPr>
        <w:t>日期：                            日期：</w:t>
      </w:r>
      <w:bookmarkStart w:id="57" w:name="_Toc1367"/>
    </w:p>
    <w:p>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7"/>
    </w:p>
    <w:p>
      <w:pPr>
        <w:spacing w:line="5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风险评估和安全生产应急预案编制服务</w:t>
      </w:r>
    </w:p>
    <w:p>
      <w:pPr>
        <w:spacing w:line="900" w:lineRule="exact"/>
        <w:jc w:val="center"/>
        <w:rPr>
          <w:rFonts w:ascii="黑体" w:hAnsi="黑体" w:eastAsia="黑体" w:cs="黑体"/>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8" w:name="_Toc461053086"/>
      <w:bookmarkStart w:id="59" w:name="_Toc461056631"/>
      <w:bookmarkStart w:id="60" w:name="_Toc520983587"/>
      <w:bookmarkStart w:id="61" w:name="_Toc6077"/>
      <w:r>
        <w:rPr>
          <w:rFonts w:hint="eastAsia" w:asciiTheme="minorEastAsia" w:hAnsiTheme="minorEastAsia" w:eastAsiaTheme="minorEastAsia"/>
          <w:b/>
          <w:sz w:val="24"/>
        </w:rPr>
        <w:t>一</w:t>
      </w:r>
      <w:bookmarkEnd w:id="58"/>
      <w:bookmarkEnd w:id="59"/>
      <w:r>
        <w:rPr>
          <w:rFonts w:hint="eastAsia" w:asciiTheme="minorEastAsia" w:hAnsiTheme="minorEastAsia" w:eastAsiaTheme="minorEastAsia"/>
          <w:b/>
          <w:sz w:val="24"/>
        </w:rPr>
        <w:t>、报价表格式</w:t>
      </w:r>
      <w:bookmarkEnd w:id="60"/>
      <w:bookmarkEnd w:id="61"/>
    </w:p>
    <w:p>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pPr>
        <w:spacing w:line="500" w:lineRule="exac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 xml:space="preserve">项目名称： </w:t>
      </w:r>
      <w:r>
        <w:rPr>
          <w:rFonts w:hint="eastAsia" w:asciiTheme="majorEastAsia" w:hAnsiTheme="majorEastAsia" w:eastAsiaTheme="majorEastAsia" w:cstheme="majorEastAsia"/>
          <w:sz w:val="21"/>
          <w:szCs w:val="21"/>
        </w:rPr>
        <w:t>风险评估和安全生产应急预案编制服务</w:t>
      </w:r>
    </w:p>
    <w:p>
      <w:pPr>
        <w:snapToGrid w:val="0"/>
        <w:spacing w:after="156" w:afterLines="50" w:line="360" w:lineRule="auto"/>
        <w:jc w:val="left"/>
        <w:rPr>
          <w:rFonts w:cs="宋体" w:asciiTheme="minorEastAsia" w:hAnsiTheme="minorEastAsia" w:eastAsiaTheme="minorEastAsia"/>
          <w:b/>
          <w:bCs/>
          <w:kern w:val="2"/>
          <w:sz w:val="24"/>
          <w:szCs w:val="24"/>
        </w:rPr>
      </w:pPr>
      <w:r>
        <w:rPr>
          <w:rFonts w:hint="eastAsia" w:cs="宋体" w:asciiTheme="minorEastAsia" w:hAnsiTheme="minorEastAsia" w:eastAsiaTheme="minorEastAsia"/>
          <w:b/>
          <w:kern w:val="2"/>
          <w:sz w:val="24"/>
          <w:szCs w:val="24"/>
        </w:rPr>
        <w:t xml:space="preserve">项目编号： </w:t>
      </w:r>
      <w:r>
        <w:rPr>
          <w:rFonts w:hint="eastAsia" w:asciiTheme="majorEastAsia" w:hAnsiTheme="majorEastAsia" w:eastAsiaTheme="majorEastAsia" w:cstheme="majorEastAsia"/>
          <w:sz w:val="21"/>
          <w:szCs w:val="21"/>
        </w:rPr>
        <w:t>2024WLYDZB00020号</w:t>
      </w:r>
      <w:r>
        <w:rPr>
          <w:rFonts w:hint="eastAsia" w:cs="宋体" w:asciiTheme="minorEastAsia" w:hAnsiTheme="minorEastAsia" w:eastAsiaTheme="minorEastAsia"/>
          <w:b/>
          <w:kern w:val="2"/>
          <w:sz w:val="24"/>
          <w:szCs w:val="24"/>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spacing w:line="480" w:lineRule="auto"/>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小写：</w:t>
            </w:r>
            <w:r>
              <w:rPr>
                <w:rFonts w:hint="eastAsia" w:cs="宋体" w:asciiTheme="minorEastAsia" w:hAnsiTheme="minorEastAsia" w:eastAsiaTheme="minorEastAsia"/>
                <w:bCs/>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pageBreakBefore/>
        <w:adjustRightInd w:val="0"/>
        <w:snapToGrid w:val="0"/>
        <w:spacing w:line="360" w:lineRule="auto"/>
        <w:rPr>
          <w:b/>
          <w:sz w:val="24"/>
          <w:szCs w:val="28"/>
        </w:rPr>
      </w:pPr>
      <w:r>
        <w:rPr>
          <w:rFonts w:hint="eastAsia"/>
          <w:b/>
          <w:sz w:val="24"/>
          <w:szCs w:val="28"/>
        </w:rPr>
        <w:t>1-2 分项报价明细表</w:t>
      </w:r>
    </w:p>
    <w:p>
      <w:pPr>
        <w:jc w:val="center"/>
        <w:rPr>
          <w:i/>
          <w:iCs/>
          <w:color w:val="FF0000"/>
          <w:sz w:val="24"/>
          <w:szCs w:val="24"/>
        </w:rPr>
      </w:pPr>
      <w:r>
        <w:rPr>
          <w:rFonts w:hint="eastAsia"/>
          <w:b/>
          <w:i/>
          <w:iCs/>
          <w:color w:val="FF0000"/>
          <w:sz w:val="24"/>
          <w:szCs w:val="24"/>
        </w:rPr>
        <w:t>（如有，格式自拟）</w:t>
      </w:r>
    </w:p>
    <w:p>
      <w:pPr>
        <w:pageBreakBefore/>
        <w:spacing w:line="360" w:lineRule="auto"/>
        <w:jc w:val="center"/>
        <w:outlineLvl w:val="1"/>
        <w:rPr>
          <w:rFonts w:asciiTheme="minorEastAsia" w:hAnsiTheme="minorEastAsia" w:eastAsiaTheme="minorEastAsia"/>
          <w:b/>
          <w:sz w:val="24"/>
        </w:rPr>
      </w:pPr>
      <w:bookmarkStart w:id="62" w:name="_Toc461053087"/>
      <w:bookmarkStart w:id="63" w:name="_Toc461056632"/>
      <w:bookmarkStart w:id="64" w:name="_Toc32037"/>
      <w:bookmarkStart w:id="65" w:name="_Toc520983588"/>
      <w:r>
        <w:rPr>
          <w:rFonts w:hint="eastAsia" w:asciiTheme="minorEastAsia" w:hAnsiTheme="minorEastAsia" w:eastAsiaTheme="minorEastAsia"/>
          <w:b/>
          <w:sz w:val="24"/>
        </w:rPr>
        <w:t>二</w:t>
      </w:r>
      <w:bookmarkEnd w:id="62"/>
      <w:bookmarkEnd w:id="63"/>
      <w:r>
        <w:rPr>
          <w:rFonts w:hint="eastAsia" w:asciiTheme="minorEastAsia" w:hAnsiTheme="minorEastAsia" w:eastAsiaTheme="minorEastAsia"/>
          <w:b/>
          <w:sz w:val="24"/>
        </w:rPr>
        <w:t>、第_</w:t>
      </w:r>
      <w:r>
        <w:rPr>
          <w:rFonts w:hint="eastAsia" w:asciiTheme="minorEastAsia" w:hAnsiTheme="minorEastAsia" w:eastAsiaTheme="minorEastAsia"/>
          <w:b/>
          <w:sz w:val="24"/>
          <w:u w:val="single"/>
        </w:rPr>
        <w:t>_二_</w:t>
      </w:r>
      <w:r>
        <w:rPr>
          <w:rFonts w:hint="eastAsia" w:asciiTheme="minorEastAsia" w:hAnsiTheme="minorEastAsia" w:eastAsiaTheme="minorEastAsia"/>
          <w:b/>
          <w:sz w:val="24"/>
        </w:rPr>
        <w:t>__轮报价</w:t>
      </w:r>
      <w:bookmarkEnd w:id="64"/>
      <w:bookmarkEnd w:id="65"/>
    </w:p>
    <w:p>
      <w:pPr>
        <w:spacing w:line="500" w:lineRule="exac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 风险评估和安全生产应急预案编制服务</w:t>
      </w:r>
    </w:p>
    <w:p>
      <w:pPr>
        <w:snapToGrid w:val="0"/>
        <w:spacing w:after="156" w:afterLines="50" w:line="360" w:lineRule="auto"/>
        <w:jc w:val="left"/>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 xml:space="preserve">项目编号： 2024WLYDZB00020号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pPr>
              <w:spacing w:line="360" w:lineRule="auto"/>
              <w:jc w:val="center"/>
              <w:rPr>
                <w:rFonts w:cs="@仿宋_GB2312"/>
                <w:b/>
                <w:kern w:val="2"/>
                <w:sz w:val="24"/>
              </w:rPr>
            </w:pPr>
            <w:r>
              <w:rPr>
                <w:rFonts w:hint="eastAsia" w:cs="@仿宋_GB2312"/>
                <w:b/>
                <w:bCs/>
                <w:kern w:val="2"/>
                <w:sz w:val="24"/>
                <w:szCs w:val="28"/>
              </w:rPr>
              <w:t>最终投标报价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pPr>
              <w:snapToGrid w:val="0"/>
              <w:spacing w:line="480" w:lineRule="auto"/>
              <w:rPr>
                <w:rFonts w:cs="宋体" w:asciiTheme="minorEastAsia" w:hAnsiTheme="minorEastAsia" w:eastAsiaTheme="minorEastAsia"/>
                <w:bCs/>
                <w:kern w:val="2"/>
                <w:sz w:val="24"/>
                <w:szCs w:val="24"/>
              </w:rPr>
            </w:pPr>
          </w:p>
          <w:p>
            <w:pPr>
              <w:snapToGrid w:val="0"/>
              <w:spacing w:line="480" w:lineRule="auto"/>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spacing w:line="480" w:lineRule="auto"/>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小写：</w:t>
            </w:r>
            <w:r>
              <w:rPr>
                <w:rFonts w:hint="eastAsia" w:cs="宋体" w:asciiTheme="minorEastAsia" w:hAnsiTheme="minorEastAsia" w:eastAsiaTheme="minorEastAsia"/>
                <w:bCs/>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pPr>
              <w:rPr>
                <w:rFonts w:cs="宋体" w:asciiTheme="minorEastAsia" w:hAnsiTheme="minorEastAsia" w:eastAsiaTheme="minorEastAsia"/>
                <w:b/>
                <w:kern w:val="2"/>
                <w:sz w:val="24"/>
                <w:szCs w:val="24"/>
              </w:rPr>
            </w:pPr>
          </w:p>
        </w:tc>
      </w:tr>
    </w:tbl>
    <w:p>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pPr>
        <w:spacing w:line="360" w:lineRule="auto"/>
        <w:jc w:val="left"/>
        <w:rPr>
          <w:rFonts w:cs="宋体" w:asciiTheme="minorEastAsia" w:hAnsiTheme="minorEastAsia" w:eastAsiaTheme="minorEastAsia"/>
          <w:b/>
          <w:bCs/>
          <w:kern w:val="2"/>
          <w:sz w:val="24"/>
          <w:szCs w:val="24"/>
        </w:rPr>
      </w:pPr>
    </w:p>
    <w:p>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pPr>
        <w:widowControl/>
        <w:jc w:val="left"/>
        <w:rPr>
          <w:rFonts w:asciiTheme="minorEastAsia" w:hAnsiTheme="minorEastAsia" w:eastAsiaTheme="minorEastAsia"/>
          <w:b/>
          <w:sz w:val="24"/>
        </w:rPr>
      </w:pPr>
      <w:r>
        <w:rPr>
          <w:bCs/>
          <w:sz w:val="24"/>
        </w:rPr>
        <w:br w:type="page"/>
      </w:r>
      <w:bookmarkStart w:id="66" w:name="_Toc520983591"/>
    </w:p>
    <w:p>
      <w:pPr>
        <w:spacing w:line="360" w:lineRule="auto"/>
        <w:jc w:val="center"/>
        <w:outlineLvl w:val="1"/>
        <w:rPr>
          <w:rFonts w:asciiTheme="minorEastAsia" w:hAnsiTheme="minorEastAsia" w:eastAsiaTheme="minorEastAsia"/>
          <w:b/>
          <w:sz w:val="24"/>
        </w:rPr>
      </w:pPr>
      <w:bookmarkStart w:id="67" w:name="_Toc28368"/>
      <w:r>
        <w:rPr>
          <w:rFonts w:hint="eastAsia" w:asciiTheme="minorEastAsia" w:hAnsiTheme="minorEastAsia" w:eastAsiaTheme="minorEastAsia"/>
          <w:b/>
          <w:sz w:val="24"/>
        </w:rPr>
        <w:t>三、投标函</w:t>
      </w:r>
      <w:bookmarkEnd w:id="66"/>
      <w:bookmarkEnd w:id="67"/>
    </w:p>
    <w:p>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kern w:val="2"/>
          <w:sz w:val="24"/>
          <w:szCs w:val="24"/>
          <w:u w:val="single"/>
        </w:rPr>
        <w:t xml:space="preserve"> 合肥文旅博览集团野生动物园管理有限公司   </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rPr>
          <w:sz w:val="24"/>
        </w:rPr>
      </w:pPr>
      <w:r>
        <w:rPr>
          <w:rFonts w:hint="eastAsia"/>
          <w:sz w:val="24"/>
        </w:rPr>
        <w:t>7.我方同意竞价文件规定的付款方式、服务期限。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pageBreakBefore/>
        <w:spacing w:line="360" w:lineRule="auto"/>
        <w:jc w:val="center"/>
        <w:outlineLvl w:val="1"/>
        <w:rPr>
          <w:rFonts w:asciiTheme="minorEastAsia" w:hAnsiTheme="minorEastAsia" w:eastAsiaTheme="minorEastAsia"/>
          <w:b/>
          <w:sz w:val="24"/>
        </w:rPr>
      </w:pPr>
      <w:bookmarkStart w:id="68" w:name="_Toc520983594"/>
      <w:bookmarkStart w:id="69" w:name="_Toc204594911"/>
      <w:bookmarkStart w:id="70" w:name="_Toc121626298"/>
      <w:bookmarkStart w:id="71" w:name="_Toc516969106"/>
      <w:bookmarkStart w:id="72" w:name="_Toc3356"/>
      <w:r>
        <w:rPr>
          <w:rFonts w:hint="eastAsia" w:asciiTheme="minorEastAsia" w:hAnsiTheme="minorEastAsia" w:eastAsiaTheme="minorEastAsia"/>
          <w:b/>
          <w:sz w:val="24"/>
        </w:rPr>
        <w:t>四、授权书</w:t>
      </w:r>
      <w:bookmarkEnd w:id="68"/>
      <w:bookmarkEnd w:id="69"/>
      <w:bookmarkEnd w:id="70"/>
      <w:bookmarkEnd w:id="71"/>
      <w:bookmarkEnd w:id="72"/>
    </w:p>
    <w:p>
      <w:pPr>
        <w:spacing w:line="360" w:lineRule="auto"/>
        <w:jc w:val="center"/>
        <w:rPr>
          <w:rFonts w:asciiTheme="minorEastAsia" w:hAnsiTheme="minorEastAsia" w:eastAsiaTheme="minorEastAsia"/>
          <w:b/>
          <w:sz w:val="24"/>
        </w:rPr>
      </w:pPr>
    </w:p>
    <w:p>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snapToGrid w:val="0"/>
        <w:spacing w:line="500" w:lineRule="exact"/>
        <w:ind w:firstLine="480" w:firstLineChars="200"/>
        <w:rPr>
          <w:rFonts w:ascii="Times New Roman" w:hAnsi="Times New Roman" w:cs="Times New Roman"/>
          <w:sz w:val="24"/>
          <w:szCs w:val="28"/>
        </w:rPr>
      </w:pPr>
      <w:r>
        <w:rPr>
          <w:rFonts w:ascii="Times New Roman" w:hAnsi="Times New Roman" w:cs="Times New Roman"/>
          <w:sz w:val="24"/>
          <w:szCs w:val="28"/>
        </w:rPr>
        <w:t>附：</w:t>
      </w:r>
      <w:r>
        <w:rPr>
          <w:rFonts w:hint="eastAsia" w:ascii="Times New Roman" w:hAnsi="Times New Roman" w:cs="Times New Roman"/>
          <w:sz w:val="24"/>
          <w:szCs w:val="28"/>
        </w:rPr>
        <w:t>法定代表人身份证明</w:t>
      </w:r>
    </w:p>
    <w:p>
      <w:pPr>
        <w:snapToGrid w:val="0"/>
        <w:spacing w:line="500" w:lineRule="exact"/>
        <w:ind w:firstLine="480" w:firstLineChars="200"/>
        <w:rPr>
          <w:rFonts w:ascii="Times New Roman" w:hAnsi="Times New Roman" w:cs="Times New Roman"/>
          <w:sz w:val="24"/>
          <w:szCs w:val="28"/>
        </w:rPr>
      </w:pPr>
      <w:r>
        <w:rPr>
          <w:rFonts w:hint="eastAsia" w:ascii="Times New Roman" w:hAnsi="Times New Roman" w:cs="Times New Roman"/>
          <w:sz w:val="24"/>
          <w:szCs w:val="28"/>
        </w:rPr>
        <w:t>委托代理人及法定代表人身份证扫描件</w:t>
      </w:r>
    </w:p>
    <w:p>
      <w:pPr>
        <w:pStyle w:val="27"/>
        <w:snapToGrid w:val="0"/>
        <w:spacing w:line="360" w:lineRule="auto"/>
        <w:ind w:firstLine="480" w:firstLineChars="200"/>
        <w:jc w:val="left"/>
        <w:rPr>
          <w:rFonts w:hAnsi="宋体" w:eastAsia="宋体"/>
          <w:sz w:val="24"/>
          <w:szCs w:val="28"/>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7"/>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7"/>
        <w:snapToGrid w:val="0"/>
        <w:spacing w:line="360" w:lineRule="auto"/>
        <w:jc w:val="left"/>
        <w:rPr>
          <w:rFonts w:hAnsi="宋体" w:eastAsia="宋体"/>
          <w:sz w:val="24"/>
          <w:szCs w:val="28"/>
        </w:rPr>
      </w:pPr>
      <w:r>
        <w:rPr>
          <w:rFonts w:hint="eastAsia" w:hAnsi="宋体" w:eastAsia="宋体"/>
          <w:sz w:val="24"/>
          <w:szCs w:val="28"/>
        </w:rPr>
        <w:t>注：</w:t>
      </w:r>
    </w:p>
    <w:p>
      <w:pPr>
        <w:pStyle w:val="27"/>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2.法定代表人参加竞价的无需提供授权书，仅提供法定代表人身份证明书。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73" w:name="_Toc3460"/>
      <w:r>
        <w:rPr>
          <w:rFonts w:hint="eastAsia" w:asciiTheme="minorEastAsia" w:hAnsiTheme="minorEastAsia" w:eastAsiaTheme="minorEastAsia"/>
          <w:b/>
          <w:sz w:val="24"/>
        </w:rPr>
        <w:t>五、法定代表人身份证明书</w:t>
      </w:r>
      <w:bookmarkEnd w:id="73"/>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spacing w:line="360" w:lineRule="auto"/>
        <w:jc w:val="center"/>
        <w:outlineLvl w:val="1"/>
        <w:rPr>
          <w:rFonts w:asciiTheme="minorEastAsia" w:hAnsiTheme="minorEastAsia" w:eastAsiaTheme="minorEastAsia"/>
          <w:b/>
          <w:sz w:val="24"/>
        </w:rPr>
      </w:pPr>
      <w:bookmarkStart w:id="74" w:name="_Toc6867"/>
      <w:r>
        <w:rPr>
          <w:rFonts w:hint="eastAsia" w:asciiTheme="minorEastAsia" w:hAnsiTheme="minorEastAsia" w:eastAsiaTheme="minorEastAsia"/>
          <w:b/>
          <w:sz w:val="24"/>
        </w:rPr>
        <w:t>六、投标业绩</w:t>
      </w:r>
      <w:bookmarkEnd w:id="74"/>
      <w:r>
        <w:rPr>
          <w:rFonts w:hint="eastAsia" w:asciiTheme="minorEastAsia" w:hAnsiTheme="minorEastAsia" w:eastAsiaTheme="minorEastAsia"/>
          <w:b/>
          <w:sz w:val="24"/>
        </w:rPr>
        <w:t>（如有）</w:t>
      </w:r>
    </w:p>
    <w:p>
      <w:pPr>
        <w:keepNext/>
        <w:keepLines/>
        <w:numPr>
          <w:ilvl w:val="0"/>
          <w:numId w:val="2"/>
        </w:numPr>
        <w:jc w:val="center"/>
        <w:rPr>
          <w:sz w:val="24"/>
          <w:szCs w:val="24"/>
        </w:rPr>
      </w:pPr>
      <w:r>
        <w:rPr>
          <w:rFonts w:hint="eastAsia"/>
          <w:sz w:val="24"/>
          <w:szCs w:val="24"/>
        </w:rPr>
        <w:t>业绩表</w:t>
      </w:r>
    </w:p>
    <w:p>
      <w:pPr>
        <w:keepNext/>
        <w:keepLines/>
        <w:jc w:val="center"/>
        <w:rPr>
          <w:sz w:val="24"/>
          <w:szCs w:val="24"/>
        </w:rPr>
      </w:pPr>
      <w:r>
        <w:rPr>
          <w:rFonts w:hint="eastAsia"/>
          <w:sz w:val="24"/>
          <w:szCs w:val="24"/>
        </w:rPr>
        <w:t>（格式仅供参考）</w:t>
      </w:r>
    </w:p>
    <w:p>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2"/>
        </w:numPr>
        <w:spacing w:line="360" w:lineRule="auto"/>
        <w:jc w:val="center"/>
        <w:rPr>
          <w:sz w:val="24"/>
          <w:szCs w:val="24"/>
        </w:rPr>
      </w:pPr>
      <w:r>
        <w:rPr>
          <w:rFonts w:hint="eastAsia"/>
          <w:sz w:val="24"/>
          <w:szCs w:val="24"/>
        </w:rPr>
        <w:t>业绩证明材料</w:t>
      </w:r>
    </w:p>
    <w:p>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rPr>
      </w:pPr>
      <w:bookmarkStart w:id="75" w:name="_Toc3876"/>
      <w:r>
        <w:rPr>
          <w:rFonts w:hint="eastAsia" w:asciiTheme="minorEastAsia" w:hAnsiTheme="minorEastAsia" w:eastAsiaTheme="minorEastAsia"/>
          <w:b/>
          <w:sz w:val="24"/>
        </w:rPr>
        <w:t>七、其他相关证明材料</w:t>
      </w:r>
      <w:bookmarkEnd w:id="75"/>
    </w:p>
    <w:p>
      <w:pPr>
        <w:spacing w:line="360" w:lineRule="auto"/>
        <w:jc w:val="center"/>
        <w:rPr>
          <w:sz w:val="24"/>
          <w:szCs w:val="22"/>
        </w:rPr>
      </w:pPr>
      <w:bookmarkStart w:id="76" w:name="_Toc19685"/>
      <w:r>
        <w:rPr>
          <w:rFonts w:hint="eastAsia"/>
          <w:sz w:val="24"/>
          <w:szCs w:val="22"/>
        </w:rPr>
        <w:t>投标人按照第四章评审方法和标准放置的其他资料。</w:t>
      </w:r>
      <w:bookmarkEnd w:id="76"/>
    </w:p>
    <w:p>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sz w:val="24"/>
        <w:szCs w:val="24"/>
      </w:rPr>
    </w:pPr>
    <w:r>
      <w:rPr>
        <w:color w:val="000000"/>
        <w:u w:val="single"/>
      </w:rPr>
      <w:drawing>
        <wp:inline distT="0" distB="0" distL="114300" distR="114300">
          <wp:extent cx="457835" cy="443230"/>
          <wp:effectExtent l="0" t="0" r="1841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u w:val="single"/>
      </w:rPr>
      <w:t xml:space="preserve"> </w:t>
    </w:r>
    <w:r>
      <w:rPr>
        <w:rFonts w:hint="eastAsia"/>
        <w:sz w:val="24"/>
        <w:szCs w:val="24"/>
        <w:u w:val="single"/>
      </w:rPr>
      <w:t>合肥文旅博览集团有限公司竞价文件示范文本（服务类）</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MjliMGRiMjYwYzcxMWU5OTFjMzRhM2MwZmIwZjI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0FE9"/>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4F3B8A"/>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3C8A"/>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B0B"/>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47EA"/>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33D0"/>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C7E67"/>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9A1143"/>
    <w:rsid w:val="02A816E8"/>
    <w:rsid w:val="02A91F83"/>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70CE9"/>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22111B"/>
    <w:rsid w:val="20432151"/>
    <w:rsid w:val="206436A4"/>
    <w:rsid w:val="207D154D"/>
    <w:rsid w:val="208714FC"/>
    <w:rsid w:val="20895274"/>
    <w:rsid w:val="209514ED"/>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8B500F"/>
    <w:rsid w:val="27982240"/>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7D7221"/>
    <w:rsid w:val="2FAB0637"/>
    <w:rsid w:val="2FB91BFD"/>
    <w:rsid w:val="2FC71915"/>
    <w:rsid w:val="2FE204FD"/>
    <w:rsid w:val="2FE222AB"/>
    <w:rsid w:val="2FEA5603"/>
    <w:rsid w:val="300A0C97"/>
    <w:rsid w:val="300E364A"/>
    <w:rsid w:val="301270DA"/>
    <w:rsid w:val="301A66C6"/>
    <w:rsid w:val="301F4C0C"/>
    <w:rsid w:val="30330D58"/>
    <w:rsid w:val="303F594F"/>
    <w:rsid w:val="30621346"/>
    <w:rsid w:val="30756A6C"/>
    <w:rsid w:val="307F3F9D"/>
    <w:rsid w:val="308B3C32"/>
    <w:rsid w:val="308B46F0"/>
    <w:rsid w:val="30934C53"/>
    <w:rsid w:val="309F63EE"/>
    <w:rsid w:val="30B42C9E"/>
    <w:rsid w:val="30B64765"/>
    <w:rsid w:val="30C03C9B"/>
    <w:rsid w:val="30CA0B34"/>
    <w:rsid w:val="30F7442C"/>
    <w:rsid w:val="31111D33"/>
    <w:rsid w:val="31291211"/>
    <w:rsid w:val="312C2D8C"/>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2E74E6"/>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EF9318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7E7959"/>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833790"/>
    <w:rsid w:val="45C47B05"/>
    <w:rsid w:val="45C96E92"/>
    <w:rsid w:val="45CC0C03"/>
    <w:rsid w:val="45DC747E"/>
    <w:rsid w:val="46067BF3"/>
    <w:rsid w:val="46072613"/>
    <w:rsid w:val="462E0F7B"/>
    <w:rsid w:val="46427B16"/>
    <w:rsid w:val="464A5E88"/>
    <w:rsid w:val="464E0242"/>
    <w:rsid w:val="46690BD8"/>
    <w:rsid w:val="468E6891"/>
    <w:rsid w:val="46AE2A8F"/>
    <w:rsid w:val="46DB1ADF"/>
    <w:rsid w:val="47105641"/>
    <w:rsid w:val="471A6376"/>
    <w:rsid w:val="473408E5"/>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BC7B73"/>
    <w:rsid w:val="5FCA2314"/>
    <w:rsid w:val="5FCF5AF8"/>
    <w:rsid w:val="600328DF"/>
    <w:rsid w:val="60072310"/>
    <w:rsid w:val="600A6B30"/>
    <w:rsid w:val="600B265B"/>
    <w:rsid w:val="6011528E"/>
    <w:rsid w:val="60336BFF"/>
    <w:rsid w:val="607653E6"/>
    <w:rsid w:val="607C050A"/>
    <w:rsid w:val="607E5AB6"/>
    <w:rsid w:val="60805044"/>
    <w:rsid w:val="60824549"/>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2B5197"/>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C6EDE"/>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5135CA"/>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uiPriority w:val="1"/>
  </w:style>
  <w:style w:type="table" w:default="1" w:styleId="56">
    <w:name w:val="Normal Table"/>
    <w:semiHidden/>
    <w:unhideWhenUsed/>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Revision"/>
    <w:hidden/>
    <w:unhideWhenUsed/>
    <w:uiPriority w:val="99"/>
    <w:rPr>
      <w:rFonts w:ascii="宋体" w:hAnsi="宋体" w:eastAsia="宋体"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33</Pages>
  <Words>13415</Words>
  <Characters>13843</Characters>
  <Lines>118</Lines>
  <Paragraphs>33</Paragraphs>
  <TotalTime>72</TotalTime>
  <ScaleCrop>false</ScaleCrop>
  <LinksUpToDate>false</LinksUpToDate>
  <CharactersWithSpaces>15369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张本福</cp:lastModifiedBy>
  <cp:lastPrinted>2023-05-30T07:28:00Z</cp:lastPrinted>
  <dcterms:modified xsi:type="dcterms:W3CDTF">2024-05-11T02:18:19Z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2D32C20CD5B54599A5A65D19A4FD30B9_13</vt:lpwstr>
  </property>
</Properties>
</file>