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32" w:name="_GoBack"/>
      <w:bookmarkEnd w:id="32"/>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hint="eastAsia" w:ascii="宋体" w:hAnsi="DotumChe" w:cs="宋体"/>
          <w:b/>
          <w:color w:val="000000"/>
          <w:spacing w:val="20"/>
          <w:kern w:val="0"/>
          <w:sz w:val="32"/>
          <w:szCs w:val="32"/>
          <w:u w:val="single"/>
          <w:lang w:val="en-US" w:eastAsia="zh-CN"/>
        </w:rPr>
      </w:pPr>
      <w:r>
        <w:rPr>
          <w:rFonts w:ascii="Times New Roman" w:hAnsi="Times New Roman" w:cs="Times New Roman" w:eastAsiaTheme="minorEastAsia"/>
          <w:b/>
          <w:spacing w:val="20"/>
          <w:kern w:val="0"/>
          <w:sz w:val="32"/>
          <w:szCs w:val="32"/>
        </w:rPr>
        <w:t>项目名称：</w:t>
      </w:r>
      <w:r>
        <w:rPr>
          <w:rFonts w:hint="eastAsia" w:ascii="宋体" w:hAnsi="DotumChe" w:cs="宋体"/>
          <w:b/>
          <w:color w:val="000000"/>
          <w:spacing w:val="20"/>
          <w:kern w:val="0"/>
          <w:sz w:val="32"/>
          <w:szCs w:val="32"/>
          <w:u w:val="single"/>
          <w:lang w:val="en-US" w:eastAsia="zh-CN"/>
        </w:rPr>
        <w:t>合</w:t>
      </w:r>
      <w:r>
        <w:rPr>
          <w:rFonts w:hint="eastAsia" w:ascii="宋体" w:hAnsi="DotumChe" w:cs="宋体"/>
          <w:b/>
          <w:color w:val="000000"/>
          <w:spacing w:val="20"/>
          <w:kern w:val="0"/>
          <w:sz w:val="32"/>
          <w:szCs w:val="32"/>
          <w:u w:val="single"/>
          <w:lang w:eastAsia="zh-CN"/>
        </w:rPr>
        <w:t>肥国际人才公寓闲置变压器及配电箱</w:t>
      </w:r>
      <w:r>
        <w:rPr>
          <w:rFonts w:hint="eastAsia" w:ascii="宋体" w:hAnsi="DotumChe" w:cs="宋体"/>
          <w:b/>
          <w:color w:val="000000"/>
          <w:spacing w:val="20"/>
          <w:kern w:val="0"/>
          <w:sz w:val="32"/>
          <w:szCs w:val="32"/>
          <w:u w:val="single"/>
          <w:lang w:val="en-US" w:eastAsia="zh-CN"/>
        </w:rPr>
        <w:t>资产</w:t>
      </w:r>
      <w:r>
        <w:rPr>
          <w:rFonts w:hint="eastAsia" w:ascii="宋体" w:hAnsi="DotumChe" w:cs="宋体"/>
          <w:b/>
          <w:color w:val="000000"/>
          <w:spacing w:val="20"/>
          <w:kern w:val="0"/>
          <w:sz w:val="32"/>
          <w:szCs w:val="32"/>
          <w:u w:val="single"/>
        </w:rPr>
        <w:t>评估</w:t>
      </w:r>
      <w:r>
        <w:rPr>
          <w:rFonts w:hint="eastAsia" w:ascii="宋体" w:hAnsi="DotumChe" w:cs="宋体"/>
          <w:b/>
          <w:color w:val="000000"/>
          <w:spacing w:val="20"/>
          <w:kern w:val="0"/>
          <w:sz w:val="32"/>
          <w:szCs w:val="32"/>
          <w:u w:val="single"/>
          <w:lang w:val="en-US" w:eastAsia="zh-CN"/>
        </w:rPr>
        <w:t>服务</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2024WLBLZB00022号</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lang w:val="en-US" w:eastAsia="zh-CN"/>
        </w:rPr>
        <w:t>合肥文旅博览集团有限公司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1"/>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5</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8"/>
        <w:tabs>
          <w:tab w:val="right" w:leader="dot" w:pos="8869"/>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_Toc7088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_Toc7088 \h </w:instrText>
      </w:r>
      <w:r>
        <w:fldChar w:fldCharType="separate"/>
      </w:r>
      <w:r>
        <w:t>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_Toc1469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_Toc1469 \h </w:instrText>
      </w:r>
      <w:r>
        <w:fldChar w:fldCharType="separate"/>
      </w:r>
      <w:r>
        <w:t>5</w:t>
      </w:r>
      <w:r>
        <w:fldChar w:fldCharType="end"/>
      </w:r>
      <w:r>
        <w:rPr>
          <w:rFonts w:ascii="Times New Roman" w:hAnsi="Times New Roman" w:cs="Times New Roman" w:eastAsiaTheme="minorEastAsia"/>
          <w:szCs w:val="24"/>
        </w:rPr>
        <w:fldChar w:fldCharType="end"/>
      </w:r>
    </w:p>
    <w:p>
      <w:pPr>
        <w:pStyle w:val="17"/>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_Toc17754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第三章  招标人要求</w:t>
      </w:r>
      <w:r>
        <w:tab/>
      </w:r>
      <w:r>
        <w:fldChar w:fldCharType="begin"/>
      </w:r>
      <w:r>
        <w:instrText xml:space="preserve"> PAGEREF _Toc17754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_Toc12194 </w:instrText>
      </w:r>
      <w:r>
        <w:rPr>
          <w:rFonts w:ascii="Times New Roman" w:hAnsi="Times New Roman" w:cs="Times New Roman" w:eastAsiaTheme="minorEastAsia"/>
          <w:szCs w:val="24"/>
        </w:rPr>
        <w:fldChar w:fldCharType="separate"/>
      </w:r>
      <w:r>
        <w:rPr>
          <w:rFonts w:ascii="Times New Roman" w:hAnsi="Times New Roman"/>
          <w:szCs w:val="24"/>
        </w:rPr>
        <w:t>一、</w:t>
      </w:r>
      <w:r>
        <w:rPr>
          <w:rFonts w:hint="eastAsia" w:ascii="Times New Roman" w:hAnsi="Times New Roman"/>
          <w:szCs w:val="24"/>
        </w:rPr>
        <w:t>项目概况</w:t>
      </w:r>
      <w:r>
        <w:tab/>
      </w:r>
      <w:r>
        <w:fldChar w:fldCharType="begin"/>
      </w:r>
      <w:r>
        <w:instrText xml:space="preserve"> PAGEREF _Toc12194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_Toc20000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二、</w:t>
      </w:r>
      <w:r>
        <w:rPr>
          <w:rFonts w:hint="eastAsia" w:asciiTheme="minorEastAsia" w:hAnsiTheme="minorEastAsia" w:cstheme="minorEastAsia"/>
          <w:szCs w:val="21"/>
        </w:rPr>
        <w:t>服务内容及要求</w:t>
      </w:r>
      <w:r>
        <w:tab/>
      </w:r>
      <w:r>
        <w:fldChar w:fldCharType="begin"/>
      </w:r>
      <w:r>
        <w:instrText xml:space="preserve"> PAGEREF _Toc20000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_Toc4247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四、</w:t>
      </w:r>
      <w:r>
        <w:rPr>
          <w:rFonts w:hint="eastAsia" w:asciiTheme="minorEastAsia" w:hAnsiTheme="minorEastAsia" w:cstheme="minorEastAsia"/>
          <w:szCs w:val="21"/>
        </w:rPr>
        <w:t>报价要求</w:t>
      </w:r>
      <w:r>
        <w:tab/>
      </w:r>
      <w:r>
        <w:fldChar w:fldCharType="begin"/>
      </w:r>
      <w:r>
        <w:instrText xml:space="preserve"> PAGEREF _Toc4247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_Toc3469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六、</w:t>
      </w:r>
      <w:r>
        <w:rPr>
          <w:rFonts w:hint="eastAsia" w:asciiTheme="minorEastAsia" w:hAnsiTheme="minorEastAsia" w:cstheme="minorEastAsia"/>
          <w:szCs w:val="21"/>
        </w:rPr>
        <w:t>付款方式</w:t>
      </w:r>
      <w:r>
        <w:tab/>
      </w:r>
      <w:r>
        <w:fldChar w:fldCharType="begin"/>
      </w:r>
      <w:r>
        <w:instrText xml:space="preserve"> PAGEREF _Toc3469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_Toc12042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tab/>
      </w:r>
      <w:r>
        <w:fldChar w:fldCharType="begin"/>
      </w:r>
      <w:r>
        <w:instrText xml:space="preserve"> PAGEREF _Toc12042 \h </w:instrText>
      </w:r>
      <w:r>
        <w:fldChar w:fldCharType="separate"/>
      </w:r>
      <w:r>
        <w:t>15</w:t>
      </w:r>
      <w:r>
        <w:fldChar w:fldCharType="end"/>
      </w:r>
      <w:r>
        <w:rPr>
          <w:rFonts w:ascii="Times New Roman" w:hAnsi="Times New Roman" w:cs="Times New Roman" w:eastAsiaTheme="minorEastAsia"/>
          <w:szCs w:val="24"/>
        </w:rPr>
        <w:fldChar w:fldCharType="end"/>
      </w:r>
    </w:p>
    <w:p>
      <w:pPr>
        <w:pStyle w:val="17"/>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_Toc4387 </w:instrText>
      </w:r>
      <w:r>
        <w:rPr>
          <w:rFonts w:ascii="Times New Roman" w:hAnsi="Times New Roman" w:cs="Times New Roman" w:eastAsiaTheme="minorEastAsia"/>
          <w:szCs w:val="24"/>
        </w:rPr>
        <w:fldChar w:fldCharType="separate"/>
      </w:r>
      <w:r>
        <w:rPr>
          <w:rFonts w:hint="eastAsia" w:asciiTheme="minorEastAsia" w:hAnsiTheme="minorEastAsia" w:eastAsiaTheme="minorEastAsia" w:cstheme="minorEastAsia"/>
          <w:bCs w:val="0"/>
          <w:szCs w:val="44"/>
        </w:rPr>
        <w:t>廉  政  协  议</w:t>
      </w:r>
      <w:r>
        <w:tab/>
      </w:r>
      <w:r>
        <w:fldChar w:fldCharType="begin"/>
      </w:r>
      <w:r>
        <w:instrText xml:space="preserve"> PAGEREF _Toc4387 \h </w:instrText>
      </w:r>
      <w:r>
        <w:fldChar w:fldCharType="separate"/>
      </w:r>
      <w:r>
        <w:t>7</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_Toc10267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投标文件格式</w:t>
      </w:r>
      <w:r>
        <w:tab/>
      </w:r>
      <w:r>
        <w:fldChar w:fldCharType="begin"/>
      </w:r>
      <w:r>
        <w:instrText xml:space="preserve"> PAGEREF _Toc10267 \h </w:instrText>
      </w:r>
      <w:r>
        <w:fldChar w:fldCharType="separate"/>
      </w:r>
      <w:r>
        <w:t>10</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_Toc14493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三</w:t>
      </w:r>
      <w:r>
        <w:rPr>
          <w:rFonts w:hint="eastAsia" w:asciiTheme="minorEastAsia" w:hAnsiTheme="minorEastAsia" w:eastAsiaTheme="minorEastAsia"/>
        </w:rPr>
        <w:t>、授权书</w:t>
      </w:r>
      <w:r>
        <w:tab/>
      </w:r>
      <w:r>
        <w:fldChar w:fldCharType="begin"/>
      </w:r>
      <w:r>
        <w:instrText xml:space="preserve"> PAGEREF _Toc14493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_Toc8004 </w:instrText>
      </w:r>
      <w:r>
        <w:rPr>
          <w:rFonts w:ascii="Times New Roman" w:hAnsi="Times New Roman" w:cs="Times New Roman" w:eastAsiaTheme="minorEastAsia"/>
          <w:szCs w:val="24"/>
        </w:rPr>
        <w:fldChar w:fldCharType="separate"/>
      </w:r>
      <w:r>
        <w:rPr>
          <w:rFonts w:hint="eastAsia" w:asciiTheme="minorEastAsia" w:hAnsiTheme="minorEastAsia"/>
          <w:szCs w:val="20"/>
          <w:lang w:val="en-US" w:eastAsia="zh-CN"/>
        </w:rPr>
        <w:t>四</w:t>
      </w:r>
      <w:r>
        <w:rPr>
          <w:rFonts w:hint="eastAsia" w:asciiTheme="minorEastAsia" w:hAnsiTheme="minorEastAsia" w:eastAsiaTheme="minorEastAsia"/>
          <w:szCs w:val="20"/>
          <w:lang w:val="en-US" w:eastAsia="zh-CN"/>
        </w:rPr>
        <w:t>、</w:t>
      </w:r>
      <w:r>
        <w:rPr>
          <w:rFonts w:hint="eastAsia" w:asciiTheme="minorEastAsia" w:hAnsiTheme="minorEastAsia" w:eastAsiaTheme="minorEastAsia"/>
          <w:szCs w:val="20"/>
        </w:rPr>
        <w:t>其他相关证明材料</w:t>
      </w:r>
      <w:r>
        <w:tab/>
      </w:r>
      <w:r>
        <w:fldChar w:fldCharType="begin"/>
      </w:r>
      <w:r>
        <w:instrText xml:space="preserve"> PAGEREF _Toc8004 \h </w:instrText>
      </w:r>
      <w:r>
        <w:fldChar w:fldCharType="separate"/>
      </w:r>
      <w:r>
        <w:t>1</w:t>
      </w:r>
      <w:r>
        <w:fldChar w:fldCharType="end"/>
      </w:r>
      <w:r>
        <w:rPr>
          <w:rFonts w:ascii="Times New Roman" w:hAnsi="Times New Roman" w:cs="Times New Roman" w:eastAsiaTheme="minorEastAsia"/>
          <w:szCs w:val="24"/>
        </w:rPr>
        <w:fldChar w:fldCharType="end"/>
      </w: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sz w:val="28"/>
        </w:rPr>
      </w:pPr>
      <w:bookmarkStart w:id="1" w:name="_Toc31841"/>
      <w:bookmarkStart w:id="2" w:name="_Toc7088"/>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bookmarkEnd w:id="2"/>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合肥文旅博览集团有限公司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default" w:ascii="Times New Roman" w:hAnsi="Times New Roman" w:cs="Times New Roman"/>
          <w:bCs/>
          <w:color w:val="000000"/>
          <w:sz w:val="21"/>
          <w:szCs w:val="21"/>
          <w:u w:val="single"/>
          <w:lang w:val="en-US" w:eastAsia="zh-CN"/>
        </w:rPr>
        <w:t>合</w:t>
      </w:r>
      <w:r>
        <w:rPr>
          <w:rFonts w:hint="default" w:ascii="Times New Roman" w:hAnsi="Times New Roman" w:cs="Times New Roman"/>
          <w:bCs/>
          <w:color w:val="000000"/>
          <w:sz w:val="21"/>
          <w:szCs w:val="21"/>
          <w:u w:val="single"/>
          <w:lang w:eastAsia="zh-CN"/>
        </w:rPr>
        <w:t>肥国际人才公寓闲置变压器及配电箱</w:t>
      </w:r>
      <w:r>
        <w:rPr>
          <w:rFonts w:hint="default" w:ascii="Times New Roman" w:hAnsi="Times New Roman" w:cs="Times New Roman"/>
          <w:bCs/>
          <w:color w:val="000000"/>
          <w:sz w:val="21"/>
          <w:szCs w:val="21"/>
          <w:u w:val="single"/>
        </w:rPr>
        <w:t>资产</w:t>
      </w:r>
      <w:r>
        <w:rPr>
          <w:rFonts w:hint="default" w:ascii="Times New Roman" w:hAnsi="Times New Roman" w:cs="Times New Roman"/>
          <w:bCs/>
          <w:color w:val="000000"/>
          <w:sz w:val="21"/>
          <w:szCs w:val="21"/>
          <w:u w:val="single"/>
          <w:lang w:val="en-US" w:eastAsia="zh-CN"/>
        </w:rPr>
        <w:t>评估</w:t>
      </w:r>
      <w:r>
        <w:rPr>
          <w:rFonts w:hint="eastAsia" w:ascii="Times New Roman" w:hAnsi="Times New Roman" w:cs="Times New Roman"/>
          <w:bCs/>
          <w:color w:val="000000"/>
          <w:sz w:val="21"/>
          <w:szCs w:val="21"/>
          <w:u w:val="single"/>
          <w:lang w:val="en-US" w:eastAsia="zh-CN"/>
        </w:rPr>
        <w:t xml:space="preserve">服务项目 </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2024WLBLZB00022号</w:t>
      </w:r>
    </w:p>
    <w:p>
      <w:pPr>
        <w:autoSpaceDE w:val="0"/>
        <w:autoSpaceDN w:val="0"/>
        <w:adjustRightInd w:val="0"/>
        <w:spacing w:line="360" w:lineRule="auto"/>
        <w:ind w:firstLine="382" w:firstLineChars="182"/>
        <w:jc w:val="left"/>
        <w:rPr>
          <w:rFonts w:hint="eastAsia" w:ascii="Times New Roman" w:hAnsi="Times New Roman" w:cs="Times New Roman" w:eastAsiaTheme="minorEastAsia"/>
          <w:bCs/>
          <w:color w:val="000000"/>
          <w:szCs w:val="21"/>
          <w:u w:val="single"/>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bCs/>
          <w:color w:val="000000"/>
          <w:sz w:val="21"/>
          <w:szCs w:val="21"/>
          <w:u w:val="single"/>
          <w:lang w:val="en-US" w:eastAsia="zh-CN"/>
        </w:rPr>
        <w:t>合肥国际人才公寓闲置变压器及配电箱资产评估服务项目</w:t>
      </w:r>
    </w:p>
    <w:p>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合肥国际人才公寓客服中心停车场内</w:t>
      </w:r>
      <w:r>
        <w:rPr>
          <w:rFonts w:ascii="Times New Roman" w:hAnsi="Times New Roman" w:cs="Times New Roman"/>
          <w:bCs/>
          <w:color w:val="000000"/>
          <w:sz w:val="21"/>
          <w:szCs w:val="21"/>
          <w:u w:val="single"/>
        </w:rPr>
        <w:t xml:space="preserve"> </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heme="majorEastAsia" w:hAnsiTheme="majorEastAsia" w:eastAsiaTheme="majorEastAsia" w:cstheme="majorEastAsia"/>
          <w:sz w:val="21"/>
          <w:szCs w:val="21"/>
          <w:u w:val="single"/>
          <w:lang w:val="en-US" w:eastAsia="zh-CN"/>
        </w:rPr>
        <w:t>合肥文旅博览集团有限公司</w:t>
      </w:r>
    </w:p>
    <w:p>
      <w:pPr>
        <w:spacing w:line="360" w:lineRule="auto"/>
        <w:ind w:firstLine="420" w:firstLineChars="200"/>
        <w:rPr>
          <w:rFonts w:hint="default" w:ascii="Times New Roman" w:hAnsi="Times New Roman" w:cs="Times New Roman" w:eastAsiaTheme="minorEastAsia"/>
          <w:szCs w:val="21"/>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val="en-US" w:eastAsia="zh-CN"/>
        </w:rPr>
        <w:t>详见招标需求</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自筹</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5000元</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服务</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ascii="Times New Roman" w:hAnsi="Times New Roman" w:cs="Times New Roman" w:eastAsiaTheme="majorEastAsia"/>
          <w:szCs w:val="21"/>
        </w:rPr>
        <w:t>2.投标人资质要求：</w:t>
      </w:r>
      <w:r>
        <w:rPr>
          <w:rFonts w:hint="eastAsia" w:asciiTheme="majorEastAsia" w:hAnsiTheme="majorEastAsia" w:eastAsiaTheme="majorEastAsia" w:cstheme="majorEastAsia"/>
          <w:sz w:val="21"/>
          <w:szCs w:val="21"/>
          <w:lang w:val="en-US" w:eastAsia="zh-CN"/>
        </w:rPr>
        <w:t>投标人为合肥市建设投资控股（集团）有限公司资产评估备选库单位。</w:t>
      </w:r>
    </w:p>
    <w:p>
      <w:pPr>
        <w:spacing w:line="360" w:lineRule="auto"/>
        <w:ind w:firstLine="420" w:firstLineChars="200"/>
        <w:rPr>
          <w:color w:val="auto"/>
        </w:rPr>
      </w:pP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rPr>
        <w:t>.本项目不接受联合体投标。</w:t>
      </w:r>
    </w:p>
    <w:p>
      <w:pPr>
        <w:spacing w:line="360" w:lineRule="auto"/>
        <w:rPr>
          <w:rFonts w:hint="eastAsia" w:ascii="Times New Roman" w:hAnsi="Times New Roman" w:cs="Times New Roman" w:eastAsiaTheme="minorEastAsia"/>
          <w:b/>
          <w:bCs/>
          <w:color w:val="auto"/>
          <w:sz w:val="24"/>
          <w:szCs w:val="18"/>
          <w:lang w:val="en-US" w:eastAsia="zh-CN"/>
        </w:rPr>
      </w:pPr>
      <w:r>
        <w:rPr>
          <w:rFonts w:ascii="Times New Roman" w:hAnsi="Times New Roman" w:cs="Times New Roman" w:eastAsiaTheme="minorEastAsia"/>
          <w:b/>
          <w:bCs/>
          <w:color w:val="auto"/>
          <w:sz w:val="24"/>
          <w:szCs w:val="18"/>
        </w:rPr>
        <w:t>三</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询价文件的获取</w:t>
      </w:r>
      <w:r>
        <w:rPr>
          <w:rFonts w:hint="eastAsia" w:ascii="Times New Roman" w:hAnsi="Times New Roman" w:cs="Times New Roman" w:eastAsiaTheme="minorEastAsia"/>
          <w:b/>
          <w:bCs/>
          <w:color w:val="auto"/>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1.</w:t>
      </w:r>
      <w:r>
        <w:rPr>
          <w:rFonts w:hint="eastAsia" w:ascii="Times New Roman" w:hAnsi="Times New Roman" w:cs="Times New Roman" w:eastAsiaTheme="majorEastAsia"/>
          <w:color w:val="auto"/>
          <w:szCs w:val="21"/>
          <w:lang w:val="en-US" w:eastAsia="zh-CN"/>
        </w:rPr>
        <w:t>报名</w:t>
      </w:r>
      <w:r>
        <w:rPr>
          <w:rFonts w:ascii="Times New Roman" w:hAnsi="Times New Roman" w:cs="Times New Roman" w:eastAsiaTheme="majorEastAsia"/>
          <w:color w:val="auto"/>
          <w:szCs w:val="21"/>
        </w:rPr>
        <w:t>时间：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16</w:t>
      </w:r>
      <w:r>
        <w:rPr>
          <w:rFonts w:ascii="Times New Roman" w:hAnsi="Times New Roman" w:eastAsia="宋体" w:cs="Times New Roman"/>
          <w:bCs/>
          <w:snapToGrid w:val="0"/>
          <w:color w:val="auto"/>
        </w:rPr>
        <w:t>日至</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 xml:space="preserve"> 18</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日(北京时间)</w:t>
      </w:r>
    </w:p>
    <w:p>
      <w:pPr>
        <w:widowControl/>
        <w:wordWrap w:val="0"/>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2.</w:t>
      </w:r>
      <w:r>
        <w:rPr>
          <w:rFonts w:hint="eastAsia" w:ascii="Times New Roman" w:hAnsi="Times New Roman" w:cs="Times New Roman" w:eastAsiaTheme="majorEastAsia"/>
          <w:color w:val="auto"/>
          <w:szCs w:val="21"/>
          <w:lang w:val="en-US" w:eastAsia="zh-CN"/>
        </w:rPr>
        <w:t>询价文件</w:t>
      </w:r>
      <w:r>
        <w:rPr>
          <w:rFonts w:ascii="Times New Roman" w:hAnsi="Times New Roman" w:cs="Times New Roman" w:eastAsiaTheme="majorEastAsia"/>
          <w:color w:val="auto"/>
          <w:szCs w:val="21"/>
        </w:rPr>
        <w:t>获取方式：</w:t>
      </w:r>
      <w:r>
        <w:rPr>
          <w:rFonts w:ascii="Times New Roman" w:hAnsi="Times New Roman" w:eastAsia="宋体" w:cs="Times New Roman"/>
          <w:bCs/>
          <w:snapToGrid w:val="0"/>
          <w:color w:val="auto"/>
        </w:rPr>
        <w:t>投标人登录合肥文旅博览集团有限公司网站（http://www.zwzcgl.com）下载询价文件</w:t>
      </w:r>
    </w:p>
    <w:p>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361923526</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询价时间及地点</w:t>
      </w:r>
    </w:p>
    <w:p>
      <w:pPr>
        <w:spacing w:line="360" w:lineRule="auto"/>
        <w:ind w:firstLine="435"/>
        <w:rPr>
          <w:rFonts w:hint="eastAsia" w:ascii="Times New Roman" w:hAnsi="Times New Roman" w:eastAsia="宋体" w:cs="Times New Roman"/>
          <w:bCs/>
          <w:snapToGrid w:val="0"/>
          <w:color w:val="auto"/>
          <w:kern w:val="0"/>
          <w:szCs w:val="21"/>
          <w:u w:val="single"/>
        </w:rPr>
      </w:pPr>
      <w:r>
        <w:rPr>
          <w:rFonts w:ascii="Times New Roman" w:hAnsi="Times New Roman" w:cs="Times New Roman" w:eastAsiaTheme="minorEastAsia"/>
          <w:color w:val="auto"/>
          <w:szCs w:val="15"/>
        </w:rPr>
        <w:t>1</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询价时间：</w:t>
      </w:r>
      <w:r>
        <w:rPr>
          <w:rFonts w:hint="eastAsia" w:ascii="Times New Roman" w:hAnsi="Times New Roman" w:eastAsia="宋体" w:cs="Times New Roman"/>
          <w:bCs/>
          <w:snapToGrid w:val="0"/>
          <w:color w:val="auto"/>
          <w:kern w:val="0"/>
          <w:szCs w:val="21"/>
          <w:u w:val="single"/>
          <w:lang w:val="en-US" w:eastAsia="zh-CN"/>
        </w:rPr>
        <w:t>2024</w:t>
      </w:r>
      <w:r>
        <w:rPr>
          <w:rFonts w:hint="eastAsia" w:ascii="Times New Roman" w:hAnsi="Times New Roman" w:eastAsia="宋体" w:cs="Times New Roman"/>
          <w:bCs/>
          <w:snapToGrid w:val="0"/>
          <w:color w:val="auto"/>
          <w:kern w:val="0"/>
          <w:sz w:val="21"/>
          <w:szCs w:val="21"/>
          <w:u w:val="single"/>
        </w:rPr>
        <w:t xml:space="preserve"> 年 </w:t>
      </w:r>
      <w:r>
        <w:rPr>
          <w:rFonts w:hint="eastAsia" w:ascii="Times New Roman" w:hAnsi="Times New Roman" w:eastAsia="宋体" w:cs="Times New Roman"/>
          <w:bCs/>
          <w:snapToGrid w:val="0"/>
          <w:color w:val="auto"/>
          <w:kern w:val="0"/>
          <w:sz w:val="21"/>
          <w:szCs w:val="21"/>
          <w:u w:val="single"/>
          <w:lang w:val="en-US" w:eastAsia="zh-CN"/>
        </w:rPr>
        <w:t>5</w:t>
      </w:r>
      <w:r>
        <w:rPr>
          <w:rFonts w:hint="eastAsia" w:ascii="Times New Roman" w:hAnsi="Times New Roman" w:eastAsia="宋体" w:cs="Times New Roman"/>
          <w:bCs/>
          <w:snapToGrid w:val="0"/>
          <w:color w:val="auto"/>
          <w:kern w:val="0"/>
          <w:sz w:val="21"/>
          <w:szCs w:val="21"/>
          <w:u w:val="single"/>
        </w:rPr>
        <w:t xml:space="preserve">  月 </w:t>
      </w:r>
      <w:r>
        <w:rPr>
          <w:rFonts w:hint="eastAsia" w:ascii="Times New Roman" w:hAnsi="Times New Roman" w:eastAsia="宋体" w:cs="Times New Roman"/>
          <w:bCs/>
          <w:snapToGrid w:val="0"/>
          <w:color w:val="auto"/>
          <w:kern w:val="0"/>
          <w:sz w:val="21"/>
          <w:szCs w:val="21"/>
          <w:u w:val="single"/>
          <w:lang w:val="en-US" w:eastAsia="zh-CN"/>
        </w:rPr>
        <w:t>21</w:t>
      </w:r>
      <w:r>
        <w:rPr>
          <w:rFonts w:hint="eastAsia" w:ascii="Times New Roman" w:hAnsi="Times New Roman" w:eastAsia="宋体" w:cs="Times New Roman"/>
          <w:bCs/>
          <w:snapToGrid w:val="0"/>
          <w:color w:val="auto"/>
          <w:kern w:val="0"/>
          <w:sz w:val="21"/>
          <w:szCs w:val="21"/>
          <w:u w:val="single"/>
        </w:rPr>
        <w:t xml:space="preserve">  日  </w:t>
      </w:r>
      <w:r>
        <w:rPr>
          <w:rFonts w:hint="eastAsia" w:ascii="Times New Roman" w:hAnsi="Times New Roman" w:eastAsia="宋体" w:cs="Times New Roman"/>
          <w:bCs/>
          <w:snapToGrid w:val="0"/>
          <w:color w:val="auto"/>
          <w:kern w:val="0"/>
          <w:sz w:val="21"/>
          <w:szCs w:val="21"/>
          <w:u w:val="single"/>
          <w:lang w:val="en-US" w:eastAsia="zh-CN"/>
        </w:rPr>
        <w:t>11</w:t>
      </w:r>
      <w:r>
        <w:rPr>
          <w:rFonts w:hint="eastAsia" w:ascii="Times New Roman" w:hAnsi="Times New Roman" w:eastAsia="宋体" w:cs="Times New Roman"/>
          <w:bCs/>
          <w:snapToGrid w:val="0"/>
          <w:color w:val="auto"/>
          <w:kern w:val="0"/>
          <w:szCs w:val="21"/>
          <w:u w:val="single"/>
        </w:rPr>
        <w:t xml:space="preserve"> 时</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 w:val="21"/>
          <w:szCs w:val="21"/>
          <w:u w:val="single"/>
          <w:lang w:val="en-US" w:eastAsia="zh-CN"/>
        </w:rPr>
        <w:t>00</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Cs w:val="21"/>
          <w:u w:val="single"/>
        </w:rPr>
        <w:t>分</w:t>
      </w:r>
    </w:p>
    <w:p>
      <w:pPr>
        <w:spacing w:line="360" w:lineRule="auto"/>
        <w:ind w:firstLine="435"/>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15"/>
        </w:rPr>
        <w:t>2</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询价地点：</w:t>
      </w:r>
      <w:r>
        <w:rPr>
          <w:rFonts w:ascii="Times New Roman" w:hAnsi="Times New Roman" w:cs="Times New Roman" w:eastAsiaTheme="minorEastAsia"/>
          <w:color w:val="auto"/>
          <w:szCs w:val="21"/>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Times New Roman" w:hAnsi="Times New Roman" w:cs="Times New Roman"/>
          <w:color w:val="auto"/>
          <w:szCs w:val="21"/>
          <w:u w:val="single"/>
          <w:lang w:val="en-US" w:eastAsia="zh-CN"/>
        </w:rPr>
        <w:t>多功能厅</w:t>
      </w:r>
      <w:r>
        <w:rPr>
          <w:rFonts w:ascii="Times New Roman" w:hAnsi="Times New Roman" w:cs="Times New Roman" w:eastAsiaTheme="minorEastAsia"/>
          <w:color w:val="auto"/>
          <w:szCs w:val="21"/>
          <w:u w:val="single"/>
        </w:rPr>
        <w:t xml:space="preserve"> </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五</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投标文件提交截止时间</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同询价时间</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color w:val="auto"/>
          <w:sz w:val="24"/>
          <w:szCs w:val="18"/>
        </w:rPr>
        <w:t>六</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联系方式</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pPr>
        <w:spacing w:line="360" w:lineRule="auto"/>
        <w:ind w:firstLine="435"/>
        <w:rPr>
          <w:rFonts w:hint="eastAsia" w:ascii="宋体" w:hAnsi="宋体" w:cs="宋体" w:eastAsiaTheme="minorEastAsia"/>
          <w:color w:val="auto"/>
          <w:kern w:val="0"/>
          <w:sz w:val="24"/>
          <w:szCs w:val="24"/>
          <w:u w:val="single"/>
          <w:lang w:val="en-US" w:eastAsia="zh-CN"/>
        </w:rPr>
      </w:pPr>
      <w:r>
        <w:rPr>
          <w:rFonts w:ascii="Times New Roman" w:hAnsi="Times New Roman" w:cs="Times New Roman" w:eastAsiaTheme="minorEastAsia"/>
          <w:color w:val="auto"/>
          <w:szCs w:val="15"/>
        </w:rPr>
        <w:t>招标人：</w:t>
      </w:r>
      <w:r>
        <w:rPr>
          <w:rFonts w:hint="eastAsia" w:ascii="宋体" w:hAnsi="宋体" w:cs="宋体"/>
          <w:color w:val="auto"/>
          <w:kern w:val="0"/>
          <w:sz w:val="21"/>
          <w:szCs w:val="21"/>
          <w:u w:val="single"/>
          <w:lang w:val="en-US" w:eastAsia="zh-CN"/>
        </w:rPr>
        <w:t>合肥文旅博览集团有限公司</w:t>
      </w:r>
    </w:p>
    <w:p>
      <w:pPr>
        <w:spacing w:line="360" w:lineRule="auto"/>
        <w:ind w:firstLine="435"/>
        <w:rPr>
          <w:rFonts w:hint="eastAsia" w:ascii="宋体" w:hAnsi="宋体" w:cs="宋体" w:eastAsiaTheme="minorEastAsia"/>
          <w:color w:val="auto"/>
          <w:kern w:val="0"/>
          <w:szCs w:val="21"/>
          <w:u w:val="single"/>
        </w:rPr>
      </w:pPr>
      <w:r>
        <w:rPr>
          <w:rFonts w:ascii="Times New Roman" w:hAnsi="Times New Roman" w:cs="Times New Roman" w:eastAsiaTheme="minorEastAsia"/>
          <w:color w:val="auto"/>
          <w:szCs w:val="15"/>
        </w:rPr>
        <w:t>地  址：</w:t>
      </w:r>
      <w:r>
        <w:rPr>
          <w:rFonts w:ascii="Times New Roman" w:hAnsi="Times New Roman" w:cs="Times New Roman" w:eastAsiaTheme="minorEastAsia"/>
          <w:color w:val="auto"/>
          <w:szCs w:val="15"/>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宋体" w:hAnsi="宋体" w:cs="宋体" w:eastAsiaTheme="minorEastAsia"/>
          <w:color w:val="auto"/>
          <w:kern w:val="0"/>
          <w:szCs w:val="21"/>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联系人：</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汪工</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电  话：</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0551-63530687</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Cs w:val="15"/>
        </w:rPr>
      </w:pPr>
      <w:r>
        <w:rPr>
          <w:rFonts w:hint="eastAsia" w:ascii="Times New Roman" w:hAnsi="Times New Roman" w:cs="Times New Roman" w:eastAsiaTheme="minorEastAsia"/>
          <w:color w:val="auto"/>
          <w:szCs w:val="15"/>
        </w:rPr>
        <w:t>2</w:t>
      </w:r>
      <w:r>
        <w:rPr>
          <w:rFonts w:ascii="Times New Roman" w:hAnsi="Times New Roman" w:cs="Times New Roman" w:eastAsiaTheme="minorEastAsia"/>
          <w:b/>
          <w:color w:val="auto"/>
          <w:szCs w:val="15"/>
        </w:rPr>
        <w:t>.</w:t>
      </w:r>
      <w:r>
        <w:rPr>
          <w:rFonts w:ascii="Times New Roman" w:hAnsi="Times New Roman" w:cs="Times New Roman" w:eastAsiaTheme="minorEastAsia"/>
          <w:color w:val="auto"/>
          <w:szCs w:val="15"/>
        </w:rPr>
        <w:t>监督管理部门</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监督管理部门：</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eastAsiaTheme="minorEastAsia"/>
          <w:color w:val="auto"/>
          <w:szCs w:val="15"/>
          <w:u w:val="single"/>
        </w:rPr>
        <w:t>合肥文旅博览集团有限公司纪委纪检监察室</w:t>
      </w:r>
      <w:r>
        <w:rPr>
          <w:rFonts w:ascii="Times New Roman" w:hAnsi="Times New Roman" w:cs="Times New Roman" w:eastAsiaTheme="minorEastAsia"/>
          <w:color w:val="auto"/>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color w:val="auto"/>
          <w:kern w:val="0"/>
          <w:szCs w:val="21"/>
          <w:u w:val="single"/>
        </w:rPr>
      </w:pPr>
      <w:r>
        <w:rPr>
          <w:rFonts w:ascii="Times New Roman" w:hAnsi="Times New Roman" w:eastAsia="宋体" w:cs="Times New Roman"/>
          <w:bCs/>
          <w:snapToGrid w:val="0"/>
          <w:color w:val="auto"/>
          <w:kern w:val="0"/>
          <w:szCs w:val="21"/>
        </w:rPr>
        <w:t>地  址：</w:t>
      </w:r>
      <w:r>
        <w:rPr>
          <w:rFonts w:ascii="Times New Roman" w:hAnsi="Times New Roman" w:cs="Times New Roman" w:eastAsiaTheme="minorEastAsia"/>
          <w:color w:val="auto"/>
          <w:szCs w:val="15"/>
          <w:u w:val="single"/>
        </w:rPr>
        <w:t xml:space="preserve">  合肥市蜀山区习友路与茂荫路交口投资大厦二楼纪委纪检监察室   </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电  话：</w:t>
      </w:r>
      <w:r>
        <w:rPr>
          <w:rFonts w:ascii="Times New Roman" w:hAnsi="Times New Roman" w:cs="Times New Roman" w:eastAsiaTheme="minorEastAsia"/>
          <w:color w:val="auto"/>
          <w:szCs w:val="15"/>
          <w:u w:val="single"/>
        </w:rPr>
        <w:t xml:space="preserve">    </w:t>
      </w:r>
      <w:r>
        <w:rPr>
          <w:rFonts w:ascii="Times New Roman" w:hAnsi="Times New Roman" w:cs="Times New Roman" w:eastAsiaTheme="minorEastAsia"/>
          <w:color w:val="auto"/>
          <w:sz w:val="21"/>
          <w:szCs w:val="15"/>
          <w:u w:val="single"/>
        </w:rPr>
        <w:t xml:space="preserve"> </w:t>
      </w:r>
      <w:r>
        <w:rPr>
          <w:rFonts w:ascii="宋体" w:hAnsi="宋体" w:eastAsia="宋体" w:cs="宋体"/>
          <w:i w:val="0"/>
          <w:iCs w:val="0"/>
          <w:caps w:val="0"/>
          <w:color w:val="auto"/>
          <w:spacing w:val="0"/>
          <w:sz w:val="24"/>
          <w:szCs w:val="24"/>
          <w:u w:val="single"/>
        </w:rPr>
        <w:t>0551-63539209</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七</w:t>
      </w:r>
      <w:r>
        <w:rPr>
          <w:rFonts w:ascii="Times New Roman" w:hAnsi="Times New Roman" w:cs="Times New Roman" w:eastAsiaTheme="minorEastAsia"/>
          <w:b/>
          <w:color w:val="auto"/>
          <w:sz w:val="24"/>
        </w:rPr>
        <w:t>、</w:t>
      </w:r>
      <w:r>
        <w:rPr>
          <w:rFonts w:ascii="Times New Roman" w:hAnsi="Times New Roman" w:cs="Times New Roman" w:eastAsiaTheme="minorEastAsia"/>
          <w:b/>
          <w:color w:val="auto"/>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color w:val="auto"/>
          <w:kern w:val="0"/>
          <w:szCs w:val="21"/>
        </w:rPr>
        <w:t>有任何疑问或问题，请在工作时间（周一至周五，上午</w:t>
      </w:r>
      <w:r>
        <w:rPr>
          <w:rFonts w:ascii="Times New Roman" w:hAnsi="Times New Roman" w:eastAsia="宋体" w:cs="Times New Roman"/>
          <w:bCs/>
          <w:snapToGrid w:val="0"/>
          <w:kern w:val="0"/>
          <w:szCs w:val="21"/>
        </w:rPr>
        <w:t>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3" w:name="_Toc22742"/>
      <w:bookmarkStart w:id="4" w:name="_Toc1469"/>
      <w:r>
        <w:rPr>
          <w:rFonts w:ascii="Times New Roman" w:hAnsi="Times New Roman" w:cs="Times New Roman" w:eastAsiaTheme="minorEastAsia"/>
          <w:b/>
          <w:sz w:val="28"/>
        </w:rPr>
        <w:t>第二章  投标人须知</w:t>
      </w:r>
      <w:bookmarkEnd w:id="3"/>
      <w:bookmarkEnd w:id="4"/>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72"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72" w:type="pct"/>
            <w:vAlign w:val="center"/>
          </w:tcPr>
          <w:p>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投标文件要求</w:t>
            </w:r>
          </w:p>
        </w:tc>
        <w:tc>
          <w:tcPr>
            <w:tcW w:w="3350"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u w:val="single"/>
              </w:rPr>
              <w:t>密封纸质投标文件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72"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w:t>
            </w:r>
            <w:r>
              <w:rPr>
                <w:rFonts w:hint="default" w:ascii="Times New Roman" w:hAnsi="Times New Roman" w:eastAsia="宋体" w:cs="Times New Roman"/>
                <w:szCs w:val="21"/>
                <w:lang w:eastAsia="zh-CN"/>
              </w:rPr>
              <w:t>服务</w:t>
            </w:r>
            <w:r>
              <w:rPr>
                <w:rFonts w:ascii="Times New Roman" w:hAnsi="Times New Roman" w:eastAsia="宋体" w:cs="Times New Roman"/>
                <w:szCs w:val="21"/>
              </w:rPr>
              <w:t>的</w:t>
            </w:r>
            <w:r>
              <w:rPr>
                <w:rFonts w:hint="default" w:ascii="Times New Roman" w:hAnsi="Times New Roman" w:eastAsia="宋体" w:cs="Times New Roman"/>
                <w:spacing w:val="0"/>
                <w:sz w:val="21"/>
                <w:szCs w:val="21"/>
                <w:lang w:val="en-US" w:eastAsia="zh-CN"/>
              </w:rPr>
              <w:t>人工费、保险费、福利费</w:t>
            </w:r>
            <w:r>
              <w:rPr>
                <w:rFonts w:hint="eastAsia" w:asciiTheme="minorEastAsia" w:hAnsiTheme="minorEastAsia" w:eastAsiaTheme="minorEastAsia" w:cstheme="minorEastAsia"/>
                <w:spacing w:val="6"/>
                <w:sz w:val="21"/>
                <w:szCs w:val="21"/>
                <w:lang w:val="en-US" w:eastAsia="zh-CN"/>
              </w:rPr>
              <w:t>、审计费、利润、税金及完成项目应有的全部费用</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072"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w:t>
            </w:r>
            <w:r>
              <w:rPr>
                <w:rFonts w:hint="eastAsia" w:ascii="Times New Roman" w:hAnsi="Times New Roman" w:cs="Times New Roman"/>
                <w:sz w:val="21"/>
                <w:szCs w:val="21"/>
                <w:lang w:eastAsia="zh-CN"/>
              </w:rPr>
              <w:t>在合肥</w:t>
            </w:r>
            <w:r>
              <w:rPr>
                <w:rFonts w:ascii="Times New Roman" w:hAnsi="Times New Roman" w:cs="Times New Roman" w:eastAsiaTheme="minorEastAsia"/>
                <w:sz w:val="21"/>
                <w:szCs w:val="21"/>
              </w:rPr>
              <w:t>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2"/>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Cs/>
                <w:kern w:val="2"/>
                <w:sz w:val="21"/>
                <w:szCs w:val="21"/>
                <w:lang w:eastAsia="zh-CN"/>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lang w:val="en-US" w:eastAsia="zh-CN"/>
              </w:rPr>
              <w:t>3</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5" w:name="_Hlk16458980"/>
      <w:r>
        <w:rPr>
          <w:rFonts w:ascii="Times New Roman" w:hAnsi="Times New Roman" w:cs="Times New Roman" w:eastAsiaTheme="minorEastAsia"/>
          <w:szCs w:val="21"/>
        </w:rPr>
        <w:t>3.2无论询价文件中是否要求，投标人所提供的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应符合国家强制性标准。</w:t>
      </w:r>
    </w:p>
    <w:bookmarkEnd w:id="5"/>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6" w:name="_Hlk22476245"/>
      <w:r>
        <w:rPr>
          <w:rFonts w:ascii="Times New Roman" w:hAnsi="Times New Roman" w:cs="Times New Roman" w:eastAsiaTheme="minorEastAsia"/>
          <w:szCs w:val="21"/>
        </w:rPr>
        <w:t>投标文件提交截止时间</w:t>
      </w:r>
      <w:bookmarkEnd w:id="6"/>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7" w:name="_Toc11969"/>
      <w:bookmarkStart w:id="8" w:name="_Toc17754"/>
      <w:r>
        <w:rPr>
          <w:rFonts w:ascii="Times New Roman" w:hAnsi="Times New Roman" w:cs="Times New Roman" w:eastAsiaTheme="minorEastAsia"/>
          <w:b/>
          <w:sz w:val="28"/>
        </w:rPr>
        <w:t xml:space="preserve">第三章  </w:t>
      </w:r>
      <w:bookmarkEnd w:id="7"/>
      <w:r>
        <w:rPr>
          <w:rFonts w:ascii="Times New Roman" w:hAnsi="Times New Roman" w:cs="Times New Roman" w:eastAsiaTheme="minorEastAsia"/>
          <w:b/>
          <w:sz w:val="28"/>
        </w:rPr>
        <w:t>招标人要求</w:t>
      </w:r>
      <w:bookmarkEnd w:id="8"/>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spacing w:line="360" w:lineRule="auto"/>
        <w:outlineLvl w:val="1"/>
        <w:rPr>
          <w:rFonts w:ascii="Times New Roman" w:hAnsi="Times New Roman"/>
          <w:b/>
          <w:sz w:val="24"/>
          <w:szCs w:val="24"/>
        </w:rPr>
      </w:pPr>
      <w:bookmarkStart w:id="9" w:name="_Toc482188637"/>
      <w:bookmarkStart w:id="10" w:name="_Toc19590"/>
      <w:bookmarkStart w:id="11" w:name="_Toc12194"/>
      <w:r>
        <w:rPr>
          <w:rFonts w:ascii="Times New Roman" w:hAnsi="Times New Roman"/>
          <w:b/>
          <w:sz w:val="24"/>
          <w:szCs w:val="24"/>
        </w:rPr>
        <w:t>一、</w:t>
      </w:r>
      <w:bookmarkEnd w:id="9"/>
      <w:r>
        <w:rPr>
          <w:rFonts w:hint="eastAsia" w:ascii="Times New Roman" w:hAnsi="Times New Roman"/>
          <w:b/>
          <w:sz w:val="24"/>
          <w:szCs w:val="24"/>
        </w:rPr>
        <w:t>项目概况</w:t>
      </w:r>
      <w:bookmarkEnd w:id="10"/>
      <w:bookmarkEnd w:id="11"/>
    </w:p>
    <w:p>
      <w:pPr>
        <w:spacing w:line="360" w:lineRule="auto"/>
        <w:ind w:left="0" w:leftChars="0" w:firstLine="420" w:firstLineChars="200"/>
        <w:rPr>
          <w:rFonts w:hint="default" w:ascii="Times New Roman" w:hAnsi="Times New Roman" w:eastAsiaTheme="minorEastAsia" w:cstheme="minorBidi"/>
          <w:spacing w:val="0"/>
          <w:kern w:val="2"/>
          <w:sz w:val="21"/>
          <w:szCs w:val="21"/>
          <w:lang w:val="en-US" w:eastAsia="zh-CN" w:bidi="ar-SA"/>
        </w:rPr>
      </w:pPr>
      <w:r>
        <w:rPr>
          <w:rFonts w:hint="eastAsia" w:ascii="Times New Roman" w:hAnsi="Times New Roman"/>
          <w:sz w:val="21"/>
          <w:szCs w:val="21"/>
          <w:highlight w:val="none"/>
          <w:lang w:val="en-US" w:eastAsia="zh-CN"/>
        </w:rPr>
        <w:t>1</w:t>
      </w:r>
      <w:r>
        <w:rPr>
          <w:rFonts w:hint="default" w:ascii="Times New Roman" w:hAnsi="Times New Roman" w:eastAsiaTheme="minorEastAsia"/>
          <w:sz w:val="21"/>
          <w:szCs w:val="21"/>
          <w:highlight w:val="none"/>
          <w:lang w:val="en-US" w:eastAsia="zh-CN"/>
        </w:rPr>
        <w:t>、项目位置：</w:t>
      </w:r>
      <w:r>
        <w:rPr>
          <w:rFonts w:hint="default" w:ascii="Times New Roman" w:hAnsi="Times New Roman" w:eastAsiaTheme="minorEastAsia" w:cstheme="minorBidi"/>
          <w:spacing w:val="0"/>
          <w:kern w:val="2"/>
          <w:sz w:val="21"/>
          <w:szCs w:val="21"/>
          <w:lang w:val="en-US" w:eastAsia="zh-CN" w:bidi="ar-SA"/>
        </w:rPr>
        <w:t>合肥国际人才公寓客服中心停车场（合肥市蜀山区茗香路与汤池路交口）</w:t>
      </w:r>
    </w:p>
    <w:p>
      <w:pPr>
        <w:pStyle w:val="21"/>
        <w:ind w:left="0" w:leftChars="0" w:firstLine="420" w:firstLineChars="200"/>
        <w:rPr>
          <w:rFonts w:hint="default" w:ascii="Times New Roman" w:hAnsi="Times New Roman" w:eastAsiaTheme="minorEastAsia" w:cstheme="minorBidi"/>
          <w:spacing w:val="0"/>
          <w:kern w:val="2"/>
          <w:sz w:val="21"/>
          <w:szCs w:val="21"/>
          <w:lang w:val="en-US" w:eastAsia="zh-CN" w:bidi="ar-SA"/>
        </w:rPr>
      </w:pPr>
      <w:r>
        <w:rPr>
          <w:rFonts w:hint="eastAsia" w:ascii="Times New Roman" w:hAnsi="Times New Roman" w:cstheme="minorBidi"/>
          <w:spacing w:val="0"/>
          <w:kern w:val="2"/>
          <w:sz w:val="21"/>
          <w:szCs w:val="21"/>
          <w:lang w:val="en-US" w:eastAsia="zh-CN" w:bidi="ar-SA"/>
        </w:rPr>
        <w:t>2</w:t>
      </w:r>
      <w:r>
        <w:rPr>
          <w:rFonts w:hint="default" w:ascii="Times New Roman" w:hAnsi="Times New Roman" w:eastAsiaTheme="minorEastAsia" w:cstheme="minorBidi"/>
          <w:spacing w:val="0"/>
          <w:kern w:val="2"/>
          <w:sz w:val="21"/>
          <w:szCs w:val="21"/>
          <w:lang w:val="en-US" w:eastAsia="zh-CN" w:bidi="ar-SA"/>
        </w:rPr>
        <w:t>、项目详情：</w:t>
      </w:r>
    </w:p>
    <w:p>
      <w:pPr>
        <w:spacing w:line="360" w:lineRule="auto"/>
        <w:ind w:firstLine="388" w:firstLineChars="200"/>
        <w:rPr>
          <w:rFonts w:hint="eastAsia" w:ascii="宋体" w:hAnsi="宋体" w:eastAsia="宋体" w:cs="宋体"/>
          <w:spacing w:val="-8"/>
          <w:kern w:val="2"/>
          <w:sz w:val="21"/>
          <w:szCs w:val="21"/>
          <w:lang w:val="en-US" w:eastAsia="zh-CN" w:bidi="ar-SA"/>
        </w:rPr>
      </w:pPr>
      <w:r>
        <w:rPr>
          <w:rFonts w:hint="eastAsia" w:ascii="宋体" w:hAnsi="宋体" w:eastAsia="宋体" w:cs="宋体"/>
          <w:spacing w:val="-8"/>
          <w:kern w:val="2"/>
          <w:sz w:val="21"/>
          <w:szCs w:val="21"/>
          <w:lang w:val="en-US" w:eastAsia="zh-CN" w:bidi="ar-SA"/>
        </w:rPr>
        <w:t>1）资产现场照片</w:t>
      </w:r>
    </w:p>
    <w:p>
      <w:pPr>
        <w:pStyle w:val="21"/>
        <w:ind w:left="0" w:leftChars="0" w:firstLineChars="200"/>
        <w:rPr>
          <w:rFonts w:hint="default" w:ascii="宋体" w:hAnsi="宋体" w:eastAsia="宋体" w:cs="宋体"/>
          <w:b w:val="0"/>
          <w:bCs w:val="0"/>
          <w:spacing w:val="-8"/>
          <w:sz w:val="28"/>
          <w:szCs w:val="28"/>
          <w:highlight w:val="none"/>
          <w:lang w:val="en-US"/>
        </w:rPr>
      </w:pPr>
      <w:r>
        <w:rPr>
          <w:sz w:val="21"/>
        </w:rPr>
        <mc:AlternateContent>
          <mc:Choice Requires="wps">
            <w:drawing>
              <wp:anchor distT="0" distB="0" distL="114300" distR="114300" simplePos="0" relativeHeight="251659264" behindDoc="0" locked="0" layoutInCell="1" allowOverlap="1">
                <wp:simplePos x="0" y="0"/>
                <wp:positionH relativeFrom="column">
                  <wp:posOffset>787400</wp:posOffset>
                </wp:positionH>
                <wp:positionV relativeFrom="paragraph">
                  <wp:posOffset>852170</wp:posOffset>
                </wp:positionV>
                <wp:extent cx="4878070" cy="2360930"/>
                <wp:effectExtent l="13970" t="13970" r="22860" b="25400"/>
                <wp:wrapNone/>
                <wp:docPr id="5" name="文本框 5"/>
                <wp:cNvGraphicFramePr/>
                <a:graphic xmlns:a="http://schemas.openxmlformats.org/drawingml/2006/main">
                  <a:graphicData uri="http://schemas.microsoft.com/office/word/2010/wordprocessingShape">
                    <wps:wsp>
                      <wps:cNvSpPr txBox="1"/>
                      <wps:spPr>
                        <a:xfrm>
                          <a:off x="0" y="0"/>
                          <a:ext cx="4878070" cy="2360930"/>
                        </a:xfrm>
                        <a:prstGeom prst="rect">
                          <a:avLst/>
                        </a:prstGeom>
                        <a:noFill/>
                        <a:ln w="28575" cap="flat" cmpd="sng">
                          <a:solidFill>
                            <a:srgbClr val="C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62pt;margin-top:67.1pt;height:185.9pt;width:384.1pt;z-index:251659264;mso-width-relative:page;mso-height-relative:page;" filled="f" stroked="t" coordsize="21600,21600" o:gfxdata="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7qfrTZAAAACwEAAA8AAAAAAAAA&#10;AQAgAAAAIgAAAGRycy9kb3ducmV2LnhtbFBLAQIUABQAAAAIAIdO4kC4M/nnEAIAAB0EAAAOAAAA&#10;AAAAAAEAIAAAACgBAABkcnMvZTJvRG9jLnhtbFBLBQYAAAAABgAGAFkBAACqBQAAAAA=&#10;">
                <v:fill on="f" focussize="0,0"/>
                <v:stroke weight="2.25pt" color="#C00000" joinstyle="miter"/>
                <v:imagedata o:title=""/>
                <o:lock v:ext="edit" aspectratio="f"/>
                <v:textbox>
                  <w:txbxContent>
                    <w:p/>
                  </w:txbxContent>
                </v:textbox>
              </v:shape>
            </w:pict>
          </mc:Fallback>
        </mc:AlternateContent>
      </w:r>
      <w:r>
        <w:drawing>
          <wp:inline distT="0" distB="0" distL="114300" distR="114300">
            <wp:extent cx="5484495" cy="3329305"/>
            <wp:effectExtent l="0" t="0" r="190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484495" cy="33293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（红线范围内资产为本次需要评估资产）</w:t>
      </w:r>
    </w:p>
    <w:p>
      <w:pPr>
        <w:spacing w:line="360" w:lineRule="auto"/>
        <w:ind w:firstLine="388" w:firstLineChars="200"/>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2）资产明细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121"/>
        <w:gridCol w:w="1747"/>
        <w:gridCol w:w="3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名称</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数量</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变压器</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型号：S11-M-400/10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配电箱</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尺寸：155</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*122</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*450</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w:t>
            </w:r>
          </w:p>
        </w:tc>
      </w:tr>
    </w:tbl>
    <w:p>
      <w:pPr>
        <w:pStyle w:val="21"/>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color w:val="000000"/>
          <w:sz w:val="21"/>
          <w:szCs w:val="21"/>
          <w:lang w:val="en-US" w:eastAsia="zh-CN"/>
        </w:rPr>
        <w:t>（此表仅供参考，具体以现场实际为准）</w:t>
      </w:r>
    </w:p>
    <w:p>
      <w:pPr>
        <w:spacing w:line="360" w:lineRule="auto"/>
        <w:ind w:firstLine="422" w:firstLineChars="200"/>
        <w:outlineLvl w:val="1"/>
        <w:rPr>
          <w:rFonts w:hint="eastAsia" w:asciiTheme="minorEastAsia" w:hAnsiTheme="minorEastAsia" w:cstheme="minorEastAsia"/>
          <w:b/>
          <w:sz w:val="21"/>
          <w:szCs w:val="21"/>
        </w:rPr>
      </w:pPr>
      <w:bookmarkStart w:id="12" w:name="_Toc20000"/>
      <w:r>
        <w:rPr>
          <w:rFonts w:hint="eastAsia" w:asciiTheme="minorEastAsia" w:hAnsiTheme="minorEastAsia" w:cstheme="minorEastAsia"/>
          <w:b/>
          <w:sz w:val="21"/>
          <w:szCs w:val="21"/>
          <w:lang w:val="en-US" w:eastAsia="zh-CN"/>
        </w:rPr>
        <w:t>二、</w:t>
      </w:r>
      <w:r>
        <w:rPr>
          <w:rFonts w:hint="eastAsia" w:asciiTheme="minorEastAsia" w:hAnsiTheme="minorEastAsia" w:cstheme="minorEastAsia"/>
          <w:b/>
          <w:sz w:val="21"/>
          <w:szCs w:val="21"/>
        </w:rPr>
        <w:t>服务内容及要求</w:t>
      </w:r>
      <w:bookmarkEnd w:id="12"/>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1、投标人对合肥国际人才公寓变压器及配电箱进行资产评估，并对应出具资产评估报告。</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2、根据国家有关法规和行业规定，能够独立客观地进行鉴定评估。在签订委托合同，并且委托方提供完整的评估资料后，在约定时间内将评估报告书初稿报委托人审核并获取意见后72小时内出具评估报告。</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3、投标人应当对被评估对象进行全面清查，根据委托方提供的资产清单，核实资产账面与实际是否相符，并据此作出鉴定。</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4、投标人应充分根据资产原值、净值、新旧程度、重置成本、获利能力等因素选用合适的资产评估方法；并优先在持续使用的假设前提下，进行评估。</w:t>
      </w:r>
    </w:p>
    <w:p>
      <w:pPr>
        <w:spacing w:line="520" w:lineRule="exact"/>
        <w:ind w:firstLine="444" w:firstLineChars="200"/>
        <w:outlineLvl w:val="9"/>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5、投</w:t>
      </w:r>
      <w:r>
        <w:rPr>
          <w:rFonts w:hint="eastAsia" w:asciiTheme="minorEastAsia" w:hAnsiTheme="minorEastAsia" w:eastAsiaTheme="minorEastAsia" w:cstheme="minorEastAsia"/>
          <w:b w:val="0"/>
          <w:bCs w:val="0"/>
          <w:spacing w:val="6"/>
          <w:sz w:val="21"/>
          <w:szCs w:val="21"/>
          <w:lang w:val="en-US" w:eastAsia="zh-CN"/>
        </w:rPr>
        <w:t xml:space="preserve">标人出具的资产评估报告应当完整、齐全内容、格式符合《企业国有资产评估报告指南》（中评协[2017]42号）的规定。   </w:t>
      </w:r>
    </w:p>
    <w:p>
      <w:pPr>
        <w:spacing w:line="520" w:lineRule="exact"/>
        <w:ind w:firstLine="0" w:firstLineChars="0"/>
        <w:outlineLvl w:val="9"/>
        <w:rPr>
          <w:rFonts w:hint="eastAsia" w:asciiTheme="minorEastAsia" w:hAnsiTheme="minorEastAsia" w:cstheme="minorEastAsia"/>
          <w:b/>
          <w:sz w:val="21"/>
          <w:szCs w:val="21"/>
          <w:lang w:eastAsia="zh-CN"/>
        </w:rPr>
      </w:pPr>
      <w:r>
        <w:rPr>
          <w:rFonts w:hint="eastAsia" w:asciiTheme="minorEastAsia" w:hAnsiTheme="minorEastAsia" w:cstheme="minorEastAsia"/>
          <w:spacing w:val="6"/>
          <w:sz w:val="21"/>
          <w:szCs w:val="21"/>
          <w:lang w:val="en-US" w:eastAsia="zh-CN"/>
        </w:rPr>
        <w:t>三</w:t>
      </w:r>
      <w:r>
        <w:rPr>
          <w:rFonts w:hint="eastAsia" w:asciiTheme="minorEastAsia" w:hAnsiTheme="minorEastAsia" w:eastAsiaTheme="minorEastAsia" w:cstheme="minorEastAsia"/>
          <w:spacing w:val="6"/>
          <w:sz w:val="21"/>
          <w:szCs w:val="21"/>
          <w:lang w:val="en-US" w:eastAsia="zh-CN"/>
        </w:rPr>
        <w:t>、</w:t>
      </w:r>
      <w:r>
        <w:rPr>
          <w:rFonts w:hint="eastAsia" w:asciiTheme="minorEastAsia" w:hAnsiTheme="minorEastAsia" w:cstheme="minorEastAsia"/>
          <w:b/>
          <w:sz w:val="21"/>
          <w:szCs w:val="21"/>
          <w:lang w:val="en-US" w:eastAsia="zh-CN"/>
        </w:rPr>
        <w:t>服务期限</w:t>
      </w:r>
      <w:r>
        <w:rPr>
          <w:rFonts w:hint="eastAsia" w:asciiTheme="minorEastAsia" w:hAnsiTheme="minorEastAsia" w:cstheme="minorEastAsia"/>
          <w:b/>
          <w:sz w:val="21"/>
          <w:szCs w:val="21"/>
        </w:rPr>
        <w:t>要求</w:t>
      </w:r>
      <w:r>
        <w:rPr>
          <w:rFonts w:hint="eastAsia" w:asciiTheme="minorEastAsia" w:hAnsiTheme="minorEastAsia" w:cstheme="minorEastAsia"/>
          <w:b/>
          <w:sz w:val="21"/>
          <w:szCs w:val="21"/>
          <w:lang w:eastAsia="zh-CN"/>
        </w:rPr>
        <w:t>：</w:t>
      </w:r>
    </w:p>
    <w:p>
      <w:pPr>
        <w:pStyle w:val="21"/>
        <w:numPr>
          <w:ilvl w:val="-1"/>
          <w:numId w:val="0"/>
        </w:numPr>
        <w:spacing w:line="520" w:lineRule="exact"/>
        <w:ind w:left="0" w:leftChars="0" w:firstLine="444" w:firstLineChars="200"/>
        <w:rPr>
          <w:rFonts w:hint="eastAsia" w:asciiTheme="minorEastAsia" w:hAnsiTheme="minorEastAsia" w:cstheme="minorEastAsia"/>
          <w:spacing w:val="6"/>
          <w:szCs w:val="21"/>
          <w:lang w:eastAsia="zh-CN"/>
        </w:rPr>
      </w:pPr>
      <w:r>
        <w:rPr>
          <w:rFonts w:hint="eastAsia" w:asciiTheme="minorEastAsia" w:hAnsiTheme="minorEastAsia" w:eastAsiaTheme="minorEastAsia" w:cstheme="minorEastAsia"/>
          <w:spacing w:val="6"/>
          <w:sz w:val="21"/>
          <w:szCs w:val="21"/>
          <w:lang w:val="en-US" w:eastAsia="zh-CN"/>
        </w:rPr>
        <w:t>投标单位应自中标之日起7个工作日内完成资产评估工作，出具符合委托人要求的评估报告。</w:t>
      </w:r>
    </w:p>
    <w:p>
      <w:pPr>
        <w:spacing w:line="360" w:lineRule="auto"/>
        <w:ind w:firstLine="0" w:firstLineChars="0"/>
        <w:outlineLvl w:val="1"/>
        <w:rPr>
          <w:rFonts w:hint="eastAsia" w:asciiTheme="minorEastAsia" w:hAnsiTheme="minorEastAsia" w:cstheme="minorEastAsia"/>
          <w:b/>
          <w:sz w:val="21"/>
          <w:szCs w:val="21"/>
        </w:rPr>
      </w:pPr>
      <w:bookmarkStart w:id="13" w:name="_Toc4247"/>
      <w:r>
        <w:rPr>
          <w:rFonts w:hint="eastAsia" w:asciiTheme="minorEastAsia" w:hAnsiTheme="minorEastAsia" w:cstheme="minorEastAsia"/>
          <w:b/>
          <w:sz w:val="21"/>
          <w:szCs w:val="21"/>
          <w:lang w:val="en-US" w:eastAsia="zh-CN"/>
        </w:rPr>
        <w:t>四、</w:t>
      </w:r>
      <w:r>
        <w:rPr>
          <w:rFonts w:hint="eastAsia" w:asciiTheme="minorEastAsia" w:hAnsiTheme="minorEastAsia" w:cstheme="minorEastAsia"/>
          <w:b/>
          <w:sz w:val="21"/>
          <w:szCs w:val="21"/>
        </w:rPr>
        <w:t>报价要求</w:t>
      </w:r>
      <w:bookmarkEnd w:id="13"/>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1、本项目采用总价报价，投标单位报投标总价</w:t>
      </w:r>
      <w:r>
        <w:rPr>
          <w:rFonts w:hint="eastAsia" w:asciiTheme="minorEastAsia" w:hAnsiTheme="minorEastAsia" w:cstheme="minorEastAsia"/>
          <w:spacing w:val="6"/>
          <w:sz w:val="21"/>
          <w:szCs w:val="21"/>
          <w:lang w:val="en-US" w:eastAsia="zh-CN"/>
        </w:rPr>
        <w:t>不得高于项目概算金额</w:t>
      </w:r>
      <w:r>
        <w:rPr>
          <w:rFonts w:hint="eastAsia" w:asciiTheme="minorEastAsia" w:hAnsiTheme="minorEastAsia" w:eastAsiaTheme="minorEastAsia" w:cstheme="minorEastAsia"/>
          <w:spacing w:val="6"/>
          <w:sz w:val="21"/>
          <w:szCs w:val="21"/>
          <w:lang w:val="en-US" w:eastAsia="zh-CN"/>
        </w:rPr>
        <w:t>，该总价包括但不限于投标单位的人工费、保险费、福利费、审计费、利润、税金及完成项目应有的全部费用。以投标总价作为评标依据，报价相同的，</w:t>
      </w:r>
      <w:bookmarkStart w:id="14" w:name="_Hlk514735510"/>
      <w:r>
        <w:rPr>
          <w:rFonts w:hint="eastAsia" w:asciiTheme="minorEastAsia" w:hAnsiTheme="minorEastAsia" w:eastAsiaTheme="minorEastAsia" w:cstheme="minorEastAsia"/>
          <w:spacing w:val="6"/>
          <w:sz w:val="21"/>
          <w:szCs w:val="21"/>
          <w:lang w:val="en-US" w:eastAsia="zh-CN"/>
        </w:rPr>
        <w:t>则采取评标委员会抽签方式确定中标单位。</w:t>
      </w:r>
      <w:bookmarkEnd w:id="14"/>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2、投标人需提前自行对项目现场和周围环境进行勘察，勘查现场所发生的费用由投标人自行承担。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pacing w:val="6"/>
          <w:sz w:val="21"/>
          <w:szCs w:val="21"/>
          <w:lang w:val="en-US" w:eastAsia="zh-CN"/>
        </w:rPr>
        <w:t>3、</w:t>
      </w:r>
      <w:r>
        <w:rPr>
          <w:rFonts w:hint="eastAsia" w:asciiTheme="minorEastAsia" w:hAnsiTheme="minorEastAsia" w:cstheme="minorEastAsia"/>
          <w:spacing w:val="6"/>
          <w:sz w:val="21"/>
          <w:szCs w:val="21"/>
          <w:lang w:val="en-US" w:eastAsia="zh-CN"/>
        </w:rPr>
        <w:t>投标</w:t>
      </w:r>
      <w:r>
        <w:rPr>
          <w:rFonts w:hint="eastAsia" w:asciiTheme="minorEastAsia" w:hAnsiTheme="minorEastAsia" w:eastAsiaTheme="minorEastAsia" w:cstheme="minorEastAsia"/>
          <w:spacing w:val="6"/>
          <w:sz w:val="21"/>
          <w:szCs w:val="21"/>
          <w:lang w:val="en-US" w:eastAsia="zh-CN"/>
        </w:rPr>
        <w:t>总价包括本次评估全部内容及工期的成本、利润、税金、运输费、损耗等所有费用。</w:t>
      </w:r>
    </w:p>
    <w:p>
      <w:pPr>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投标报价总价不得高于项目概算。</w:t>
      </w:r>
    </w:p>
    <w:p>
      <w:pPr>
        <w:spacing w:line="360" w:lineRule="auto"/>
        <w:outlineLvl w:val="1"/>
        <w:rPr>
          <w:rFonts w:hint="eastAsia" w:asciiTheme="minorEastAsia" w:hAnsiTheme="minorEastAsia" w:cstheme="minorEastAsia"/>
          <w:b/>
          <w:sz w:val="21"/>
          <w:szCs w:val="21"/>
        </w:rPr>
      </w:pPr>
      <w:bookmarkStart w:id="15" w:name="_Toc3469"/>
      <w:r>
        <w:rPr>
          <w:rFonts w:hint="eastAsia" w:asciiTheme="minorEastAsia" w:hAnsiTheme="minorEastAsia" w:cstheme="minorEastAsia"/>
          <w:b/>
          <w:sz w:val="21"/>
          <w:szCs w:val="21"/>
          <w:lang w:val="en-US" w:eastAsia="zh-CN"/>
        </w:rPr>
        <w:t>六、</w:t>
      </w:r>
      <w:r>
        <w:rPr>
          <w:rFonts w:hint="eastAsia" w:asciiTheme="minorEastAsia" w:hAnsiTheme="minorEastAsia" w:cstheme="minorEastAsia"/>
          <w:b/>
          <w:sz w:val="21"/>
          <w:szCs w:val="21"/>
        </w:rPr>
        <w:t>付款方式</w:t>
      </w:r>
      <w:bookmarkEnd w:id="15"/>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中标人与委托人签订合同，中标人完成全部评估并出具符合委托人要求的评估报告后30日内一次性支付评估费用。</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注：（1）在招标人付款前，中标人需向招标人交付等额的增值税专用发票，否则招标人有权拒绝或者延迟付款，且不承担违约责任。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eastAsia="宋体"/>
          <w:spacing w:val="6"/>
          <w:sz w:val="28"/>
          <w:szCs w:val="28"/>
          <w:lang w:val="en-US" w:eastAsia="zh-CN"/>
        </w:rPr>
      </w:pPr>
      <w:r>
        <w:rPr>
          <w:rFonts w:hint="eastAsia" w:asciiTheme="minorEastAsia" w:hAnsiTheme="minorEastAsia" w:eastAsiaTheme="minorEastAsia" w:cstheme="minorEastAsia"/>
          <w:spacing w:val="6"/>
          <w:sz w:val="21"/>
          <w:szCs w:val="21"/>
          <w:lang w:val="en-US" w:eastAsia="zh-CN"/>
        </w:rPr>
        <w:t>（2）投标人提交的投标文件中如有关于付款条件的表述与询价文件规定不符，投标无效。</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16" w:name="_Toc12042"/>
      <w:bookmarkStart w:id="17" w:name="_Toc17615"/>
      <w:r>
        <w:rPr>
          <w:rFonts w:ascii="Times New Roman" w:hAnsi="Times New Roman" w:cs="Times New Roman" w:eastAsiaTheme="minorEastAsia"/>
          <w:b/>
          <w:sz w:val="28"/>
        </w:rPr>
        <w:t>第四章  评审方法和标准</w:t>
      </w:r>
      <w:bookmarkEnd w:id="16"/>
      <w:bookmarkEnd w:id="17"/>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8"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919"/>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4"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9"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6"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4"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6"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6"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6"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w:t>
            </w:r>
          </w:p>
        </w:tc>
        <w:tc>
          <w:tcPr>
            <w:tcW w:w="1159"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授权书</w:t>
            </w:r>
          </w:p>
        </w:tc>
        <w:tc>
          <w:tcPr>
            <w:tcW w:w="3326" w:type="pct"/>
            <w:vAlign w:val="center"/>
          </w:tcPr>
          <w:p>
            <w:pPr>
              <w:adjustRightInd w:val="0"/>
              <w:snapToGrid w:val="0"/>
              <w:spacing w:line="240" w:lineRule="auto"/>
              <w:ind w:right="-10" w:rightChars="0"/>
              <w:jc w:val="left"/>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w:t>
            </w:r>
            <w:r>
              <w:rPr>
                <w:rFonts w:hint="eastAsia" w:ascii="Times New Roman" w:hAnsi="Times New Roman" w:cs="Times New Roman"/>
                <w:szCs w:val="21"/>
                <w:lang w:eastAsia="zh-CN"/>
              </w:rPr>
              <w:t>效投</w:t>
            </w:r>
            <w:r>
              <w:rPr>
                <w:rFonts w:ascii="Times New Roman" w:hAnsi="Times New Roman" w:cs="Times New Roman" w:eastAsiaTheme="minorEastAsia"/>
                <w:szCs w:val="21"/>
              </w:rPr>
              <w:t>标进行评审，未列入上表中的指标不得作为否决投标依据。符合评审指标通过标准的，为有效投标。</w:t>
            </w:r>
          </w:p>
        </w:tc>
      </w:tr>
      <w:bookmarkEnd w:id="18"/>
      <w:bookmarkEnd w:id="19"/>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ind w:left="420"/>
        <w:jc w:val="center"/>
        <w:rPr>
          <w:rFonts w:hint="eastAsia" w:eastAsiaTheme="minorEastAsia"/>
          <w:b/>
          <w:color w:val="000000"/>
          <w:sz w:val="48"/>
          <w:szCs w:val="48"/>
          <w:lang w:eastAsia="zh-CN"/>
        </w:rPr>
      </w:pPr>
      <w:bookmarkStart w:id="20" w:name="_Toc28197"/>
      <w:r>
        <w:rPr>
          <w:rFonts w:hint="eastAsia"/>
          <w:b/>
          <w:color w:val="000000"/>
          <w:sz w:val="48"/>
          <w:szCs w:val="48"/>
          <w:lang w:eastAsia="zh-CN"/>
        </w:rPr>
        <w:t>合肥国际人才公寓闲置变压器及配电箱</w:t>
      </w:r>
      <w:r>
        <w:rPr>
          <w:rFonts w:hint="eastAsia"/>
          <w:b/>
          <w:color w:val="000000"/>
          <w:sz w:val="48"/>
          <w:szCs w:val="48"/>
        </w:rPr>
        <w:t>资产评估服务合同</w:t>
      </w:r>
      <w:r>
        <w:rPr>
          <w:rFonts w:hint="eastAsia"/>
          <w:b/>
          <w:color w:val="000000"/>
          <w:sz w:val="48"/>
          <w:szCs w:val="48"/>
          <w:lang w:eastAsia="zh-CN"/>
        </w:rPr>
        <w:t>（</w:t>
      </w:r>
      <w:r>
        <w:rPr>
          <w:rFonts w:hint="eastAsia"/>
          <w:b/>
          <w:color w:val="000000"/>
          <w:sz w:val="48"/>
          <w:szCs w:val="48"/>
          <w:lang w:val="en-US" w:eastAsia="zh-CN"/>
        </w:rPr>
        <w:t>供参考</w:t>
      </w:r>
      <w:r>
        <w:rPr>
          <w:rFonts w:hint="eastAsia"/>
          <w:b/>
          <w:color w:val="000000"/>
          <w:sz w:val="48"/>
          <w:szCs w:val="48"/>
          <w:lang w:eastAsia="zh-CN"/>
        </w:rPr>
        <w:t>）</w:t>
      </w:r>
    </w:p>
    <w:p>
      <w:pPr>
        <w:rPr>
          <w:b/>
          <w:color w:val="000000"/>
          <w:sz w:val="52"/>
          <w:szCs w:val="52"/>
        </w:rPr>
      </w:pPr>
    </w:p>
    <w:p>
      <w:pPr>
        <w:widowControl/>
        <w:spacing w:before="109" w:line="440" w:lineRule="atLeast"/>
        <w:ind w:firstLine="640"/>
        <w:rPr>
          <w:rFonts w:ascii="黑体" w:hAnsi="Times New Roman" w:eastAsia="黑体"/>
          <w:color w:val="000000"/>
          <w:kern w:val="0"/>
          <w:sz w:val="32"/>
          <w:szCs w:val="32"/>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hint="eastAsia" w:ascii="宋体" w:hAnsi="宋体"/>
          <w:color w:val="000000"/>
        </w:rPr>
      </w:pPr>
    </w:p>
    <w:p>
      <w:pPr>
        <w:pStyle w:val="8"/>
        <w:ind w:firstLine="199" w:firstLineChars="95"/>
        <w:rPr>
          <w:rFonts w:ascii="宋体" w:hAnsi="宋体"/>
          <w:color w:val="000000"/>
        </w:rPr>
      </w:pPr>
    </w:p>
    <w:p>
      <w:pPr>
        <w:jc w:val="left"/>
        <w:rPr>
          <w:rFonts w:hint="eastAsia" w:ascii="宋体" w:hAnsi="宋体"/>
          <w:color w:val="000000"/>
        </w:rPr>
      </w:pPr>
    </w:p>
    <w:p>
      <w:pPr>
        <w:jc w:val="left"/>
        <w:rPr>
          <w:rFonts w:ascii="宋体" w:hAnsi="宋体"/>
          <w:color w:val="000000"/>
        </w:rPr>
      </w:pPr>
    </w:p>
    <w:p>
      <w:pPr>
        <w:ind w:firstLine="562" w:firstLineChars="200"/>
        <w:jc w:val="left"/>
        <w:rPr>
          <w:rFonts w:ascii="宋体" w:hAnsi="宋体"/>
          <w:b/>
          <w:color w:val="000000"/>
          <w:sz w:val="28"/>
          <w:szCs w:val="28"/>
        </w:rPr>
      </w:pPr>
      <w:r>
        <w:rPr>
          <w:rFonts w:hint="eastAsia" w:ascii="宋体" w:hAnsi="宋体"/>
          <w:b/>
          <w:color w:val="000000"/>
          <w:sz w:val="28"/>
          <w:szCs w:val="28"/>
        </w:rPr>
        <w:t>委托人：</w:t>
      </w:r>
      <w:r>
        <w:rPr>
          <w:rFonts w:hint="eastAsia" w:ascii="宋体" w:hAnsi="宋体"/>
          <w:color w:val="000000"/>
          <w:sz w:val="28"/>
          <w:szCs w:val="28"/>
        </w:rPr>
        <w:t>合肥文旅博览集团有限公司</w:t>
      </w:r>
      <w:r>
        <w:rPr>
          <w:rFonts w:hint="eastAsia" w:ascii="宋体" w:hAnsi="宋体"/>
          <w:b/>
          <w:color w:val="000000"/>
          <w:sz w:val="28"/>
          <w:szCs w:val="28"/>
        </w:rPr>
        <w:t xml:space="preserve"> </w:t>
      </w:r>
    </w:p>
    <w:p>
      <w:pPr>
        <w:ind w:firstLine="562" w:firstLineChars="200"/>
        <w:jc w:val="left"/>
        <w:rPr>
          <w:rFonts w:ascii="宋体" w:hAnsi="宋体"/>
          <w:color w:val="000000"/>
          <w:sz w:val="28"/>
          <w:szCs w:val="28"/>
          <w:u w:val="single"/>
        </w:rPr>
      </w:pPr>
      <w:r>
        <w:rPr>
          <w:rFonts w:hint="eastAsia" w:ascii="宋体" w:hAnsi="宋体"/>
          <w:b/>
          <w:color w:val="000000"/>
          <w:sz w:val="28"/>
          <w:szCs w:val="28"/>
        </w:rPr>
        <w:t>受托人：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ind w:firstLine="551" w:firstLineChars="196"/>
        <w:rPr>
          <w:rFonts w:ascii="宋体" w:hAnsi="宋体" w:cs="宋体"/>
          <w:color w:val="000000"/>
          <w:kern w:val="0"/>
          <w:sz w:val="20"/>
          <w:szCs w:val="20"/>
        </w:rPr>
      </w:pPr>
      <w:r>
        <w:rPr>
          <w:rFonts w:hint="eastAsia" w:ascii="宋体" w:hAnsi="宋体"/>
          <w:b/>
          <w:color w:val="000000"/>
          <w:sz w:val="28"/>
          <w:szCs w:val="28"/>
        </w:rPr>
        <w:t>合同编号：</w:t>
      </w:r>
      <w:r>
        <w:rPr>
          <w:rFonts w:hint="eastAsia" w:ascii="宋体" w:hAnsi="宋体"/>
          <w:color w:val="000000"/>
          <w:sz w:val="28"/>
          <w:szCs w:val="28"/>
        </w:rPr>
        <w:t>文旅博览（202</w:t>
      </w:r>
      <w:r>
        <w:rPr>
          <w:rFonts w:hint="eastAsia" w:ascii="宋体" w:hAnsi="宋体"/>
          <w:color w:val="000000"/>
          <w:sz w:val="28"/>
          <w:szCs w:val="28"/>
          <w:lang w:val="en-US" w:eastAsia="zh-CN"/>
        </w:rPr>
        <w:t>4</w:t>
      </w:r>
      <w:r>
        <w:rPr>
          <w:rFonts w:hint="eastAsia" w:ascii="宋体" w:hAnsi="宋体"/>
          <w:color w:val="000000"/>
          <w:sz w:val="28"/>
          <w:szCs w:val="28"/>
        </w:rPr>
        <w:t>）第   号合同</w:t>
      </w:r>
    </w:p>
    <w:p>
      <w:pPr>
        <w:ind w:firstLine="562" w:firstLineChars="200"/>
        <w:rPr>
          <w:rFonts w:ascii="宋体" w:hAnsi="宋体"/>
          <w:b/>
          <w:color w:val="000000"/>
          <w:sz w:val="28"/>
          <w:szCs w:val="28"/>
          <w:u w:val="single"/>
        </w:rPr>
      </w:pPr>
    </w:p>
    <w:p>
      <w:pPr>
        <w:sectPr>
          <w:pgSz w:w="11906" w:h="16838"/>
          <w:pgMar w:top="1440" w:right="1800" w:bottom="1440" w:left="1800" w:header="851" w:footer="992" w:gutter="0"/>
          <w:cols w:space="425" w:num="1"/>
          <w:docGrid w:type="lines" w:linePitch="312" w:charSpace="0"/>
        </w:sectPr>
      </w:pPr>
    </w:p>
    <w:p>
      <w:pPr>
        <w:spacing w:line="360" w:lineRule="auto"/>
        <w:ind w:firstLine="480" w:firstLineChars="200"/>
        <w:rPr>
          <w:rFonts w:ascii="宋体" w:hAnsi="宋体"/>
          <w:color w:val="000000"/>
          <w:sz w:val="24"/>
          <w:szCs w:val="24"/>
        </w:rPr>
        <w:sectPr>
          <w:type w:val="continuous"/>
          <w:pgSz w:w="11906" w:h="16838"/>
          <w:pgMar w:top="1440" w:right="1800" w:bottom="1440" w:left="1800" w:header="851" w:footer="992" w:gutter="0"/>
          <w:cols w:space="425" w:num="1"/>
          <w:docGrid w:type="lines" w:linePitch="312" w:charSpace="0"/>
        </w:sectPr>
      </w:pPr>
    </w:p>
    <w:p>
      <w:pPr>
        <w:pStyle w:val="55"/>
        <w:spacing w:line="531" w:lineRule="exact"/>
        <w:ind w:left="0" w:leftChars="0" w:firstLine="0" w:firstLineChars="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评估</w:t>
      </w:r>
      <w:r>
        <w:rPr>
          <w:rFonts w:hint="eastAsia" w:asciiTheme="minorEastAsia" w:hAnsiTheme="minorEastAsia" w:eastAsiaTheme="minorEastAsia" w:cstheme="minorEastAsia"/>
          <w:b/>
          <w:kern w:val="0"/>
          <w:sz w:val="28"/>
          <w:szCs w:val="28"/>
        </w:rPr>
        <w:t>业务约定书</w:t>
      </w:r>
    </w:p>
    <w:p>
      <w:pPr>
        <w:pStyle w:val="55"/>
        <w:spacing w:line="531" w:lineRule="exact"/>
        <w:ind w:left="0" w:leftChars="0" w:firstLine="0" w:firstLineChars="0"/>
        <w:jc w:val="right"/>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文旅博览（202</w:t>
      </w:r>
      <w:r>
        <w:rPr>
          <w:rFonts w:hint="eastAsia" w:asciiTheme="minorEastAsia" w:hAnsiTheme="minorEastAsia" w:eastAsiaTheme="minorEastAsia" w:cstheme="minorEastAsia"/>
          <w:b w:val="0"/>
          <w:bCs/>
          <w:kern w:val="0"/>
          <w:sz w:val="21"/>
          <w:szCs w:val="21"/>
          <w:lang w:val="en-US" w:eastAsia="zh-CN"/>
        </w:rPr>
        <w:t>4</w:t>
      </w:r>
      <w:r>
        <w:rPr>
          <w:rFonts w:hint="eastAsia" w:asciiTheme="minorEastAsia" w:hAnsiTheme="minorEastAsia" w:eastAsiaTheme="minorEastAsia" w:cstheme="minorEastAsia"/>
          <w:b w:val="0"/>
          <w:bCs/>
          <w:kern w:val="0"/>
          <w:sz w:val="21"/>
          <w:szCs w:val="21"/>
        </w:rPr>
        <w:t>）第</w:t>
      </w:r>
      <w:r>
        <w:rPr>
          <w:rFonts w:hint="eastAsia" w:asciiTheme="minorEastAsia" w:hAnsiTheme="minorEastAsia" w:eastAsiaTheme="minorEastAsia" w:cstheme="minorEastAsia"/>
          <w:b w:val="0"/>
          <w:bCs/>
          <w:kern w:val="0"/>
          <w:sz w:val="21"/>
          <w:szCs w:val="21"/>
          <w:lang w:val="en-US" w:eastAsia="zh-CN"/>
        </w:rPr>
        <w:t xml:space="preserve">   </w:t>
      </w:r>
      <w:r>
        <w:rPr>
          <w:rFonts w:hint="eastAsia" w:asciiTheme="minorEastAsia" w:hAnsiTheme="minorEastAsia" w:eastAsiaTheme="minorEastAsia" w:cstheme="minorEastAsia"/>
          <w:b w:val="0"/>
          <w:bCs/>
          <w:kern w:val="0"/>
          <w:sz w:val="21"/>
          <w:szCs w:val="21"/>
        </w:rPr>
        <w:t>号合同</w:t>
      </w:r>
    </w:p>
    <w:p>
      <w:pPr>
        <w:pStyle w:val="55"/>
        <w:keepNext w:val="0"/>
        <w:keepLines w:val="0"/>
        <w:pageBreakBefore w:val="0"/>
        <w:kinsoku/>
        <w:wordWrap/>
        <w:overflowPunct/>
        <w:topLinePunct w:val="0"/>
        <w:autoSpaceDE/>
        <w:autoSpaceDN/>
        <w:bidi w:val="0"/>
        <w:spacing w:line="520" w:lineRule="atLeast"/>
        <w:ind w:left="0" w:leftChars="0" w:firstLine="0" w:firstLineChars="0"/>
        <w:jc w:val="both"/>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委托方（甲方）：</w:t>
      </w:r>
      <w:r>
        <w:rPr>
          <w:rFonts w:hint="eastAsia" w:asciiTheme="minorEastAsia" w:hAnsiTheme="minorEastAsia" w:eastAsiaTheme="minorEastAsia" w:cstheme="minorEastAsia"/>
          <w:kern w:val="0"/>
          <w:sz w:val="21"/>
          <w:szCs w:val="21"/>
          <w:highlight w:val="none"/>
          <w:lang w:val="en-US" w:eastAsia="zh-CN"/>
        </w:rPr>
        <w:t>合肥文旅博览集团有限公司</w:t>
      </w:r>
    </w:p>
    <w:p>
      <w:pPr>
        <w:pStyle w:val="55"/>
        <w:keepNext w:val="0"/>
        <w:keepLines w:val="0"/>
        <w:pageBreakBefore w:val="0"/>
        <w:kinsoku/>
        <w:wordWrap/>
        <w:overflowPunct/>
        <w:topLinePunct w:val="0"/>
        <w:autoSpaceDE/>
        <w:autoSpaceDN/>
        <w:bidi w:val="0"/>
        <w:spacing w:line="520" w:lineRule="atLeast"/>
        <w:ind w:left="0" w:leftChars="0" w:firstLine="0" w:firstLineChars="0"/>
        <w:jc w:val="both"/>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eastAsia="zh-CN"/>
        </w:rPr>
        <w:t>受托方（乙方）：</w:t>
      </w:r>
      <w:r>
        <w:rPr>
          <w:rFonts w:hint="eastAsia" w:asciiTheme="minorEastAsia" w:hAnsiTheme="minorEastAsia" w:eastAsiaTheme="minorEastAsia" w:cstheme="minorEastAsia"/>
          <w:kern w:val="0"/>
          <w:sz w:val="21"/>
          <w:szCs w:val="21"/>
          <w:highlight w:val="none"/>
          <w:lang w:val="en-US" w:eastAsia="zh-CN"/>
        </w:rPr>
        <w:t xml:space="preserve">    </w:t>
      </w:r>
    </w:p>
    <w:p>
      <w:pPr>
        <w:pStyle w:val="55"/>
        <w:keepNext w:val="0"/>
        <w:keepLines w:val="0"/>
        <w:pageBreakBefore w:val="0"/>
        <w:kinsoku/>
        <w:wordWrap/>
        <w:overflowPunct/>
        <w:topLinePunct w:val="0"/>
        <w:autoSpaceDE/>
        <w:autoSpaceDN/>
        <w:bidi w:val="0"/>
        <w:spacing w:line="520" w:lineRule="atLeast"/>
        <w:ind w:firstLine="620"/>
        <w:jc w:val="both"/>
        <w:textAlignment w:val="auto"/>
        <w:rPr>
          <w:rFonts w:hint="eastAsia" w:asciiTheme="minorEastAsia" w:hAnsiTheme="minorEastAsia" w:eastAsiaTheme="minorEastAsia" w:cstheme="minorEastAsia"/>
          <w:kern w:val="0"/>
          <w:sz w:val="21"/>
          <w:szCs w:val="21"/>
          <w:highlight w:val="none"/>
          <w:lang w:val="en-US" w:eastAsia="zh-CN"/>
        </w:rPr>
      </w:pP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甲乙双方根据《中华人民共和国民法典》及《资产评估执业准则——资产评估委托合同》的规定，为明确双方的权利和义务，经双方协商同意签订本合同。</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一、评估目的</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lang w:val="en-US" w:eastAsia="zh-CN"/>
        </w:rPr>
        <w:t>合肥文旅博览集团有限公司</w:t>
      </w:r>
      <w:r>
        <w:rPr>
          <w:rFonts w:hint="eastAsia" w:asciiTheme="minorEastAsia" w:hAnsiTheme="minorEastAsia" w:eastAsiaTheme="minorEastAsia" w:cstheme="minorEastAsia"/>
          <w:sz w:val="21"/>
          <w:szCs w:val="21"/>
        </w:rPr>
        <w:t>拟处置</w:t>
      </w:r>
      <w:r>
        <w:rPr>
          <w:rFonts w:hint="eastAsia" w:asciiTheme="minorEastAsia" w:hAnsiTheme="minorEastAsia" w:eastAsiaTheme="minorEastAsia" w:cstheme="minorEastAsia"/>
          <w:sz w:val="21"/>
          <w:szCs w:val="21"/>
          <w:lang w:eastAsia="zh-CN"/>
        </w:rPr>
        <w:t>的合肥国际人才公寓闲置变压器及配电箱资产评估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对该经济行为所涉及的资产于评估基准日的市场价值进行评估，</w:t>
      </w:r>
      <w:r>
        <w:rPr>
          <w:rFonts w:hint="eastAsia" w:asciiTheme="minorEastAsia" w:hAnsiTheme="minorEastAsia" w:eastAsiaTheme="minorEastAsia" w:cstheme="minorEastAsia"/>
          <w:sz w:val="21"/>
          <w:szCs w:val="21"/>
        </w:rPr>
        <w:t>本次评估为上述经济行为提供价值参考依据。</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二、评估对象和评估范围：</w:t>
      </w:r>
      <w:r>
        <w:rPr>
          <w:rFonts w:hint="eastAsia" w:asciiTheme="minorEastAsia" w:hAnsiTheme="minorEastAsia" w:eastAsiaTheme="minorEastAsia" w:cstheme="minorEastAsia"/>
          <w:sz w:val="21"/>
          <w:szCs w:val="21"/>
          <w:lang w:val="en-US" w:eastAsia="zh-CN"/>
        </w:rPr>
        <w:t>评估对象为合肥文旅博览集团有限公司拟处置的合肥国际人才公寓闲置变压器及配电箱资产的市场价值；评估范围为合肥文旅博览集团有限公司拟处置的合肥国际人才公寓闲置变压器及配电箱资产。</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三、评估基准日</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2024年   月   日</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四、资产评估报告</w:t>
      </w:r>
      <w:r>
        <w:rPr>
          <w:rFonts w:hint="eastAsia" w:asciiTheme="minorEastAsia" w:hAnsiTheme="minorEastAsia" w:eastAsiaTheme="minorEastAsia" w:cstheme="minorEastAsia"/>
          <w:b/>
          <w:sz w:val="21"/>
          <w:szCs w:val="21"/>
          <w:lang w:eastAsia="zh-CN"/>
        </w:rPr>
        <w:t>适</w:t>
      </w:r>
      <w:r>
        <w:rPr>
          <w:rFonts w:hint="eastAsia" w:asciiTheme="minorEastAsia" w:hAnsiTheme="minorEastAsia" w:eastAsiaTheme="minorEastAsia" w:cstheme="minorEastAsia"/>
          <w:b/>
          <w:sz w:val="21"/>
          <w:szCs w:val="21"/>
        </w:rPr>
        <w:t>用范围：</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1、资产评估报告仅供甲方和法律、行政法规规定的使用</w:t>
      </w:r>
      <w:r>
        <w:rPr>
          <w:rFonts w:hint="eastAsia" w:asciiTheme="minorEastAsia" w:hAnsiTheme="minorEastAsia" w:eastAsiaTheme="minorEastAsia" w:cstheme="minorEastAsia"/>
          <w:sz w:val="21"/>
          <w:szCs w:val="21"/>
          <w:highlight w:val="none"/>
        </w:rPr>
        <w:t>人使用，</w:t>
      </w:r>
      <w:r>
        <w:rPr>
          <w:rFonts w:hint="eastAsia" w:asciiTheme="minorEastAsia" w:hAnsiTheme="minorEastAsia" w:eastAsiaTheme="minorEastAsia" w:cstheme="minorEastAsia"/>
          <w:sz w:val="21"/>
          <w:szCs w:val="21"/>
          <w:highlight w:val="none"/>
          <w:lang w:val="en-US" w:eastAsia="zh-CN"/>
        </w:rPr>
        <w:t>甲方可以授权其他第三方单位使用本资产评估报告，除此之外，</w:t>
      </w:r>
      <w:r>
        <w:rPr>
          <w:rFonts w:hint="eastAsia" w:asciiTheme="minorEastAsia" w:hAnsiTheme="minorEastAsia" w:eastAsiaTheme="minorEastAsia" w:cstheme="minorEastAsia"/>
          <w:sz w:val="21"/>
          <w:szCs w:val="21"/>
          <w:highlight w:val="none"/>
        </w:rPr>
        <w:t>其他任何机构和个人不能成为资产评估报告使用人。</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3、甲方及其他资产评估报告使用人应当在资产评估报告载明的评估结论使用有效期内使用资产评估报告。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4、未经甲方书面许可，乙方及其专业人员不得将资产评估报告的内容向第三方提供或公开，法律、行政法规另有规定的除外。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5、未征得乙方同意，甲方及其他资产评估报告使用人不得将资产评估报告的内容摘抄、引用或者披露于公开媒体，法律、行政法规规定以及相关当事人另有约定的除外。</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五、资产评估报告提交期限和方式</w:t>
      </w:r>
      <w:r>
        <w:rPr>
          <w:rFonts w:hint="eastAsia" w:asciiTheme="minorEastAsia" w:hAnsiTheme="minorEastAsia" w:eastAsiaTheme="minorEastAsia" w:cstheme="minorEastAsia"/>
          <w:b/>
          <w:sz w:val="21"/>
          <w:szCs w:val="21"/>
          <w:lang w:eastAsia="zh-CN"/>
        </w:rPr>
        <w:t>：</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1、提交期限：自甲方和其他相关当事人完全、如实地提供乙方评估所需所有资料后，</w:t>
      </w:r>
      <w:r>
        <w:rPr>
          <w:rFonts w:hint="eastAsia" w:asciiTheme="minorEastAsia" w:hAnsiTheme="minorEastAsia" w:eastAsiaTheme="minorEastAsia" w:cstheme="minorEastAsia"/>
          <w:sz w:val="21"/>
          <w:szCs w:val="21"/>
          <w:highlight w:val="none"/>
          <w:lang w:val="en-US" w:eastAsia="zh-CN"/>
        </w:rPr>
        <w:t>在约定时间内将评估报告书初稿报甲方审核，在获取甲方意见后72小时内出具正式评估报告；但自受托之日起，正式评估报告出具时间不得超过7个工作日。</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2、提交方式：资产评估报告的电子版及纸质版</w:t>
      </w:r>
      <w:r>
        <w:rPr>
          <w:rFonts w:hint="eastAsia" w:asciiTheme="minorEastAsia" w:hAnsiTheme="minorEastAsia" w:eastAsiaTheme="minorEastAsia" w:cstheme="minorEastAsia"/>
          <w:sz w:val="21"/>
          <w:szCs w:val="21"/>
          <w:highlight w:val="none"/>
          <w:lang w:val="en-US" w:eastAsia="zh-CN"/>
        </w:rPr>
        <w:t>一式  份</w:t>
      </w:r>
      <w:r>
        <w:rPr>
          <w:rFonts w:hint="eastAsia" w:asciiTheme="minorEastAsia" w:hAnsiTheme="minorEastAsia" w:eastAsiaTheme="minorEastAsia" w:cstheme="minorEastAsia"/>
          <w:sz w:val="21"/>
          <w:szCs w:val="21"/>
          <w:highlight w:val="none"/>
        </w:rPr>
        <w:t>，邮寄或</w:t>
      </w:r>
      <w:r>
        <w:rPr>
          <w:rFonts w:hint="eastAsia" w:asciiTheme="minorEastAsia" w:hAnsiTheme="minorEastAsia" w:eastAsiaTheme="minorEastAsia" w:cstheme="minorEastAsia"/>
          <w:sz w:val="21"/>
          <w:szCs w:val="21"/>
          <w:highlight w:val="none"/>
          <w:lang w:val="en-US" w:eastAsia="zh-CN"/>
        </w:rPr>
        <w:t>直接</w:t>
      </w:r>
      <w:r>
        <w:rPr>
          <w:rFonts w:hint="eastAsia" w:asciiTheme="minorEastAsia" w:hAnsiTheme="minorEastAsia" w:eastAsiaTheme="minorEastAsia" w:cstheme="minorEastAsia"/>
          <w:sz w:val="21"/>
          <w:szCs w:val="21"/>
          <w:highlight w:val="none"/>
        </w:rPr>
        <w:t>送达给甲方。</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3、乙方应当对被评估对象进行全面清查，根据甲方提供的资产清单，核实资产账面与实际是否相符，并据此作出鉴定。</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4、乙方应充分根据资产原值、净值、新旧程度、重置成本、获利能力等因素选用合适的资产评估方法；</w:t>
      </w:r>
      <w:r>
        <w:rPr>
          <w:rFonts w:hint="eastAsia" w:asciiTheme="minorEastAsia" w:hAnsiTheme="minorEastAsia" w:eastAsiaTheme="minorEastAsia" w:cstheme="minorEastAsia"/>
          <w:b w:val="0"/>
          <w:bCs w:val="0"/>
          <w:sz w:val="21"/>
          <w:szCs w:val="21"/>
          <w:highlight w:val="none"/>
          <w:lang w:val="en-US" w:eastAsia="zh-CN"/>
        </w:rPr>
        <w:t>并优先在持续使用的假设前提下，进行评估。</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六、评估服务费</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1、本合同评估服务费：合肥国际人才公寓闲置变压器及配电箱资产评估服务费为   元（大写：   ）。</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2、上述评估服务费包括本次评估全部内容及工期的成本、利润、税金、运输费、损耗等所有费用，除此之外，甲方无需就本合同项下服务向乙方或第三方支付任何其他费用。</w:t>
      </w:r>
    </w:p>
    <w:p>
      <w:pPr>
        <w:keepNext w:val="0"/>
        <w:keepLines w:val="0"/>
        <w:pageBreakBefore w:val="0"/>
        <w:kinsoku/>
        <w:wordWrap/>
        <w:overflowPunct/>
        <w:topLinePunct w:val="0"/>
        <w:autoSpaceDE/>
        <w:autoSpaceDN/>
        <w:bidi w:val="0"/>
        <w:adjustRightInd w:val="0"/>
        <w:snapToGrid w:val="0"/>
        <w:spacing w:line="52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3、付款方式：</w:t>
      </w:r>
      <w:r>
        <w:rPr>
          <w:rFonts w:hint="eastAsia"/>
          <w:lang w:val="en-US" w:eastAsia="zh-CN"/>
        </w:rPr>
        <w:t>乙方</w:t>
      </w:r>
      <w:r>
        <w:rPr>
          <w:rFonts w:hint="eastAsia"/>
        </w:rPr>
        <w:t>完成全部评估并出具符合</w:t>
      </w:r>
      <w:r>
        <w:rPr>
          <w:rFonts w:hint="eastAsia"/>
          <w:lang w:val="en-US" w:eastAsia="zh-CN"/>
        </w:rPr>
        <w:t>甲方</w:t>
      </w:r>
      <w:r>
        <w:rPr>
          <w:rFonts w:hint="eastAsia"/>
        </w:rPr>
        <w:t>要求的评估报告后30日内一次性支付评估费用。</w:t>
      </w:r>
      <w:r>
        <w:rPr>
          <w:rFonts w:hint="eastAsia" w:asciiTheme="minorEastAsia" w:hAnsiTheme="minorEastAsia" w:eastAsiaTheme="minorEastAsia" w:cstheme="minorEastAsia"/>
          <w:spacing w:val="6"/>
          <w:sz w:val="21"/>
          <w:szCs w:val="21"/>
          <w:lang w:val="en-US" w:eastAsia="zh-CN"/>
        </w:rPr>
        <w:t>在</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付款前，</w:t>
      </w:r>
      <w:r>
        <w:rPr>
          <w:rFonts w:hint="eastAsia" w:asciiTheme="minorEastAsia" w:hAnsiTheme="minorEastAsia" w:cstheme="minorEastAsia"/>
          <w:spacing w:val="6"/>
          <w:sz w:val="21"/>
          <w:szCs w:val="21"/>
          <w:lang w:val="en-US" w:eastAsia="zh-CN"/>
        </w:rPr>
        <w:t>乙方</w:t>
      </w:r>
      <w:r>
        <w:rPr>
          <w:rFonts w:hint="eastAsia" w:asciiTheme="minorEastAsia" w:hAnsiTheme="minorEastAsia" w:eastAsiaTheme="minorEastAsia" w:cstheme="minorEastAsia"/>
          <w:spacing w:val="6"/>
          <w:sz w:val="21"/>
          <w:szCs w:val="21"/>
          <w:lang w:val="en-US" w:eastAsia="zh-CN"/>
        </w:rPr>
        <w:t>需向</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交付等额的增值税专用发票，否则</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有权拒绝或者延迟付款，且不承担违约责任。</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4、若评估范围或评估基准日发生变化，双方应签订补充协议或重新签订资产评估委托合同，评估服务费另议。</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5、非乙方原因造成评估业务中止，甲方应按乙方已完成的评估工作量向乙方支付相应的评估服务费。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6、甲方所支付的评估服务费中包含乙方利用自主开发的云数据库系统、评估工具软件、底稿系统软件和项目管理系统等高技术手段提供高效服务的费用。</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7、评估服务费的支付方式为转账汇款，乙方不接受现金形式的支付方式。</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8、乙方可接受的支付币种为人民币。</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9、乙方收款账户信息</w:t>
      </w:r>
      <w:r>
        <w:rPr>
          <w:rFonts w:hint="eastAsia" w:asciiTheme="minorEastAsia" w:hAnsiTheme="minorEastAsia" w:eastAsiaTheme="minorEastAsia" w:cstheme="minorEastAsia"/>
          <w:sz w:val="21"/>
          <w:szCs w:val="21"/>
          <w:lang w:val="en-US" w:eastAsia="zh-CN"/>
        </w:rPr>
        <w:t>如下</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开户行：</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账户名称：</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账号：</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七、关于发票的特别约定：</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、发票上的购买方应与评估服务费支付方一致，若评估服务费支付方、支付金额等发生变化的，应签订补充协议另行约定，并及时更换发票。</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八、双方权利和义务</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w:t>
      </w:r>
      <w:r>
        <w:rPr>
          <w:rFonts w:hint="eastAsia" w:asciiTheme="minorEastAsia" w:hAnsiTheme="minorEastAsia" w:cstheme="minorEastAsia"/>
          <w:sz w:val="21"/>
          <w:szCs w:val="21"/>
          <w:lang w:val="en-US" w:eastAsia="zh-CN"/>
        </w:rPr>
        <w:t>名</w:t>
      </w:r>
      <w:r>
        <w:rPr>
          <w:rFonts w:hint="eastAsia" w:asciiTheme="minorEastAsia" w:hAnsiTheme="minorEastAsia" w:eastAsiaTheme="minorEastAsia" w:cstheme="minorEastAsia"/>
          <w:sz w:val="21"/>
          <w:szCs w:val="21"/>
        </w:rPr>
        <w:t>、盖章或者法律允许的其他方式进行确认。</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2、甲方应当为乙方及其专业人员执行评估业务提供必要的工作条件和协助；甲方应当根据评估业务需要，负责乙方及其专业人员与相关当事人之间的协调。 </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3、甲方应当按照本合同第四条的约定恰当使用资产评估报告。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4、乙方有责任按照本合同的约定按时按质完成资产评估工作。</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5、乙方及其专业人员应</w:t>
      </w:r>
      <w:r>
        <w:rPr>
          <w:rFonts w:hint="eastAsia" w:asciiTheme="minorEastAsia" w:hAnsiTheme="minorEastAsia" w:eastAsiaTheme="minorEastAsia" w:cstheme="minorEastAsia"/>
          <w:sz w:val="21"/>
          <w:szCs w:val="21"/>
          <w:highlight w:val="none"/>
        </w:rPr>
        <w:t>当遵守相关法律、行政法规和资产评估准则，对评估对象在评估基准日特定目的下的价值进行分析和估算并出具资产评估报告。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6、乙方应当按照《国有资产评估管理办法》（国务院令第91号）等开展评估工作，并出具符合《企业国有资产评估报告指南》（中评协[2017]42号）的规定的资产评估报告。</w:t>
      </w:r>
    </w:p>
    <w:p>
      <w:pPr>
        <w:pStyle w:val="56"/>
        <w:keepNext w:val="0"/>
        <w:keepLines w:val="0"/>
        <w:pageBreakBefore w:val="0"/>
        <w:kinsoku/>
        <w:wordWrap/>
        <w:overflowPunct/>
        <w:topLinePunct w:val="0"/>
        <w:autoSpaceDE/>
        <w:autoSpaceDN/>
        <w:bidi w:val="0"/>
        <w:spacing w:line="520" w:lineRule="atLeas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7.乙方对甲方及相关当事人内部资料、商业秘密、估值结果及约定的保密事项有保守秘密的义务。</w:t>
      </w:r>
    </w:p>
    <w:p>
      <w:pPr>
        <w:pStyle w:val="56"/>
        <w:keepNext w:val="0"/>
        <w:keepLines w:val="0"/>
        <w:pageBreakBefore w:val="0"/>
        <w:kinsoku/>
        <w:wordWrap/>
        <w:overflowPunct/>
        <w:topLinePunct w:val="0"/>
        <w:autoSpaceDE/>
        <w:autoSpaceDN/>
        <w:bidi w:val="0"/>
        <w:spacing w:line="520" w:lineRule="atLeas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highlight w:val="none"/>
          <w:lang w:val="en-US" w:eastAsia="zh-CN"/>
        </w:rPr>
        <w:t>8.</w:t>
      </w:r>
      <w:r>
        <w:rPr>
          <w:rFonts w:hint="eastAsia" w:asciiTheme="minorEastAsia" w:hAnsiTheme="minorEastAsia" w:eastAsiaTheme="minorEastAsia" w:cstheme="minorEastAsia"/>
          <w:kern w:val="2"/>
          <w:sz w:val="21"/>
          <w:szCs w:val="21"/>
          <w:highlight w:val="none"/>
          <w:lang w:val="en-US"/>
        </w:rPr>
        <w:t>当甲方认定乙方委派的评估专业人员不足以妥善履行评估职责时，乙方应及时更换评估人员。</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双方如不履行上述义务，视为违约。</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九、双方违约责任</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1、甲方拒绝向乙方支付评估服务费，乙方有权停止工作或不向甲方提供资产评估报告。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2、甲方未同乙方协商而擅自变更或解除本合同，不得索要已支付给乙方的款项，乙方有权要求甲方按照已完成的评估工作量支付相应的评估服务费。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3、乙方未同甲方协商擅自变更或解除本合同，应全额返回甲方已支付的评估服务费用，但本合同第十条第2款和第3款所列情形除外。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4、甲方未及时向乙方提供资产评估所需的文件、资料，或提供的文件和资料不真实，因此产生的不良后果由甲方负责，乙方不承担责任。</w:t>
      </w:r>
    </w:p>
    <w:p>
      <w:pPr>
        <w:pStyle w:val="57"/>
        <w:keepNext w:val="0"/>
        <w:keepLines w:val="0"/>
        <w:pageBreakBefore w:val="0"/>
        <w:numPr>
          <w:ilvl w:val="0"/>
          <w:numId w:val="0"/>
        </w:numPr>
        <w:kinsoku/>
        <w:wordWrap/>
        <w:overflowPunct/>
        <w:topLinePunct w:val="0"/>
        <w:autoSpaceDE/>
        <w:autoSpaceDN/>
        <w:bidi w:val="0"/>
        <w:adjustRightInd w:val="0"/>
        <w:snapToGrid w:val="0"/>
        <w:spacing w:line="520" w:lineRule="atLeas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pPr>
        <w:pStyle w:val="21"/>
        <w:keepNext w:val="0"/>
        <w:keepLines w:val="0"/>
        <w:pageBreakBefore w:val="0"/>
        <w:kinsoku/>
        <w:wordWrap/>
        <w:overflowPunct/>
        <w:topLinePunct w:val="0"/>
        <w:autoSpaceDE/>
        <w:autoSpaceDN/>
        <w:bidi w:val="0"/>
        <w:spacing w:line="52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乙方或其工作人员违反信息保密义务给甲方造成损失的，乙方应承担赔偿责任；乙方报告出现错误给甲方或合法使用报告的第三方造成损失的，乙方应承担赔偿责任。</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十、双方争议解决及其他：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1、本合同经双方协商一致可以中止或解除。</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3、甲方要求乙方出具虚假资产评估报告或者有其他非法干预评估结论情形的，乙方有权单方解除本合同，甲方仍需按照乙方已开展资产评估业务的时间、进度，或者已经完成的工作量支付相应的评估服务费。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4、本合同未明确的内容或未尽事宜由双方协商，协商达成一致后以纸质形式作为本合同的附件与本合同有同等的法律效力。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5、因本合同</w:t>
      </w:r>
      <w:r>
        <w:rPr>
          <w:rFonts w:hint="eastAsia" w:asciiTheme="minorEastAsia" w:hAnsiTheme="minorEastAsia" w:eastAsiaTheme="minorEastAsia" w:cstheme="minorEastAsia"/>
          <w:sz w:val="21"/>
          <w:szCs w:val="21"/>
        </w:rPr>
        <w:t>产生</w:t>
      </w:r>
      <w:r>
        <w:rPr>
          <w:rFonts w:hint="eastAsia" w:asciiTheme="minorEastAsia" w:hAnsiTheme="minorEastAsia" w:eastAsiaTheme="minorEastAsia" w:cstheme="minorEastAsia"/>
          <w:kern w:val="32"/>
          <w:sz w:val="21"/>
          <w:szCs w:val="21"/>
        </w:rPr>
        <w:t>的争议由双方协商解决，协商不成时，</w:t>
      </w:r>
      <w:r>
        <w:rPr>
          <w:rFonts w:hint="eastAsia" w:asciiTheme="minorEastAsia" w:hAnsiTheme="minorEastAsia" w:cstheme="minorEastAsia"/>
          <w:kern w:val="32"/>
          <w:sz w:val="21"/>
          <w:szCs w:val="21"/>
          <w:lang w:val="en-US" w:eastAsia="zh-CN"/>
        </w:rPr>
        <w:t>任何一方可</w:t>
      </w:r>
      <w:r>
        <w:rPr>
          <w:rFonts w:hint="eastAsia" w:asciiTheme="minorEastAsia" w:hAnsiTheme="minorEastAsia" w:eastAsiaTheme="minorEastAsia" w:cstheme="minorEastAsia"/>
          <w:kern w:val="32"/>
          <w:sz w:val="21"/>
          <w:szCs w:val="21"/>
        </w:rPr>
        <w:t>向</w:t>
      </w:r>
      <w:r>
        <w:rPr>
          <w:rFonts w:hint="eastAsia" w:asciiTheme="minorEastAsia" w:hAnsiTheme="minorEastAsia" w:eastAsiaTheme="minorEastAsia" w:cstheme="minorEastAsia"/>
          <w:kern w:val="32"/>
          <w:sz w:val="21"/>
          <w:szCs w:val="21"/>
          <w:lang w:val="en-US" w:eastAsia="zh-CN"/>
        </w:rPr>
        <w:t>甲方</w:t>
      </w:r>
      <w:r>
        <w:rPr>
          <w:rFonts w:hint="eastAsia" w:asciiTheme="minorEastAsia" w:hAnsiTheme="minorEastAsia" w:eastAsiaTheme="minorEastAsia" w:cstheme="minorEastAsia"/>
          <w:kern w:val="32"/>
          <w:sz w:val="21"/>
          <w:szCs w:val="21"/>
        </w:rPr>
        <w:t>所在地</w:t>
      </w:r>
      <w:r>
        <w:rPr>
          <w:rFonts w:hint="eastAsia" w:asciiTheme="minorEastAsia" w:hAnsiTheme="minorEastAsia" w:eastAsiaTheme="minorEastAsia" w:cstheme="minorEastAsia"/>
          <w:kern w:val="32"/>
          <w:sz w:val="21"/>
          <w:szCs w:val="21"/>
          <w:lang w:val="en-US" w:eastAsia="zh-CN"/>
        </w:rPr>
        <w:t>有管辖权的</w:t>
      </w:r>
      <w:r>
        <w:rPr>
          <w:rFonts w:hint="eastAsia" w:asciiTheme="minorEastAsia" w:hAnsiTheme="minorEastAsia" w:eastAsiaTheme="minorEastAsia" w:cstheme="minorEastAsia"/>
          <w:kern w:val="32"/>
          <w:sz w:val="21"/>
          <w:szCs w:val="21"/>
        </w:rPr>
        <w:t>人民法院起诉。</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6、本合同经双方</w:t>
      </w:r>
      <w:r>
        <w:rPr>
          <w:rFonts w:hint="eastAsia" w:asciiTheme="minorEastAsia" w:hAnsiTheme="minorEastAsia" w:cstheme="minorEastAsia"/>
          <w:sz w:val="21"/>
          <w:szCs w:val="21"/>
          <w:lang w:val="en-US" w:eastAsia="zh-CN"/>
        </w:rPr>
        <w:t>代表</w:t>
      </w:r>
      <w:r>
        <w:rPr>
          <w:rFonts w:hint="eastAsia" w:asciiTheme="minorEastAsia" w:hAnsiTheme="minorEastAsia" w:eastAsiaTheme="minorEastAsia" w:cstheme="minorEastAsia"/>
          <w:sz w:val="21"/>
          <w:szCs w:val="21"/>
        </w:rPr>
        <w:t>签</w:t>
      </w:r>
      <w:r>
        <w:rPr>
          <w:rFonts w:hint="eastAsia" w:asciiTheme="minorEastAsia" w:hAnsiTheme="minorEastAsia" w:eastAsiaTheme="minorEastAsia" w:cstheme="minorEastAsia"/>
          <w:sz w:val="21"/>
          <w:szCs w:val="21"/>
          <w:lang w:val="en-US" w:eastAsia="zh-CN"/>
        </w:rPr>
        <w:t>名</w:t>
      </w:r>
      <w:r>
        <w:rPr>
          <w:rFonts w:hint="eastAsia" w:asciiTheme="minorEastAsia" w:hAnsiTheme="minorEastAsia" w:eastAsiaTheme="minorEastAsia" w:cstheme="minorEastAsia"/>
          <w:sz w:val="21"/>
          <w:szCs w:val="21"/>
        </w:rPr>
        <w:t>，并加盖单位公章或合同专用章后，即发生法律效力。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7、本合同正本一式</w:t>
      </w:r>
      <w:r>
        <w:rPr>
          <w:rFonts w:hint="eastAsia" w:asciiTheme="minorEastAsia" w:hAnsiTheme="minorEastAsia" w:eastAsiaTheme="minorEastAsia" w:cstheme="minorEastAsia"/>
          <w:sz w:val="21"/>
          <w:szCs w:val="21"/>
          <w:lang w:val="en-US" w:eastAsia="zh-CN"/>
        </w:rPr>
        <w:t>贰</w:t>
      </w:r>
      <w:r>
        <w:rPr>
          <w:rFonts w:hint="eastAsia" w:asciiTheme="minorEastAsia" w:hAnsiTheme="minorEastAsia" w:eastAsiaTheme="minorEastAsia" w:cstheme="minorEastAsia"/>
          <w:sz w:val="21"/>
          <w:szCs w:val="21"/>
        </w:rPr>
        <w:t>份，</w:t>
      </w:r>
      <w:r>
        <w:rPr>
          <w:rFonts w:hint="eastAsia" w:asciiTheme="minorEastAsia" w:hAnsiTheme="minorEastAsia" w:eastAsiaTheme="minorEastAsia" w:cstheme="minorEastAsia"/>
          <w:sz w:val="21"/>
          <w:szCs w:val="21"/>
          <w:lang w:val="en-US" w:eastAsia="zh-CN"/>
        </w:rPr>
        <w:t>甲乙双</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CN"/>
        </w:rPr>
        <w:t>各执壹份，</w:t>
      </w:r>
      <w:r>
        <w:rPr>
          <w:rFonts w:hint="eastAsia" w:asciiTheme="minorEastAsia" w:hAnsiTheme="minorEastAsia" w:eastAsiaTheme="minorEastAsia" w:cstheme="minorEastAsia"/>
          <w:sz w:val="21"/>
          <w:szCs w:val="21"/>
        </w:rPr>
        <w:t>具有同等法律效力。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8、如遇到国家有关政策调整、法律修改及其他不可抗力事件，导致甲、乙双方或任何一方无法履行本合同，所遗留问题由双方协商解决。</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9、本合同中“甲方代表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乙方代表”特指合同当事人双方企业法定代表人或法定代表人的授权人。</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lang w:val="en-US" w:eastAsia="zh-CN"/>
        </w:rPr>
        <w:t>、下列</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文件及有关附件是本合同不可分割的组成部分，并构成一个整体，需综合解释、相互补充。如果下列文件内容出现不一致的情形，组成本合同的多个文件的优先适用及解释的顺序如下：</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（1）本合同及其补充合同、变更协议；</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（2）成交（中标）通知书；</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（3）经甲方确认的乙方承诺书；</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文件（含澄清或者修改文件）；</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（5）投标文件；</w:t>
      </w:r>
    </w:p>
    <w:p>
      <w:pPr>
        <w:pStyle w:val="21"/>
        <w:ind w:left="0" w:leftChars="0"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 w:val="21"/>
          <w:szCs w:val="21"/>
          <w:lang w:val="en-US" w:eastAsia="zh-CN"/>
        </w:rPr>
        <w:t>（6）其他相关</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p>
    <w:tbl>
      <w:tblPr>
        <w:tblStyle w:val="22"/>
        <w:tblW w:w="8718" w:type="dxa"/>
        <w:tblInd w:w="108" w:type="dxa"/>
        <w:tblLayout w:type="autofit"/>
        <w:tblCellMar>
          <w:top w:w="0" w:type="dxa"/>
          <w:left w:w="108" w:type="dxa"/>
          <w:bottom w:w="0" w:type="dxa"/>
          <w:right w:w="108" w:type="dxa"/>
        </w:tblCellMar>
      </w:tblPr>
      <w:tblGrid>
        <w:gridCol w:w="4536"/>
        <w:gridCol w:w="4182"/>
      </w:tblGrid>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lang w:val="en-US" w:eastAsia="zh-CN"/>
              </w:rPr>
            </w:pPr>
            <w:r>
              <w:rPr>
                <w:rFonts w:hint="eastAsia" w:asciiTheme="minorEastAsia" w:hAnsiTheme="minorEastAsia" w:eastAsiaTheme="minorEastAsia" w:cstheme="minorEastAsia"/>
                <w:spacing w:val="10"/>
                <w:sz w:val="21"/>
                <w:szCs w:val="21"/>
              </w:rPr>
              <w:t>甲方</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盖章</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合肥文旅博览集团有限公司</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乙方</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盖章</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w:t>
            </w:r>
          </w:p>
        </w:tc>
      </w:tr>
      <w:tr>
        <w:tblPrEx>
          <w:tblCellMar>
            <w:top w:w="0" w:type="dxa"/>
            <w:left w:w="108" w:type="dxa"/>
            <w:bottom w:w="0" w:type="dxa"/>
            <w:right w:w="108" w:type="dxa"/>
          </w:tblCellMar>
        </w:tblPrEx>
        <w:trPr>
          <w:trHeight w:val="620" w:hRule="atLeast"/>
        </w:trPr>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甲方代表</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签</w:t>
            </w:r>
            <w:r>
              <w:rPr>
                <w:rFonts w:hint="eastAsia" w:asciiTheme="minorEastAsia" w:hAnsiTheme="minorEastAsia" w:eastAsiaTheme="minorEastAsia" w:cstheme="minorEastAsia"/>
                <w:spacing w:val="10"/>
                <w:sz w:val="21"/>
                <w:szCs w:val="21"/>
                <w:lang w:val="en-US" w:eastAsia="zh-CN"/>
              </w:rPr>
              <w:t>名）</w:t>
            </w:r>
            <w:r>
              <w:rPr>
                <w:rFonts w:hint="eastAsia" w:asciiTheme="minorEastAsia" w:hAnsiTheme="minorEastAsia" w:eastAsiaTheme="minorEastAsia" w:cstheme="minorEastAsia"/>
                <w:spacing w:val="10"/>
                <w:sz w:val="21"/>
                <w:szCs w:val="21"/>
              </w:rPr>
              <w:t>：</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乙方代表</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签</w:t>
            </w:r>
            <w:r>
              <w:rPr>
                <w:rFonts w:hint="eastAsia" w:asciiTheme="minorEastAsia" w:hAnsiTheme="minorEastAsia" w:eastAsiaTheme="minorEastAsia" w:cstheme="minorEastAsia"/>
                <w:spacing w:val="10"/>
                <w:sz w:val="21"/>
                <w:szCs w:val="21"/>
                <w:lang w:val="en-US" w:eastAsia="zh-CN"/>
              </w:rPr>
              <w:t>名）</w:t>
            </w:r>
            <w:r>
              <w:rPr>
                <w:rFonts w:hint="eastAsia" w:asciiTheme="minorEastAsia" w:hAnsiTheme="minorEastAsia" w:eastAsiaTheme="minorEastAsia" w:cstheme="minorEastAsia"/>
                <w:spacing w:val="10"/>
                <w:sz w:val="21"/>
                <w:szCs w:val="21"/>
              </w:rPr>
              <w:t>：</w:t>
            </w:r>
          </w:p>
        </w:tc>
      </w:tr>
      <w:tr>
        <w:tblPrEx>
          <w:tblCellMar>
            <w:top w:w="0" w:type="dxa"/>
            <w:left w:w="108" w:type="dxa"/>
            <w:bottom w:w="0" w:type="dxa"/>
            <w:right w:w="108" w:type="dxa"/>
          </w:tblCellMar>
        </w:tblPrEx>
        <w:trPr>
          <w:trHeight w:val="593" w:hRule="atLeast"/>
        </w:trPr>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地址：安徽省合肥市政务文化新区习友路988号</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地址：</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邮编：</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邮编：</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联系人：</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联系人：</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电话：</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电话：</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传真：</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传真：</w:t>
            </w:r>
          </w:p>
        </w:tc>
      </w:tr>
    </w:tbl>
    <w:p>
      <w:pPr>
        <w:keepNext w:val="0"/>
        <w:keepLines w:val="0"/>
        <w:pageBreakBefore w:val="0"/>
        <w:kinsoku/>
        <w:wordWrap/>
        <w:overflowPunct/>
        <w:topLinePunct w:val="0"/>
        <w:autoSpaceDE/>
        <w:autoSpaceDN/>
        <w:bidi w:val="0"/>
        <w:spacing w:line="520" w:lineRule="atLeast"/>
        <w:textAlignment w:val="auto"/>
        <w:rPr>
          <w:rFonts w:hint="eastAsia" w:asciiTheme="minorEastAsia" w:hAnsiTheme="minorEastAsia" w:eastAsiaTheme="minorEastAsia" w:cstheme="minorEastAsia"/>
          <w:b/>
          <w:sz w:val="28"/>
          <w:szCs w:val="28"/>
        </w:rPr>
      </w:pPr>
    </w:p>
    <w:bookmarkEnd w:id="20"/>
    <w:p>
      <w:pPr>
        <w:adjustRightInd w:val="0"/>
        <w:snapToGrid w:val="0"/>
        <w:spacing w:line="500" w:lineRule="exact"/>
        <w:rPr>
          <w:rFonts w:hint="eastAsia" w:asciiTheme="minorEastAsia" w:hAnsiTheme="minorEastAsia" w:eastAsiaTheme="minorEastAsia" w:cstheme="minorEastAsia"/>
          <w:color w:val="000000"/>
          <w:szCs w:val="21"/>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000000"/>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bookmarkStart w:id="21" w:name="_Toc4387"/>
      <w:r>
        <w:rPr>
          <w:rFonts w:hint="eastAsia" w:asciiTheme="minorEastAsia" w:hAnsiTheme="minorEastAsia" w:eastAsiaTheme="minorEastAsia" w:cstheme="minorEastAsia"/>
          <w:b/>
          <w:bCs w:val="0"/>
          <w:sz w:val="44"/>
          <w:szCs w:val="44"/>
        </w:rPr>
        <w:t>廉  政  协  议</w:t>
      </w:r>
      <w:bookmarkEnd w:id="21"/>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22" w:name="_Toc10267"/>
      <w:bookmarkStart w:id="23" w:name="_Toc22226"/>
      <w:r>
        <w:rPr>
          <w:rFonts w:ascii="Times New Roman" w:hAnsi="Times New Roman" w:cs="Times New Roman" w:eastAsiaTheme="minorEastAsia"/>
          <w:b/>
          <w:sz w:val="28"/>
        </w:rPr>
        <w:t>第六章  投标文件格式</w:t>
      </w:r>
      <w:bookmarkEnd w:id="22"/>
      <w:bookmarkEnd w:id="23"/>
    </w:p>
    <w:p>
      <w:pPr>
        <w:spacing w:line="500" w:lineRule="exact"/>
        <w:jc w:val="center"/>
        <w:rPr>
          <w:rFonts w:ascii="Times New Roman" w:hAnsi="Times New Roman" w:cs="Times New Roman" w:eastAsiaTheme="minorEastAsia"/>
          <w:b/>
          <w:sz w:val="32"/>
        </w:rPr>
      </w:pPr>
      <w:r>
        <w:rPr>
          <w:rFonts w:hint="eastAsia" w:ascii="Times New Roman" w:hAnsi="Times New Roman" w:cs="Times New Roman" w:eastAsiaTheme="minorEastAsia"/>
          <w:b/>
          <w:sz w:val="32"/>
          <w:lang w:eastAsia="zh-CN"/>
        </w:rPr>
        <w:t>合肥国际人才公寓闲置变压器及配电箱</w:t>
      </w:r>
      <w:r>
        <w:rPr>
          <w:rFonts w:hint="eastAsia" w:ascii="Times New Roman" w:hAnsi="Times New Roman" w:cs="Times New Roman" w:eastAsiaTheme="minorEastAsia"/>
          <w:b/>
          <w:sz w:val="32"/>
        </w:rPr>
        <w:t>资产评估服务</w:t>
      </w:r>
      <w:r>
        <w:rPr>
          <w:rFonts w:ascii="Times New Roman" w:hAnsi="Times New Roman" w:cs="Times New Roman" w:eastAsiaTheme="minorEastAsia"/>
          <w:b/>
          <w:sz w:val="32"/>
        </w:rPr>
        <w:t>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numPr>
          <w:ilvl w:val="0"/>
          <w:numId w:val="2"/>
        </w:numPr>
        <w:spacing w:line="360" w:lineRule="auto"/>
        <w:jc w:val="center"/>
        <w:outlineLvl w:val="2"/>
        <w:rPr>
          <w:rFonts w:ascii="Times New Roman" w:hAnsi="Times New Roman" w:cs="Times New Roman" w:eastAsiaTheme="minorEastAsia"/>
          <w:b/>
          <w:sz w:val="24"/>
        </w:rPr>
      </w:pPr>
      <w:bookmarkStart w:id="24" w:name="_Hlk23205287"/>
      <w:r>
        <w:rPr>
          <w:rFonts w:ascii="Times New Roman" w:hAnsi="Times New Roman" w:cs="Times New Roman" w:eastAsiaTheme="minorEastAsia"/>
          <w:b/>
          <w:sz w:val="24"/>
        </w:rPr>
        <w:t>报价表</w:t>
      </w:r>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lang w:eastAsia="zh-CN"/>
        </w:rPr>
        <w:t>合肥国际人才公寓闲置变压器及配电箱</w:t>
      </w:r>
      <w:r>
        <w:rPr>
          <w:rFonts w:hint="eastAsia" w:ascii="Times New Roman" w:hAnsi="Times New Roman" w:cs="Times New Roman" w:eastAsiaTheme="minorEastAsia"/>
          <w:b/>
          <w:sz w:val="24"/>
          <w:szCs w:val="24"/>
          <w:u w:val="single"/>
        </w:rPr>
        <w:t>资产评估服务</w:t>
      </w:r>
      <w:r>
        <w:rPr>
          <w:rFonts w:hint="eastAsia" w:ascii="Times New Roman" w:hAnsi="Times New Roman" w:cs="Times New Roman" w:eastAsiaTheme="minorEastAsia"/>
          <w:b/>
          <w:sz w:val="24"/>
          <w:szCs w:val="24"/>
          <w:u w:val="single"/>
          <w:lang w:val="en-US" w:eastAsia="zh-CN"/>
        </w:rPr>
        <w:t>项目</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2024WLBLZB00022号</w:t>
      </w:r>
      <w:r>
        <w:rPr>
          <w:rFonts w:ascii="Times New Roman" w:hAnsi="Times New Roman" w:cs="Times New Roman" w:eastAsiaTheme="minorEastAsia"/>
          <w:b/>
          <w:sz w:val="24"/>
          <w:szCs w:val="24"/>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pPr>
              <w:snapToGrid w:val="0"/>
              <w:rPr>
                <w:rFonts w:hint="default" w:ascii="Times New Roman" w:hAnsi="Times New Roman" w:cs="Times New Roman"/>
                <w:b w:val="0"/>
                <w:bCs/>
                <w:sz w:val="24"/>
                <w:szCs w:val="24"/>
                <w:lang w:val="en-US" w:eastAsia="zh-CN"/>
              </w:rPr>
            </w:pPr>
          </w:p>
          <w:p>
            <w:pPr>
              <w:snapToGrid w:val="0"/>
              <w:rPr>
                <w:rFonts w:hint="default" w:ascii="Times New Roman" w:hAnsi="Times New Roman" w:cs="Times New Roman" w:eastAsiaTheme="minorEastAsia"/>
                <w:b/>
                <w:sz w:val="24"/>
                <w:szCs w:val="24"/>
                <w:lang w:val="en-US" w:eastAsia="zh-CN"/>
              </w:rPr>
            </w:pPr>
            <w:r>
              <w:rPr>
                <w:rFonts w:hint="default" w:ascii="Times New Roman" w:hAnsi="Times New Roman" w:cs="Times New Roman"/>
                <w:b w:val="0"/>
                <w:bCs/>
                <w:sz w:val="24"/>
                <w:szCs w:val="24"/>
                <w:lang w:val="en-US" w:eastAsia="zh-CN"/>
              </w:rPr>
              <w:t>人民币小写：</w:t>
            </w:r>
            <w:r>
              <w:rPr>
                <w:rFonts w:ascii="Times New Roman" w:hAnsi="Times New Roman" w:cs="Times New Roman" w:eastAsiaTheme="minorEastAsia"/>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442" w:type="pct"/>
            <w:tcBorders>
              <w:top w:val="single" w:color="auto" w:sz="4" w:space="0"/>
            </w:tcBorders>
            <w:vAlign w:val="center"/>
          </w:tcPr>
          <w:p>
            <w:pPr>
              <w:jc w:val="center"/>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lang w:val="en-US" w:eastAsia="zh-CN"/>
              </w:rPr>
              <w:t>服务期限</w:t>
            </w:r>
          </w:p>
        </w:tc>
        <w:tc>
          <w:tcPr>
            <w:tcW w:w="3557" w:type="pct"/>
            <w:vAlign w:val="center"/>
          </w:tcPr>
          <w:p>
            <w:pPr>
              <w:snapToGrid w:val="0"/>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pStyle w:val="13"/>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cs="宋体" w:asciiTheme="minorEastAsia" w:hAnsiTheme="minorEastAsia" w:eastAsiaTheme="minorEastAsia"/>
          <w:b/>
          <w:kern w:val="2"/>
          <w:sz w:val="24"/>
          <w:szCs w:val="24"/>
          <w:u w:val="single"/>
          <w:lang w:val="en-US" w:eastAsia="zh-CN"/>
        </w:rPr>
        <w:t>合肥文旅博览集团有限公司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cs="宋体" w:asciiTheme="minorEastAsia" w:hAnsiTheme="minorEastAsia" w:eastAsiaTheme="minorEastAsia"/>
          <w:kern w:val="2"/>
          <w:sz w:val="24"/>
          <w:szCs w:val="24"/>
        </w:rPr>
        <w:t>经踏勘项目现场和研究上述</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文件的</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2.</w:t>
      </w:r>
      <w:r>
        <w:rPr>
          <w:rFonts w:ascii="Times New Roman" w:hAnsi="Times New Roman" w:cs="Times New Roman" w:eastAsiaTheme="minorEastAsia"/>
          <w:sz w:val="24"/>
          <w:szCs w:val="24"/>
        </w:rPr>
        <w:t>我方已详细审核全部询价文件，包括询价文件的补疑、澄清、变更或补充（如有），参考资料及有关附件，我方正式认可并遵守本次询价文件，并对询价文件各项条款（包括询价时间）、规定及要求均无异议。且我方自愿放弃</w:t>
      </w:r>
      <w:r>
        <w:rPr>
          <w:rFonts w:hint="eastAsia" w:ascii="Times New Roman" w:hAnsi="Times New Roman" w:cs="Times New Roman"/>
          <w:sz w:val="24"/>
          <w:szCs w:val="24"/>
          <w:lang w:eastAsia="zh-CN"/>
        </w:rPr>
        <w:t>针对</w:t>
      </w:r>
      <w:r>
        <w:rPr>
          <w:rFonts w:ascii="Times New Roman" w:hAnsi="Times New Roman" w:cs="Times New Roman" w:eastAsiaTheme="minorEastAsia"/>
          <w:sz w:val="24"/>
          <w:szCs w:val="24"/>
        </w:rPr>
        <w:t>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3</w:t>
      </w:r>
      <w:r>
        <w:rPr>
          <w:rFonts w:ascii="Times New Roman" w:hAnsi="Times New Roman" w:cs="Times New Roman" w:eastAsiaTheme="minorEastAsia"/>
          <w:sz w:val="24"/>
          <w:szCs w:val="24"/>
        </w:rPr>
        <w:t>.如我方中标，我方承诺愿意按询价文件规定缴纳履约保证金。</w:t>
      </w:r>
      <w:r>
        <w:rPr>
          <w:rFonts w:hint="eastAsia"/>
          <w:sz w:val="24"/>
        </w:rPr>
        <w:t>按本次</w:t>
      </w:r>
      <w:r>
        <w:rPr>
          <w:rFonts w:hint="eastAsia"/>
          <w:sz w:val="24"/>
          <w:lang w:eastAsia="zh-CN"/>
        </w:rPr>
        <w:t>询价</w:t>
      </w:r>
      <w:r>
        <w:rPr>
          <w:rFonts w:hint="eastAsia"/>
          <w:sz w:val="24"/>
        </w:rPr>
        <w:t>文件规定及最终投标报价承诺提供</w:t>
      </w:r>
      <w:r>
        <w:rPr>
          <w:rFonts w:hint="eastAsia"/>
          <w:sz w:val="24"/>
          <w:lang w:eastAsia="zh-CN"/>
        </w:rPr>
        <w:t>服务</w:t>
      </w:r>
      <w:r>
        <w:rPr>
          <w:rFonts w:ascii="Times New Roman" w:hAnsi="Times New Roman" w:cs="Times New Roman" w:eastAsiaTheme="minorEastAsia"/>
          <w:sz w:val="24"/>
          <w:szCs w:val="24"/>
        </w:rPr>
        <w:t>。</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4</w:t>
      </w:r>
      <w:r>
        <w:rPr>
          <w:rFonts w:ascii="Times New Roman" w:hAnsi="Times New Roman" w:cs="Times New Roman" w:eastAsiaTheme="minorEastAsia"/>
          <w:sz w:val="24"/>
          <w:szCs w:val="24"/>
        </w:rPr>
        <w:t>.我方根据本次询价文件的规定，严格履行合同的责任和义务,并保证于你方要求的日期内完成服务</w:t>
      </w:r>
      <w:r>
        <w:rPr>
          <w:rFonts w:hint="eastAsia" w:ascii="Times New Roman" w:hAnsi="Times New Roman" w:cs="Times New Roman"/>
          <w:sz w:val="24"/>
          <w:szCs w:val="24"/>
          <w:lang w:val="en-US" w:eastAsia="zh-CN"/>
        </w:rPr>
        <w:t>要求</w:t>
      </w:r>
      <w:r>
        <w:rPr>
          <w:rFonts w:ascii="Times New Roman" w:hAnsi="Times New Roman" w:cs="Times New Roman" w:eastAsiaTheme="minorEastAsia"/>
          <w:sz w:val="24"/>
          <w:szCs w:val="24"/>
        </w:rPr>
        <w:t>，并通过你方验收。</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5</w:t>
      </w:r>
      <w:r>
        <w:rPr>
          <w:rFonts w:ascii="Times New Roman" w:hAnsi="Times New Roman" w:cs="Times New Roman" w:eastAsiaTheme="minorEastAsia"/>
          <w:sz w:val="24"/>
          <w:szCs w:val="24"/>
        </w:rPr>
        <w:t>.我方同意按你方要求在规定时间内向你方提供与其投标有关的任何证据或补充资料，否则，我方的投标文件可被你方拒绝。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6</w:t>
      </w:r>
      <w:r>
        <w:rPr>
          <w:rFonts w:ascii="Times New Roman" w:hAnsi="Times New Roman" w:cs="Times New Roman" w:eastAsiaTheme="minorEastAsia"/>
          <w:sz w:val="24"/>
          <w:szCs w:val="24"/>
        </w:rPr>
        <w:t>.我方同意询价文件规定的付款方式、</w:t>
      </w:r>
      <w:r>
        <w:rPr>
          <w:rFonts w:hint="eastAsia" w:ascii="Times New Roman" w:hAnsi="Times New Roman" w:cs="Times New Roman"/>
          <w:sz w:val="24"/>
          <w:szCs w:val="24"/>
          <w:lang w:val="en-US" w:eastAsia="zh-CN"/>
        </w:rPr>
        <w:t>服务</w:t>
      </w:r>
      <w:r>
        <w:rPr>
          <w:rFonts w:ascii="Times New Roman" w:hAnsi="Times New Roman" w:cs="Times New Roman" w:eastAsiaTheme="minorEastAsia"/>
          <w:sz w:val="24"/>
          <w:szCs w:val="24"/>
        </w:rPr>
        <w:t>期限。</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7</w:t>
      </w:r>
      <w:r>
        <w:rPr>
          <w:rFonts w:ascii="Times New Roman" w:hAnsi="Times New Roman" w:cs="Times New Roman" w:eastAsiaTheme="minorEastAsia"/>
          <w:sz w:val="24"/>
          <w:szCs w:val="24"/>
        </w:rPr>
        <w:t>.我方对投标文件中所提供资料、文件、证书及证件的真实性和有效性负责。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8</w:t>
      </w:r>
      <w:r>
        <w:rPr>
          <w:rFonts w:ascii="Times New Roman" w:hAnsi="Times New Roman" w:cs="Times New Roman" w:eastAsiaTheme="minorEastAsia"/>
          <w:sz w:val="24"/>
          <w:szCs w:val="24"/>
        </w:rPr>
        <w:t>.我方同意所提交的投标文件在询价文件规定的投标有效期内有效，在此期间内如果中标，我方将受此约束。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9</w:t>
      </w:r>
      <w:r>
        <w:rPr>
          <w:rFonts w:ascii="Times New Roman" w:hAnsi="Times New Roman" w:cs="Times New Roman" w:eastAsiaTheme="minorEastAsia"/>
          <w:sz w:val="24"/>
          <w:szCs w:val="24"/>
        </w:rPr>
        <w:t>.除非另外达成协议并生效，你方的中标通知书和本投标文件以及询价文件、询价文件澄清、修改、补充将成为约束双方的合同文件的组成部分。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hint="eastAsia" w:ascii="Times New Roman" w:hAnsi="Times New Roman" w:cs="Times New Roman"/>
          <w:sz w:val="24"/>
          <w:szCs w:val="24"/>
          <w:lang w:val="en-US" w:eastAsia="zh-CN"/>
        </w:rPr>
        <w:t>10</w:t>
      </w:r>
      <w:r>
        <w:rPr>
          <w:rFonts w:ascii="Times New Roman" w:hAnsi="Times New Roman" w:cs="Times New Roman" w:eastAsiaTheme="minorEastAsia"/>
          <w:sz w:val="24"/>
          <w:szCs w:val="24"/>
        </w:rPr>
        <w:t>.其他补充说明：</w:t>
      </w:r>
      <w:r>
        <w:rPr>
          <w:rFonts w:ascii="Times New Roman" w:hAnsi="Times New Roman" w:cs="Times New Roman" w:eastAsiaTheme="minorEastAsia"/>
          <w:sz w:val="24"/>
          <w:szCs w:val="24"/>
          <w:u w:val="single"/>
        </w:rPr>
        <w:t xml:space="preserve">             补充说明事项（如有）       </w:t>
      </w:r>
    </w:p>
    <w:p>
      <w:pPr>
        <w:pStyle w:val="20"/>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spacing w:line="360" w:lineRule="auto"/>
        <w:jc w:val="left"/>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25" w:name="_Toc14493"/>
      <w:bookmarkStart w:id="26" w:name="_Toc204594911"/>
      <w:bookmarkStart w:id="27" w:name="_Toc520983594"/>
      <w:bookmarkStart w:id="28" w:name="_Toc516969106"/>
      <w:bookmarkStart w:id="29" w:name="_Toc121626298"/>
      <w:bookmarkStart w:id="30" w:name="_Toc3356"/>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25"/>
      <w:bookmarkEnd w:id="26"/>
      <w:bookmarkEnd w:id="27"/>
      <w:bookmarkEnd w:id="28"/>
      <w:bookmarkEnd w:id="29"/>
      <w:bookmarkEnd w:id="30"/>
    </w:p>
    <w:p>
      <w:pPr>
        <w:spacing w:line="360" w:lineRule="auto"/>
        <w:jc w:val="center"/>
        <w:rPr>
          <w:rFonts w:asciiTheme="minorEastAsia" w:hAnsiTheme="minorEastAsia" w:eastAsiaTheme="minorEastAsia"/>
          <w:b/>
          <w:sz w:val="24"/>
        </w:rPr>
      </w:pPr>
    </w:p>
    <w:p>
      <w:pPr>
        <w:pStyle w:val="12"/>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12"/>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12"/>
        <w:snapToGrid w:val="0"/>
        <w:spacing w:line="360" w:lineRule="auto"/>
        <w:ind w:firstLine="480" w:firstLineChars="200"/>
        <w:jc w:val="left"/>
        <w:rPr>
          <w:rFonts w:hAnsi="宋体" w:eastAsia="宋体"/>
          <w:sz w:val="24"/>
          <w:szCs w:val="28"/>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240" w:firstLineChars="1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12"/>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12"/>
        <w:snapToGrid w:val="0"/>
        <w:spacing w:line="360" w:lineRule="auto"/>
        <w:jc w:val="left"/>
        <w:rPr>
          <w:rFonts w:hAnsi="宋体" w:eastAsia="宋体"/>
          <w:sz w:val="24"/>
          <w:szCs w:val="28"/>
        </w:rPr>
      </w:pPr>
      <w:r>
        <w:rPr>
          <w:rFonts w:hint="eastAsia" w:hAnsi="宋体" w:eastAsia="宋体"/>
          <w:sz w:val="24"/>
          <w:szCs w:val="28"/>
        </w:rPr>
        <w:t>注：</w:t>
      </w:r>
    </w:p>
    <w:p>
      <w:pPr>
        <w:pStyle w:val="12"/>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pPr>
        <w:rPr>
          <w:sz w:val="24"/>
          <w:szCs w:val="22"/>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pPr>
        <w:pStyle w:val="21"/>
      </w:pPr>
    </w:p>
    <w:p>
      <w:pPr>
        <w:pStyle w:val="21"/>
        <w:rPr>
          <w:sz w:val="24"/>
          <w:szCs w:val="22"/>
        </w:rPr>
      </w:pPr>
    </w:p>
    <w:p>
      <w:pPr>
        <w:spacing w:line="360" w:lineRule="auto"/>
        <w:jc w:val="center"/>
        <w:outlineLvl w:val="1"/>
        <w:rPr>
          <w:rFonts w:hint="eastAsia" w:asciiTheme="minorEastAsia" w:hAnsiTheme="minorEastAsia" w:eastAsiaTheme="minorEastAsia"/>
          <w:b/>
          <w:sz w:val="24"/>
          <w:szCs w:val="20"/>
        </w:rPr>
      </w:pPr>
      <w:bookmarkStart w:id="31" w:name="_Toc8004"/>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bookmarkEnd w:id="31"/>
    </w:p>
    <w:p>
      <w:pPr>
        <w:pStyle w:val="21"/>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pPr>
        <w:pStyle w:val="21"/>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营业执照等</w:t>
      </w:r>
      <w:r>
        <w:rPr>
          <w:rFonts w:hint="eastAsia"/>
          <w:sz w:val="24"/>
          <w:szCs w:val="22"/>
          <w:lang w:eastAsia="zh-CN"/>
        </w:rPr>
        <w:t>）</w:t>
      </w:r>
      <w:bookmarkEnd w:id="24"/>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68EEF9D-08DC-4078-8F3B-264A78F9976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DE7C501-398B-4B5F-834D-301DFA8420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9DF8E3E-81AB-4F79-A0E2-8DBF397BC3D0}"/>
  </w:font>
  <w:font w:name="@仿宋_GB2312">
    <w:panose1 w:val="02010609030101010101"/>
    <w:charset w:val="86"/>
    <w:family w:val="modern"/>
    <w:pitch w:val="default"/>
    <w:sig w:usb0="00000001" w:usb1="080E0000" w:usb2="00000000" w:usb3="00000000" w:csb0="00040000" w:csb1="00000000"/>
    <w:embedRegular r:id="rId4" w:fontKey="{06A35595-0FEC-479A-9218-DB503DF72174}"/>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embedRegular r:id="rId5" w:fontKey="{DC545C8D-3A90-4D22-ABF8-EB48CC738D69}"/>
  </w:font>
  <w:font w:name="Wingdings 2">
    <w:panose1 w:val="05020102010507070707"/>
    <w:charset w:val="02"/>
    <w:family w:val="roman"/>
    <w:pitch w:val="default"/>
    <w:sig w:usb0="00000000" w:usb1="00000000" w:usb2="00000000" w:usb3="00000000" w:csb0="80000000" w:csb1="00000000"/>
    <w:embedRegular r:id="rId6" w:fontKey="{1D8A2C59-16F3-4031-983D-132F7E89E6F4}"/>
  </w:font>
  <w:font w:name="Segoe UI Symbol">
    <w:panose1 w:val="020B0502040204020203"/>
    <w:charset w:val="00"/>
    <w:family w:val="swiss"/>
    <w:pitch w:val="default"/>
    <w:sig w:usb0="800001E3" w:usb1="1200FFEF" w:usb2="00040000" w:usb3="04000000" w:csb0="00000001" w:csb1="40000000"/>
    <w:embedRegular r:id="rId7" w:fontKey="{56FD13E4-CDD4-4194-9E49-D50E85B1E651}"/>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M2JiMDliOThmNzRmZDhjNzliMzIzNDk4MTZiMGQifQ=="/>
    <w:docVar w:name="KSO_WPS_MARK_KEY" w:val="c68b12fb-d2ce-4167-8003-43ccf4bd0114"/>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220DDE"/>
    <w:rsid w:val="01EF4560"/>
    <w:rsid w:val="03AF0B69"/>
    <w:rsid w:val="04096F7B"/>
    <w:rsid w:val="04620439"/>
    <w:rsid w:val="05EC3108"/>
    <w:rsid w:val="06257970"/>
    <w:rsid w:val="094A1BE5"/>
    <w:rsid w:val="097D52B6"/>
    <w:rsid w:val="09B554AF"/>
    <w:rsid w:val="0BEF5F39"/>
    <w:rsid w:val="0DAB22C6"/>
    <w:rsid w:val="11554019"/>
    <w:rsid w:val="129462CC"/>
    <w:rsid w:val="13397BCE"/>
    <w:rsid w:val="14717EAE"/>
    <w:rsid w:val="17356927"/>
    <w:rsid w:val="18B232E6"/>
    <w:rsid w:val="18F71640"/>
    <w:rsid w:val="19A4731C"/>
    <w:rsid w:val="1A357A52"/>
    <w:rsid w:val="1A6A3C67"/>
    <w:rsid w:val="1A6B5E42"/>
    <w:rsid w:val="1AF96A3E"/>
    <w:rsid w:val="1C1F6775"/>
    <w:rsid w:val="1C9D605B"/>
    <w:rsid w:val="1CDB6B83"/>
    <w:rsid w:val="1D1A5BC6"/>
    <w:rsid w:val="1D7719BD"/>
    <w:rsid w:val="1DAA2521"/>
    <w:rsid w:val="206F5D7A"/>
    <w:rsid w:val="20E74328"/>
    <w:rsid w:val="23B75C54"/>
    <w:rsid w:val="245F009A"/>
    <w:rsid w:val="25164BFC"/>
    <w:rsid w:val="26522036"/>
    <w:rsid w:val="2783171D"/>
    <w:rsid w:val="29E5020D"/>
    <w:rsid w:val="2C247DAC"/>
    <w:rsid w:val="2CC14B77"/>
    <w:rsid w:val="2DAC3BFD"/>
    <w:rsid w:val="2F733923"/>
    <w:rsid w:val="2F760751"/>
    <w:rsid w:val="31EB11BF"/>
    <w:rsid w:val="32D57EA5"/>
    <w:rsid w:val="33075DFB"/>
    <w:rsid w:val="33263D6A"/>
    <w:rsid w:val="340773DC"/>
    <w:rsid w:val="35A43BDE"/>
    <w:rsid w:val="35CF4AD8"/>
    <w:rsid w:val="36251143"/>
    <w:rsid w:val="379C71E3"/>
    <w:rsid w:val="39B74BDE"/>
    <w:rsid w:val="3A0D2667"/>
    <w:rsid w:val="3B3B6D13"/>
    <w:rsid w:val="3F53046B"/>
    <w:rsid w:val="3F6705F7"/>
    <w:rsid w:val="40780A59"/>
    <w:rsid w:val="42784CF1"/>
    <w:rsid w:val="46835828"/>
    <w:rsid w:val="4BDA4326"/>
    <w:rsid w:val="4DB311C4"/>
    <w:rsid w:val="4E920EE8"/>
    <w:rsid w:val="503B1382"/>
    <w:rsid w:val="52F82D96"/>
    <w:rsid w:val="547B4EA9"/>
    <w:rsid w:val="550F7B55"/>
    <w:rsid w:val="55122FD8"/>
    <w:rsid w:val="55926D29"/>
    <w:rsid w:val="57572CCF"/>
    <w:rsid w:val="587A4399"/>
    <w:rsid w:val="58E53EC8"/>
    <w:rsid w:val="599B1268"/>
    <w:rsid w:val="59E766FB"/>
    <w:rsid w:val="5AF2460E"/>
    <w:rsid w:val="5C3F2EED"/>
    <w:rsid w:val="5C8968EE"/>
    <w:rsid w:val="5CF62206"/>
    <w:rsid w:val="5F1C412F"/>
    <w:rsid w:val="5F596331"/>
    <w:rsid w:val="60B151FE"/>
    <w:rsid w:val="63716633"/>
    <w:rsid w:val="64586600"/>
    <w:rsid w:val="654B14AA"/>
    <w:rsid w:val="65B67155"/>
    <w:rsid w:val="6709554C"/>
    <w:rsid w:val="67B8418F"/>
    <w:rsid w:val="6AF723A7"/>
    <w:rsid w:val="6B486391"/>
    <w:rsid w:val="6BE566A3"/>
    <w:rsid w:val="6CC45353"/>
    <w:rsid w:val="6CC632BF"/>
    <w:rsid w:val="6CC67DF8"/>
    <w:rsid w:val="6CDE4879"/>
    <w:rsid w:val="6E1A0886"/>
    <w:rsid w:val="7016507D"/>
    <w:rsid w:val="71B0505E"/>
    <w:rsid w:val="73E35E45"/>
    <w:rsid w:val="74561EEC"/>
    <w:rsid w:val="74F80B83"/>
    <w:rsid w:val="75387844"/>
    <w:rsid w:val="76D50550"/>
    <w:rsid w:val="772F044F"/>
    <w:rsid w:val="77324D59"/>
    <w:rsid w:val="783A06B1"/>
    <w:rsid w:val="78435456"/>
    <w:rsid w:val="7A9D7D6A"/>
    <w:rsid w:val="7AAF0711"/>
    <w:rsid w:val="7ACD0A2E"/>
    <w:rsid w:val="7DB87774"/>
    <w:rsid w:val="7E5F4BF0"/>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4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45"/>
    <w:qFormat/>
    <w:uiPriority w:val="0"/>
    <w:pPr>
      <w:jc w:val="left"/>
    </w:pPr>
  </w:style>
  <w:style w:type="paragraph" w:styleId="8">
    <w:name w:val="Body Text"/>
    <w:basedOn w:val="1"/>
    <w:qFormat/>
    <w:uiPriority w:val="0"/>
    <w:pPr>
      <w:spacing w:after="120" w:afterLines="0" w:afterAutospacing="0"/>
    </w:pPr>
  </w:style>
  <w:style w:type="paragraph" w:styleId="9">
    <w:name w:val="Body Text Indent"/>
    <w:basedOn w:val="1"/>
    <w:next w:val="10"/>
    <w:semiHidden/>
    <w:unhideWhenUsed/>
    <w:qFormat/>
    <w:uiPriority w:val="0"/>
    <w:pPr>
      <w:spacing w:after="120"/>
      <w:ind w:left="420" w:leftChars="200"/>
    </w:pPr>
  </w:style>
  <w:style w:type="paragraph" w:styleId="10">
    <w:name w:val="envelope return"/>
    <w:basedOn w:val="1"/>
    <w:qFormat/>
    <w:uiPriority w:val="0"/>
  </w:style>
  <w:style w:type="paragraph" w:styleId="11">
    <w:name w:val="toc 3"/>
    <w:basedOn w:val="1"/>
    <w:next w:val="1"/>
    <w:qFormat/>
    <w:uiPriority w:val="0"/>
    <w:pPr>
      <w:ind w:left="840" w:leftChars="400"/>
    </w:pPr>
  </w:style>
  <w:style w:type="paragraph" w:styleId="12">
    <w:name w:val="Plain Text"/>
    <w:basedOn w:val="1"/>
    <w:link w:val="34"/>
    <w:qFormat/>
    <w:uiPriority w:val="0"/>
    <w:rPr>
      <w:rFonts w:ascii="宋体" w:hAnsi="Courier New"/>
    </w:rPr>
  </w:style>
  <w:style w:type="paragraph" w:styleId="13">
    <w:name w:val="Date"/>
    <w:basedOn w:val="1"/>
    <w:next w:val="1"/>
    <w:link w:val="41"/>
    <w:qFormat/>
    <w:uiPriority w:val="0"/>
    <w:pPr>
      <w:ind w:left="100" w:leftChars="2500"/>
    </w:pPr>
  </w:style>
  <w:style w:type="paragraph" w:styleId="14">
    <w:name w:val="Balloon Text"/>
    <w:basedOn w:val="1"/>
    <w:link w:val="28"/>
    <w:qFormat/>
    <w:uiPriority w:val="0"/>
    <w:rPr>
      <w:sz w:val="18"/>
    </w:rPr>
  </w:style>
  <w:style w:type="paragraph" w:styleId="15">
    <w:name w:val="footer"/>
    <w:basedOn w:val="1"/>
    <w:link w:val="33"/>
    <w:qFormat/>
    <w:uiPriority w:val="0"/>
    <w:pPr>
      <w:tabs>
        <w:tab w:val="center" w:pos="4153"/>
        <w:tab w:val="right" w:pos="8306"/>
      </w:tabs>
      <w:snapToGrid w:val="0"/>
      <w:jc w:val="left"/>
    </w:pPr>
    <w:rPr>
      <w:sz w:val="18"/>
    </w:rPr>
  </w:style>
  <w:style w:type="paragraph" w:styleId="16">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index 1"/>
    <w:basedOn w:val="1"/>
    <w:next w:val="1"/>
    <w:qFormat/>
    <w:uiPriority w:val="0"/>
  </w:style>
  <w:style w:type="paragraph" w:styleId="20">
    <w:name w:val="Body Text First Indent"/>
    <w:basedOn w:val="8"/>
    <w:qFormat/>
    <w:uiPriority w:val="0"/>
    <w:pPr>
      <w:ind w:firstLine="420" w:firstLineChars="100"/>
    </w:pPr>
  </w:style>
  <w:style w:type="paragraph" w:styleId="21">
    <w:name w:val="Body Text First Indent 2"/>
    <w:basedOn w:val="9"/>
    <w:semiHidden/>
    <w:unhideWhenUsed/>
    <w:qFormat/>
    <w:uiPriority w:val="99"/>
    <w:pPr>
      <w:ind w:firstLine="420" w:firstLineChars="2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字符"/>
    <w:link w:val="14"/>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qFormat/>
    <w:uiPriority w:val="0"/>
    <w:rPr>
      <w:sz w:val="18"/>
    </w:rPr>
  </w:style>
  <w:style w:type="character" w:customStyle="1" w:styleId="33">
    <w:name w:val="页脚 字符"/>
    <w:link w:val="15"/>
    <w:qFormat/>
    <w:uiPriority w:val="99"/>
    <w:rPr>
      <w:sz w:val="18"/>
    </w:rPr>
  </w:style>
  <w:style w:type="character" w:customStyle="1" w:styleId="34">
    <w:name w:val="纯文本 字符"/>
    <w:link w:val="12"/>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字符1"/>
    <w:link w:val="13"/>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cstheme="minorBidi"/>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字符"/>
    <w:link w:val="7"/>
    <w:qFormat/>
    <w:uiPriority w:val="0"/>
  </w:style>
  <w:style w:type="character" w:customStyle="1" w:styleId="46">
    <w:name w:val="标题 1 字符"/>
    <w:link w:val="3"/>
    <w:qFormat/>
    <w:uiPriority w:val="9"/>
    <w:rPr>
      <w:b/>
      <w:kern w:val="44"/>
      <w:sz w:val="44"/>
    </w:rPr>
  </w:style>
  <w:style w:type="paragraph" w:customStyle="1" w:styleId="4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2"/>
    <w:semiHidden/>
    <w:qFormat/>
    <w:uiPriority w:val="9"/>
    <w:rPr>
      <w:b/>
      <w:sz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字符1"/>
    <w:link w:val="5"/>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5">
    <w:name w:val="Body text|1"/>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6">
    <w:name w:val="首行缩进"/>
    <w:basedOn w:val="1"/>
    <w:qFormat/>
    <w:uiPriority w:val="99"/>
    <w:pPr>
      <w:spacing w:line="360" w:lineRule="auto"/>
      <w:ind w:firstLine="480" w:firstLineChars="200"/>
    </w:pPr>
    <w:rPr>
      <w:rFonts w:ascii="Calibri" w:hAnsi="Calibri"/>
      <w:sz w:val="24"/>
      <w:lang w:val="zh-CN"/>
    </w:rPr>
  </w:style>
  <w:style w:type="paragraph" w:customStyle="1" w:styleId="5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13521</Words>
  <Characters>13898</Characters>
  <Lines>180</Lines>
  <Paragraphs>50</Paragraphs>
  <TotalTime>4</TotalTime>
  <ScaleCrop>false</ScaleCrop>
  <LinksUpToDate>false</LinksUpToDate>
  <CharactersWithSpaces>14801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WPS_1678171852</cp:lastModifiedBy>
  <cp:lastPrinted>2022-06-23T01:57:00Z</cp:lastPrinted>
  <dcterms:modified xsi:type="dcterms:W3CDTF">2024-05-16T06:44:18Z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34F4236B69B0407E9B5D3B552FCB38ED_13</vt:lpwstr>
  </property>
</Properties>
</file>