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r>
        <w:rPr>
          <w:rFonts w:ascii="Times New Roman" w:hAnsi="Times New Roman" w:cs="Times New Roman" w:eastAsiaTheme="minorEastAsia"/>
          <w:b/>
          <w:bCs/>
          <w:sz w:val="52"/>
          <w:szCs w:val="52"/>
        </w:rPr>
        <w:t>询价文件</w:t>
      </w:r>
    </w:p>
    <w:bookmarkEnd w:id="0"/>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rPr>
          <w:rFonts w:ascii="Times New Roman" w:hAnsi="Times New Roman" w:cs="Times New Roman" w:eastAsiaTheme="minorEastAsia"/>
          <w:bCs/>
          <w:sz w:val="44"/>
          <w:szCs w:val="44"/>
        </w:rPr>
      </w:pPr>
    </w:p>
    <w:p>
      <w:pPr>
        <w:rPr>
          <w:rFonts w:ascii="Times New Roman" w:hAnsi="Times New Roman" w:cs="Times New Roman"/>
        </w:rPr>
      </w:pPr>
    </w:p>
    <w:p>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ascii="Times New Roman" w:hAnsi="Times New Roman" w:cs="Times New Roman"/>
          <w:color w:val="000000"/>
        </w:rP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1565910" cy="1511935"/>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2410"/>
        </w:tabs>
        <w:autoSpaceDE w:val="0"/>
        <w:autoSpaceDN w:val="0"/>
        <w:adjustRightInd w:val="0"/>
        <w:snapToGrid w:val="0"/>
        <w:spacing w:line="360" w:lineRule="auto"/>
        <w:rPr>
          <w:rFonts w:hint="eastAsia" w:ascii="宋体" w:hAnsi="DotumChe" w:cs="宋体"/>
          <w:b/>
          <w:color w:val="000000"/>
          <w:spacing w:val="20"/>
          <w:kern w:val="0"/>
          <w:sz w:val="32"/>
          <w:szCs w:val="32"/>
          <w:u w:val="single"/>
          <w:lang w:val="en-US" w:eastAsia="zh-CN"/>
        </w:rPr>
      </w:pPr>
      <w:r>
        <w:rPr>
          <w:rFonts w:ascii="Times New Roman" w:hAnsi="Times New Roman" w:cs="Times New Roman" w:eastAsiaTheme="minorEastAsia"/>
          <w:b/>
          <w:spacing w:val="20"/>
          <w:kern w:val="0"/>
          <w:sz w:val="32"/>
          <w:szCs w:val="32"/>
        </w:rPr>
        <w:t>项目名称：</w:t>
      </w:r>
      <w:r>
        <w:rPr>
          <w:rFonts w:hint="eastAsia" w:ascii="宋体" w:hAnsi="DotumChe" w:cs="宋体"/>
          <w:b/>
          <w:color w:val="000000"/>
          <w:spacing w:val="20"/>
          <w:kern w:val="0"/>
          <w:sz w:val="32"/>
          <w:szCs w:val="32"/>
          <w:u w:val="single"/>
          <w:lang w:val="en-US" w:eastAsia="zh-CN"/>
        </w:rPr>
        <w:t>合</w:t>
      </w:r>
      <w:r>
        <w:rPr>
          <w:rFonts w:hint="eastAsia" w:ascii="宋体" w:hAnsi="DotumChe" w:cs="宋体"/>
          <w:b/>
          <w:color w:val="000000"/>
          <w:spacing w:val="20"/>
          <w:kern w:val="0"/>
          <w:sz w:val="32"/>
          <w:szCs w:val="32"/>
          <w:u w:val="single"/>
          <w:lang w:eastAsia="zh-CN"/>
        </w:rPr>
        <w:t>肥国际人才公寓闲置变压器及配电箱</w:t>
      </w:r>
      <w:r>
        <w:rPr>
          <w:rFonts w:hint="eastAsia" w:ascii="宋体" w:hAnsi="DotumChe" w:cs="宋体"/>
          <w:b/>
          <w:color w:val="000000"/>
          <w:spacing w:val="20"/>
          <w:kern w:val="0"/>
          <w:sz w:val="32"/>
          <w:szCs w:val="32"/>
          <w:u w:val="single"/>
          <w:lang w:val="en-US" w:eastAsia="zh-CN"/>
        </w:rPr>
        <w:t>资产</w:t>
      </w:r>
      <w:r>
        <w:rPr>
          <w:rFonts w:hint="eastAsia" w:ascii="宋体" w:hAnsi="DotumChe" w:cs="宋体"/>
          <w:b/>
          <w:color w:val="000000"/>
          <w:spacing w:val="20"/>
          <w:kern w:val="0"/>
          <w:sz w:val="32"/>
          <w:szCs w:val="32"/>
          <w:u w:val="single"/>
        </w:rPr>
        <w:t>评估</w:t>
      </w:r>
      <w:r>
        <w:rPr>
          <w:rFonts w:hint="eastAsia" w:ascii="宋体" w:hAnsi="DotumChe" w:cs="宋体"/>
          <w:b/>
          <w:color w:val="000000"/>
          <w:spacing w:val="20"/>
          <w:kern w:val="0"/>
          <w:sz w:val="32"/>
          <w:szCs w:val="32"/>
          <w:u w:val="single"/>
          <w:lang w:val="en-US" w:eastAsia="zh-CN"/>
        </w:rPr>
        <w:t>服务（二次）</w:t>
      </w: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项目编号：</w:t>
      </w:r>
      <w:r>
        <w:rPr>
          <w:rFonts w:hint="eastAsia" w:ascii="Times New Roman" w:hAnsi="Times New Roman" w:cs="Times New Roman" w:eastAsiaTheme="minorEastAsia"/>
          <w:b/>
          <w:spacing w:val="20"/>
          <w:kern w:val="0"/>
          <w:sz w:val="32"/>
          <w:szCs w:val="32"/>
          <w:u w:val="single"/>
        </w:rPr>
        <w:t>2024WLBLZB00022号</w:t>
      </w: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招 标 人：</w:t>
      </w:r>
      <w:r>
        <w:rPr>
          <w:rFonts w:hint="eastAsia"/>
          <w:b/>
          <w:spacing w:val="20"/>
          <w:sz w:val="32"/>
          <w:szCs w:val="32"/>
          <w:u w:val="single"/>
          <w:lang w:val="en-US" w:eastAsia="zh-CN"/>
        </w:rPr>
        <w:t>合肥文旅博览集团有限公司</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pStyle w:val="21"/>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5</w:t>
      </w:r>
      <w:r>
        <w:rPr>
          <w:rFonts w:eastAsiaTheme="majorEastAsia"/>
          <w:b/>
          <w:sz w:val="36"/>
          <w:u w:val="single"/>
        </w:rPr>
        <w:t xml:space="preserve"> </w:t>
      </w:r>
      <w:r>
        <w:rPr>
          <w:rFonts w:eastAsiaTheme="majorEastAsia"/>
          <w:b/>
          <w:sz w:val="36"/>
        </w:rPr>
        <w:t>月</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pPr>
        <w:pStyle w:val="18"/>
        <w:tabs>
          <w:tab w:val="right" w:leader="dot" w:pos="8869"/>
        </w:tabs>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_Toc7088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第一章  询价公告</w:t>
      </w:r>
      <w:r>
        <w:tab/>
      </w:r>
      <w:r>
        <w:fldChar w:fldCharType="begin"/>
      </w:r>
      <w:r>
        <w:instrText xml:space="preserve"> PAGEREF _Toc7088 \h </w:instrText>
      </w:r>
      <w:r>
        <w:fldChar w:fldCharType="separate"/>
      </w:r>
      <w:r>
        <w:t>3</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_Toc1469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第二章  投标人须知</w:t>
      </w:r>
      <w:r>
        <w:tab/>
      </w:r>
      <w:r>
        <w:fldChar w:fldCharType="begin"/>
      </w:r>
      <w:r>
        <w:instrText xml:space="preserve"> PAGEREF _Toc1469 \h </w:instrText>
      </w:r>
      <w:r>
        <w:fldChar w:fldCharType="separate"/>
      </w:r>
      <w:r>
        <w:t>5</w:t>
      </w:r>
      <w:r>
        <w:fldChar w:fldCharType="end"/>
      </w:r>
      <w:r>
        <w:rPr>
          <w:rFonts w:ascii="Times New Roman" w:hAnsi="Times New Roman" w:cs="Times New Roman" w:eastAsiaTheme="minorEastAsia"/>
          <w:szCs w:val="24"/>
        </w:rPr>
        <w:fldChar w:fldCharType="end"/>
      </w:r>
    </w:p>
    <w:p>
      <w:pPr>
        <w:pStyle w:val="17"/>
        <w:tabs>
          <w:tab w:val="right" w:leader="dot" w:pos="8869"/>
        </w:tabs>
        <w:ind w:firstLine="420" w:firstLineChars="200"/>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_Toc17754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第三章  招标人要求</w:t>
      </w:r>
      <w:r>
        <w:tab/>
      </w:r>
      <w:r>
        <w:fldChar w:fldCharType="begin"/>
      </w:r>
      <w:r>
        <w:instrText xml:space="preserve"> PAGEREF _Toc17754 \h </w:instrText>
      </w:r>
      <w:r>
        <w:fldChar w:fldCharType="separate"/>
      </w:r>
      <w:r>
        <w:t>12</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_Toc12194 </w:instrText>
      </w:r>
      <w:r>
        <w:rPr>
          <w:rFonts w:ascii="Times New Roman" w:hAnsi="Times New Roman" w:cs="Times New Roman" w:eastAsiaTheme="minorEastAsia"/>
          <w:szCs w:val="24"/>
        </w:rPr>
        <w:fldChar w:fldCharType="separate"/>
      </w:r>
      <w:r>
        <w:rPr>
          <w:rFonts w:ascii="Times New Roman" w:hAnsi="Times New Roman"/>
          <w:szCs w:val="24"/>
        </w:rPr>
        <w:t>一、</w:t>
      </w:r>
      <w:r>
        <w:rPr>
          <w:rFonts w:hint="eastAsia" w:ascii="Times New Roman" w:hAnsi="Times New Roman"/>
          <w:szCs w:val="24"/>
        </w:rPr>
        <w:t>项目概况</w:t>
      </w:r>
      <w:r>
        <w:tab/>
      </w:r>
      <w:r>
        <w:fldChar w:fldCharType="begin"/>
      </w:r>
      <w:r>
        <w:instrText xml:space="preserve"> PAGEREF _Toc12194 \h </w:instrText>
      </w:r>
      <w:r>
        <w:fldChar w:fldCharType="separate"/>
      </w:r>
      <w:r>
        <w:t>12</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_Toc20000 </w:instrText>
      </w:r>
      <w:r>
        <w:rPr>
          <w:rFonts w:ascii="Times New Roman" w:hAnsi="Times New Roman" w:cs="Times New Roman" w:eastAsiaTheme="minorEastAsia"/>
          <w:szCs w:val="24"/>
        </w:rPr>
        <w:fldChar w:fldCharType="separate"/>
      </w:r>
      <w:r>
        <w:rPr>
          <w:rFonts w:hint="eastAsia" w:asciiTheme="minorEastAsia" w:hAnsiTheme="minorEastAsia" w:cstheme="minorEastAsia"/>
          <w:szCs w:val="21"/>
          <w:lang w:val="en-US" w:eastAsia="zh-CN"/>
        </w:rPr>
        <w:t>二、</w:t>
      </w:r>
      <w:r>
        <w:rPr>
          <w:rFonts w:hint="eastAsia" w:asciiTheme="minorEastAsia" w:hAnsiTheme="minorEastAsia" w:cstheme="minorEastAsia"/>
          <w:szCs w:val="21"/>
        </w:rPr>
        <w:t>服务内容及要求</w:t>
      </w:r>
      <w:r>
        <w:tab/>
      </w:r>
      <w:r>
        <w:fldChar w:fldCharType="begin"/>
      </w:r>
      <w:r>
        <w:instrText xml:space="preserve"> PAGEREF _Toc20000 \h </w:instrText>
      </w:r>
      <w:r>
        <w:fldChar w:fldCharType="separate"/>
      </w:r>
      <w:r>
        <w:t>12</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_Toc4247 </w:instrText>
      </w:r>
      <w:r>
        <w:rPr>
          <w:rFonts w:ascii="Times New Roman" w:hAnsi="Times New Roman" w:cs="Times New Roman" w:eastAsiaTheme="minorEastAsia"/>
          <w:szCs w:val="24"/>
        </w:rPr>
        <w:fldChar w:fldCharType="separate"/>
      </w:r>
      <w:r>
        <w:rPr>
          <w:rFonts w:hint="eastAsia" w:asciiTheme="minorEastAsia" w:hAnsiTheme="minorEastAsia" w:cstheme="minorEastAsia"/>
          <w:szCs w:val="21"/>
          <w:lang w:val="en-US" w:eastAsia="zh-CN"/>
        </w:rPr>
        <w:t>四、</w:t>
      </w:r>
      <w:r>
        <w:rPr>
          <w:rFonts w:hint="eastAsia" w:asciiTheme="minorEastAsia" w:hAnsiTheme="minorEastAsia" w:cstheme="minorEastAsia"/>
          <w:szCs w:val="21"/>
        </w:rPr>
        <w:t>报价要求</w:t>
      </w:r>
      <w:r>
        <w:tab/>
      </w:r>
      <w:r>
        <w:fldChar w:fldCharType="begin"/>
      </w:r>
      <w:r>
        <w:instrText xml:space="preserve"> PAGEREF _Toc4247 \h </w:instrText>
      </w:r>
      <w:r>
        <w:fldChar w:fldCharType="separate"/>
      </w:r>
      <w:r>
        <w:t>13</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_Toc3469 </w:instrText>
      </w:r>
      <w:r>
        <w:rPr>
          <w:rFonts w:ascii="Times New Roman" w:hAnsi="Times New Roman" w:cs="Times New Roman" w:eastAsiaTheme="minorEastAsia"/>
          <w:szCs w:val="24"/>
        </w:rPr>
        <w:fldChar w:fldCharType="separate"/>
      </w:r>
      <w:r>
        <w:rPr>
          <w:rFonts w:hint="eastAsia" w:asciiTheme="minorEastAsia" w:hAnsiTheme="minorEastAsia" w:cstheme="minorEastAsia"/>
          <w:szCs w:val="21"/>
          <w:lang w:val="en-US" w:eastAsia="zh-CN"/>
        </w:rPr>
        <w:t>六、</w:t>
      </w:r>
      <w:r>
        <w:rPr>
          <w:rFonts w:hint="eastAsia" w:asciiTheme="minorEastAsia" w:hAnsiTheme="minorEastAsia" w:cstheme="minorEastAsia"/>
          <w:szCs w:val="21"/>
        </w:rPr>
        <w:t>付款方式</w:t>
      </w:r>
      <w:r>
        <w:tab/>
      </w:r>
      <w:r>
        <w:fldChar w:fldCharType="begin"/>
      </w:r>
      <w:r>
        <w:instrText xml:space="preserve"> PAGEREF _Toc3469 \h </w:instrText>
      </w:r>
      <w:r>
        <w:fldChar w:fldCharType="separate"/>
      </w:r>
      <w:r>
        <w:t>13</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_Toc12042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第四章  评审方法和标准</w:t>
      </w:r>
      <w:r>
        <w:tab/>
      </w:r>
      <w:r>
        <w:fldChar w:fldCharType="begin"/>
      </w:r>
      <w:r>
        <w:instrText xml:space="preserve"> PAGEREF _Toc12042 \h </w:instrText>
      </w:r>
      <w:r>
        <w:fldChar w:fldCharType="separate"/>
      </w:r>
      <w:r>
        <w:t>15</w:t>
      </w:r>
      <w:r>
        <w:fldChar w:fldCharType="end"/>
      </w:r>
      <w:r>
        <w:rPr>
          <w:rFonts w:ascii="Times New Roman" w:hAnsi="Times New Roman" w:cs="Times New Roman" w:eastAsiaTheme="minorEastAsia"/>
          <w:szCs w:val="24"/>
        </w:rPr>
        <w:fldChar w:fldCharType="end"/>
      </w:r>
    </w:p>
    <w:p>
      <w:pPr>
        <w:pStyle w:val="17"/>
        <w:tabs>
          <w:tab w:val="right" w:leader="dot" w:pos="8869"/>
        </w:tabs>
        <w:ind w:firstLine="420" w:firstLineChars="200"/>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_Toc4387 </w:instrText>
      </w:r>
      <w:r>
        <w:rPr>
          <w:rFonts w:ascii="Times New Roman" w:hAnsi="Times New Roman" w:cs="Times New Roman" w:eastAsiaTheme="minorEastAsia"/>
          <w:szCs w:val="24"/>
        </w:rPr>
        <w:fldChar w:fldCharType="separate"/>
      </w:r>
      <w:r>
        <w:rPr>
          <w:rFonts w:hint="eastAsia" w:asciiTheme="minorEastAsia" w:hAnsiTheme="minorEastAsia" w:eastAsiaTheme="minorEastAsia" w:cstheme="minorEastAsia"/>
          <w:bCs w:val="0"/>
          <w:szCs w:val="44"/>
        </w:rPr>
        <w:t>廉  政  协  议</w:t>
      </w:r>
      <w:r>
        <w:tab/>
      </w:r>
      <w:r>
        <w:fldChar w:fldCharType="begin"/>
      </w:r>
      <w:r>
        <w:instrText xml:space="preserve"> PAGEREF _Toc4387 \h </w:instrText>
      </w:r>
      <w:r>
        <w:fldChar w:fldCharType="separate"/>
      </w:r>
      <w:r>
        <w:t>7</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_Toc10267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第六章  投标文件格式</w:t>
      </w:r>
      <w:r>
        <w:tab/>
      </w:r>
      <w:r>
        <w:fldChar w:fldCharType="begin"/>
      </w:r>
      <w:r>
        <w:instrText xml:space="preserve"> PAGEREF _Toc10267 \h </w:instrText>
      </w:r>
      <w:r>
        <w:fldChar w:fldCharType="separate"/>
      </w:r>
      <w:r>
        <w:t>10</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_Toc14493 </w:instrText>
      </w:r>
      <w:r>
        <w:rPr>
          <w:rFonts w:ascii="Times New Roman" w:hAnsi="Times New Roman" w:cs="Times New Roman" w:eastAsiaTheme="minorEastAsia"/>
          <w:szCs w:val="24"/>
        </w:rPr>
        <w:fldChar w:fldCharType="separate"/>
      </w:r>
      <w:r>
        <w:rPr>
          <w:rFonts w:hint="eastAsia" w:asciiTheme="minorEastAsia" w:hAnsiTheme="minorEastAsia"/>
          <w:lang w:val="en-US" w:eastAsia="zh-CN"/>
        </w:rPr>
        <w:t>三</w:t>
      </w:r>
      <w:r>
        <w:rPr>
          <w:rFonts w:hint="eastAsia" w:asciiTheme="minorEastAsia" w:hAnsiTheme="minorEastAsia" w:eastAsiaTheme="minorEastAsia"/>
        </w:rPr>
        <w:t>、授权书</w:t>
      </w:r>
      <w:r>
        <w:tab/>
      </w:r>
      <w:r>
        <w:fldChar w:fldCharType="begin"/>
      </w:r>
      <w:r>
        <w:instrText xml:space="preserve"> PAGEREF _Toc14493 \h </w:instrText>
      </w:r>
      <w:r>
        <w:fldChar w:fldCharType="separate"/>
      </w:r>
      <w:r>
        <w:t>13</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_Toc8004 </w:instrText>
      </w:r>
      <w:r>
        <w:rPr>
          <w:rFonts w:ascii="Times New Roman" w:hAnsi="Times New Roman" w:cs="Times New Roman" w:eastAsiaTheme="minorEastAsia"/>
          <w:szCs w:val="24"/>
        </w:rPr>
        <w:fldChar w:fldCharType="separate"/>
      </w:r>
      <w:r>
        <w:rPr>
          <w:rFonts w:hint="eastAsia" w:asciiTheme="minorEastAsia" w:hAnsiTheme="minorEastAsia"/>
          <w:szCs w:val="20"/>
          <w:lang w:val="en-US" w:eastAsia="zh-CN"/>
        </w:rPr>
        <w:t>四</w:t>
      </w:r>
      <w:r>
        <w:rPr>
          <w:rFonts w:hint="eastAsia" w:asciiTheme="minorEastAsia" w:hAnsiTheme="minorEastAsia" w:eastAsiaTheme="minorEastAsia"/>
          <w:szCs w:val="20"/>
          <w:lang w:val="en-US" w:eastAsia="zh-CN"/>
        </w:rPr>
        <w:t>、</w:t>
      </w:r>
      <w:r>
        <w:rPr>
          <w:rFonts w:hint="eastAsia" w:asciiTheme="minorEastAsia" w:hAnsiTheme="minorEastAsia" w:eastAsiaTheme="minorEastAsia"/>
          <w:szCs w:val="20"/>
        </w:rPr>
        <w:t>其他相关证明材料</w:t>
      </w:r>
      <w:r>
        <w:tab/>
      </w:r>
      <w:r>
        <w:fldChar w:fldCharType="begin"/>
      </w:r>
      <w:r>
        <w:instrText xml:space="preserve"> PAGEREF _Toc8004 \h </w:instrText>
      </w:r>
      <w:r>
        <w:fldChar w:fldCharType="separate"/>
      </w:r>
      <w:r>
        <w:t>1</w:t>
      </w:r>
      <w:r>
        <w:fldChar w:fldCharType="end"/>
      </w:r>
      <w:r>
        <w:rPr>
          <w:rFonts w:ascii="Times New Roman" w:hAnsi="Times New Roman" w:cs="Times New Roman" w:eastAsiaTheme="minorEastAsia"/>
          <w:szCs w:val="24"/>
        </w:rPr>
        <w:fldChar w:fldCharType="end"/>
      </w:r>
    </w:p>
    <w:p>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pPr>
        <w:spacing w:line="360" w:lineRule="auto"/>
        <w:jc w:val="center"/>
        <w:outlineLvl w:val="1"/>
        <w:rPr>
          <w:rFonts w:ascii="Times New Roman" w:hAnsi="Times New Roman" w:cs="Times New Roman" w:eastAsiaTheme="minorEastAsia"/>
          <w:b/>
          <w:sz w:val="28"/>
        </w:rPr>
        <w:sectPr>
          <w:footerReference r:id="rId5" w:type="default"/>
          <w:pgSz w:w="11907" w:h="16840"/>
          <w:pgMar w:top="1440" w:right="1519" w:bottom="1440" w:left="1519" w:header="851" w:footer="851" w:gutter="0"/>
          <w:cols w:space="720" w:num="1"/>
          <w:docGrid w:linePitch="462" w:charSpace="0"/>
        </w:sectPr>
      </w:pPr>
    </w:p>
    <w:p>
      <w:pPr>
        <w:spacing w:line="360" w:lineRule="auto"/>
        <w:jc w:val="center"/>
        <w:outlineLvl w:val="1"/>
        <w:rPr>
          <w:rFonts w:ascii="Times New Roman" w:hAnsi="Times New Roman" w:cs="Times New Roman" w:eastAsiaTheme="minorEastAsia"/>
          <w:b/>
          <w:sz w:val="28"/>
        </w:rPr>
      </w:pPr>
      <w:bookmarkStart w:id="1" w:name="_Toc31841"/>
      <w:bookmarkStart w:id="2" w:name="_Toc7088"/>
      <w:r>
        <w:rPr>
          <w:rFonts w:ascii="Times New Roman" w:hAnsi="Times New Roman" w:cs="Times New Roman" w:eastAsiaTheme="minorEastAsia"/>
          <w:b/>
          <w:sz w:val="28"/>
        </w:rPr>
        <w:t>第一章  询价</w:t>
      </w:r>
      <w:bookmarkEnd w:id="1"/>
      <w:r>
        <w:rPr>
          <w:rFonts w:ascii="Times New Roman" w:hAnsi="Times New Roman" w:cs="Times New Roman" w:eastAsiaTheme="minorEastAsia"/>
          <w:b/>
          <w:sz w:val="28"/>
        </w:rPr>
        <w:t>公告</w:t>
      </w:r>
      <w:bookmarkEnd w:id="2"/>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u w:val="single"/>
        </w:rPr>
        <w:t xml:space="preserve"> </w:t>
      </w:r>
      <w:r>
        <w:rPr>
          <w:rFonts w:hint="eastAsia" w:ascii="Times New Roman" w:hAnsi="Times New Roman" w:cs="Times New Roman"/>
          <w:bCs/>
          <w:color w:val="000000"/>
          <w:sz w:val="21"/>
          <w:szCs w:val="21"/>
          <w:u w:val="single"/>
          <w:lang w:val="en-US" w:eastAsia="zh-CN"/>
        </w:rPr>
        <w:t>合肥文旅博览集团有限公司</w:t>
      </w:r>
      <w:r>
        <w:rPr>
          <w:rFonts w:ascii="Times New Roman" w:hAnsi="Times New Roman" w:cs="Times New Roman" w:eastAsiaTheme="minorEastAsia"/>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现对</w:t>
      </w:r>
      <w:r>
        <w:rPr>
          <w:rFonts w:ascii="Times New Roman" w:hAnsi="Times New Roman" w:cs="Times New Roman" w:eastAsiaTheme="minorEastAsia"/>
          <w:szCs w:val="21"/>
          <w:u w:val="single"/>
        </w:rPr>
        <w:t xml:space="preserve"> </w:t>
      </w:r>
      <w:r>
        <w:rPr>
          <w:rFonts w:hint="default" w:ascii="Times New Roman" w:hAnsi="Times New Roman" w:cs="Times New Roman"/>
          <w:bCs/>
          <w:color w:val="000000"/>
          <w:sz w:val="21"/>
          <w:szCs w:val="21"/>
          <w:u w:val="single"/>
          <w:lang w:val="en-US" w:eastAsia="zh-CN"/>
        </w:rPr>
        <w:t>合</w:t>
      </w:r>
      <w:r>
        <w:rPr>
          <w:rFonts w:hint="default" w:ascii="Times New Roman" w:hAnsi="Times New Roman" w:cs="Times New Roman"/>
          <w:bCs/>
          <w:color w:val="000000"/>
          <w:sz w:val="21"/>
          <w:szCs w:val="21"/>
          <w:u w:val="single"/>
          <w:lang w:eastAsia="zh-CN"/>
        </w:rPr>
        <w:t>肥国际人才公寓闲置变压器及配电箱</w:t>
      </w:r>
      <w:r>
        <w:rPr>
          <w:rFonts w:hint="default" w:ascii="Times New Roman" w:hAnsi="Times New Roman" w:cs="Times New Roman"/>
          <w:bCs/>
          <w:color w:val="000000"/>
          <w:sz w:val="21"/>
          <w:szCs w:val="21"/>
          <w:u w:val="single"/>
        </w:rPr>
        <w:t>资产</w:t>
      </w:r>
      <w:r>
        <w:rPr>
          <w:rFonts w:hint="default" w:ascii="Times New Roman" w:hAnsi="Times New Roman" w:cs="Times New Roman"/>
          <w:bCs/>
          <w:color w:val="000000"/>
          <w:sz w:val="21"/>
          <w:szCs w:val="21"/>
          <w:u w:val="single"/>
          <w:lang w:val="en-US" w:eastAsia="zh-CN"/>
        </w:rPr>
        <w:t>评估</w:t>
      </w:r>
      <w:r>
        <w:rPr>
          <w:rFonts w:hint="eastAsia" w:ascii="Times New Roman" w:hAnsi="Times New Roman" w:cs="Times New Roman"/>
          <w:bCs/>
          <w:color w:val="000000"/>
          <w:sz w:val="21"/>
          <w:szCs w:val="21"/>
          <w:u w:val="single"/>
          <w:lang w:val="en-US" w:eastAsia="zh-CN"/>
        </w:rPr>
        <w:t xml:space="preserve">服务（二次）项目 </w:t>
      </w:r>
      <w:r>
        <w:rPr>
          <w:rFonts w:ascii="Times New Roman" w:hAnsi="Times New Roman" w:cs="Times New Roman" w:eastAsiaTheme="minorEastAsia"/>
          <w:szCs w:val="21"/>
        </w:rPr>
        <w:t>进行</w:t>
      </w:r>
      <w:r>
        <w:rPr>
          <w:rFonts w:hint="eastAsia" w:ascii="Times New Roman" w:hAnsi="Times New Roman" w:cs="Times New Roman" w:eastAsiaTheme="minorEastAsia"/>
          <w:szCs w:val="21"/>
        </w:rPr>
        <w:t>询</w:t>
      </w:r>
      <w:r>
        <w:rPr>
          <w:rFonts w:ascii="Times New Roman" w:hAnsi="Times New Roman" w:cs="Times New Roman" w:eastAsiaTheme="minorEastAsia"/>
          <w:szCs w:val="21"/>
        </w:rPr>
        <w:t>价，欢迎具备条件的投标人参加投标。</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一</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项目名称及内容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ascii="Times New Roman" w:hAnsi="Times New Roman" w:cs="Times New Roman" w:eastAsiaTheme="minorEastAsia"/>
          <w:b/>
          <w:szCs w:val="21"/>
        </w:rPr>
        <w:t>.</w:t>
      </w:r>
      <w:r>
        <w:rPr>
          <w:rFonts w:ascii="Times New Roman" w:hAnsi="Times New Roman" w:cs="Times New Roman" w:eastAsiaTheme="minorEastAsia"/>
          <w:szCs w:val="21"/>
        </w:rPr>
        <w:t>项目编号：</w:t>
      </w:r>
      <w:r>
        <w:rPr>
          <w:rFonts w:hint="eastAsia" w:ascii="Times New Roman" w:hAnsi="Times New Roman" w:cs="Times New Roman" w:eastAsiaTheme="minorEastAsia"/>
          <w:szCs w:val="21"/>
          <w:u w:val="single"/>
        </w:rPr>
        <w:t>2024WLBLZB00022号</w:t>
      </w:r>
    </w:p>
    <w:p>
      <w:pPr>
        <w:autoSpaceDE w:val="0"/>
        <w:autoSpaceDN w:val="0"/>
        <w:adjustRightInd w:val="0"/>
        <w:spacing w:line="360" w:lineRule="auto"/>
        <w:ind w:firstLine="382" w:firstLineChars="182"/>
        <w:jc w:val="left"/>
        <w:rPr>
          <w:rFonts w:hint="eastAsia" w:ascii="Times New Roman" w:hAnsi="Times New Roman" w:cs="Times New Roman" w:eastAsiaTheme="minorEastAsia"/>
          <w:bCs/>
          <w:color w:val="000000"/>
          <w:szCs w:val="21"/>
          <w:u w:val="single"/>
        </w:rPr>
      </w:pPr>
      <w:r>
        <w:rPr>
          <w:rFonts w:ascii="Times New Roman" w:hAnsi="Times New Roman" w:cs="Times New Roman" w:eastAsiaTheme="minorEastAsia"/>
          <w:szCs w:val="21"/>
        </w:rPr>
        <w:t>2</w:t>
      </w:r>
      <w:r>
        <w:rPr>
          <w:rFonts w:ascii="Times New Roman" w:hAnsi="Times New Roman" w:cs="Times New Roman" w:eastAsiaTheme="minorEastAsia"/>
          <w:b/>
          <w:szCs w:val="21"/>
        </w:rPr>
        <w:t>.</w:t>
      </w:r>
      <w:r>
        <w:rPr>
          <w:rFonts w:ascii="Times New Roman" w:hAnsi="Times New Roman" w:cs="Times New Roman" w:eastAsiaTheme="minorEastAsia"/>
          <w:szCs w:val="21"/>
        </w:rPr>
        <w:t>项目名称：</w:t>
      </w:r>
      <w:r>
        <w:rPr>
          <w:rFonts w:hint="eastAsia" w:ascii="Times New Roman" w:hAnsi="Times New Roman" w:cs="Times New Roman"/>
          <w:bCs/>
          <w:color w:val="000000"/>
          <w:sz w:val="21"/>
          <w:szCs w:val="21"/>
          <w:u w:val="single"/>
          <w:lang w:val="en-US" w:eastAsia="zh-CN"/>
        </w:rPr>
        <w:t>合肥国际人才公寓闲置变压器及配电箱资产评估服务项目（二次）</w:t>
      </w:r>
    </w:p>
    <w:p>
      <w:pPr>
        <w:autoSpaceDE w:val="0"/>
        <w:autoSpaceDN w:val="0"/>
        <w:adjustRightInd w:val="0"/>
        <w:spacing w:line="360" w:lineRule="auto"/>
        <w:ind w:firstLine="420" w:firstLineChars="200"/>
        <w:jc w:val="left"/>
        <w:rPr>
          <w:rFonts w:ascii="Times New Roman" w:hAnsi="Times New Roman" w:cs="Times New Roman" w:eastAsiaTheme="minorEastAsia"/>
          <w:szCs w:val="21"/>
        </w:rPr>
      </w:pPr>
      <w:r>
        <w:rPr>
          <w:rFonts w:ascii="Times New Roman" w:hAnsi="Times New Roman" w:cs="Times New Roman" w:eastAsiaTheme="minorEastAsia"/>
          <w:szCs w:val="21"/>
        </w:rPr>
        <w:t>3</w:t>
      </w:r>
      <w:r>
        <w:rPr>
          <w:rFonts w:ascii="Times New Roman" w:hAnsi="Times New Roman" w:cs="Times New Roman" w:eastAsiaTheme="minorEastAsia"/>
          <w:b/>
          <w:szCs w:val="21"/>
        </w:rPr>
        <w:t>.</w:t>
      </w:r>
      <w:r>
        <w:rPr>
          <w:rFonts w:ascii="Times New Roman" w:hAnsi="Times New Roman" w:cs="Times New Roman" w:eastAsiaTheme="minorEastAsia"/>
          <w:szCs w:val="21"/>
        </w:rPr>
        <w:t>项目地点：</w:t>
      </w:r>
      <w:r>
        <w:rPr>
          <w:rFonts w:ascii="Times New Roman" w:hAnsi="Times New Roman" w:cs="Times New Roman" w:eastAsiaTheme="minorEastAsia"/>
          <w:szCs w:val="21"/>
          <w:u w:val="single"/>
        </w:rPr>
        <w:t xml:space="preserve"> </w:t>
      </w:r>
      <w:r>
        <w:rPr>
          <w:rFonts w:hint="eastAsia" w:ascii="Times New Roman" w:hAnsi="Times New Roman" w:cs="Times New Roman"/>
          <w:bCs/>
          <w:color w:val="000000"/>
          <w:sz w:val="21"/>
          <w:szCs w:val="21"/>
          <w:u w:val="single"/>
          <w:lang w:val="en-US" w:eastAsia="zh-CN"/>
        </w:rPr>
        <w:t>合肥国际人才公寓客服中心停车场内</w:t>
      </w:r>
      <w:r>
        <w:rPr>
          <w:rFonts w:ascii="Times New Roman" w:hAnsi="Times New Roman" w:cs="Times New Roman"/>
          <w:bCs/>
          <w:color w:val="000000"/>
          <w:sz w:val="21"/>
          <w:szCs w:val="21"/>
          <w:u w:val="single"/>
        </w:rPr>
        <w:t xml:space="preserve"> </w:t>
      </w:r>
      <w:r>
        <w:rPr>
          <w:rFonts w:ascii="Times New Roman" w:hAnsi="Times New Roman" w:cs="Times New Roman" w:eastAsiaTheme="minorEastAsia"/>
          <w:szCs w:val="21"/>
          <w:u w:val="single"/>
        </w:rPr>
        <w:t xml:space="preserve"> </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w:t>
      </w:r>
      <w:r>
        <w:rPr>
          <w:rFonts w:ascii="Times New Roman" w:hAnsi="Times New Roman" w:cs="Times New Roman" w:eastAsiaTheme="minorEastAsia"/>
          <w:b/>
          <w:szCs w:val="21"/>
        </w:rPr>
        <w:t>.</w:t>
      </w:r>
      <w:r>
        <w:rPr>
          <w:rFonts w:ascii="Times New Roman" w:hAnsi="Times New Roman" w:cs="Times New Roman" w:eastAsiaTheme="minorEastAsia"/>
          <w:szCs w:val="21"/>
        </w:rPr>
        <w:t>项目单位：</w:t>
      </w:r>
      <w:r>
        <w:rPr>
          <w:rFonts w:hint="eastAsia" w:asciiTheme="majorEastAsia" w:hAnsiTheme="majorEastAsia" w:eastAsiaTheme="majorEastAsia" w:cstheme="majorEastAsia"/>
          <w:sz w:val="21"/>
          <w:szCs w:val="21"/>
          <w:u w:val="single"/>
          <w:lang w:val="en-US" w:eastAsia="zh-CN"/>
        </w:rPr>
        <w:t>合肥文旅博览集团有限公司</w:t>
      </w:r>
    </w:p>
    <w:p>
      <w:pPr>
        <w:spacing w:line="360" w:lineRule="auto"/>
        <w:ind w:firstLine="420" w:firstLineChars="200"/>
        <w:rPr>
          <w:rFonts w:hint="default" w:ascii="Times New Roman" w:hAnsi="Times New Roman" w:cs="Times New Roman" w:eastAsiaTheme="minorEastAsia"/>
          <w:szCs w:val="21"/>
          <w:u w:val="single"/>
          <w:lang w:val="en-US" w:eastAsia="zh-CN"/>
        </w:rPr>
      </w:pPr>
      <w:r>
        <w:rPr>
          <w:rFonts w:ascii="Times New Roman" w:hAnsi="Times New Roman" w:cs="Times New Roman" w:eastAsiaTheme="minorEastAsia"/>
          <w:szCs w:val="21"/>
        </w:rPr>
        <w:t>5</w:t>
      </w:r>
      <w:r>
        <w:rPr>
          <w:rFonts w:ascii="Times New Roman" w:hAnsi="Times New Roman" w:cs="Times New Roman" w:eastAsiaTheme="minorEastAsia"/>
          <w:b/>
          <w:szCs w:val="21"/>
        </w:rPr>
        <w:t>.</w:t>
      </w:r>
      <w:r>
        <w:rPr>
          <w:rFonts w:ascii="Times New Roman" w:hAnsi="Times New Roman" w:cs="Times New Roman" w:eastAsiaTheme="minorEastAsia"/>
          <w:szCs w:val="21"/>
        </w:rPr>
        <w:t>项目范围：</w:t>
      </w:r>
      <w:r>
        <w:rPr>
          <w:rFonts w:hint="eastAsia" w:ascii="Times New Roman" w:hAnsi="Times New Roman" w:cs="Times New Roman"/>
          <w:szCs w:val="21"/>
          <w:u w:val="single"/>
          <w:lang w:val="en-US" w:eastAsia="zh-CN"/>
        </w:rPr>
        <w:t>详见招标需求</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6</w:t>
      </w:r>
      <w:r>
        <w:rPr>
          <w:rFonts w:ascii="Times New Roman" w:hAnsi="Times New Roman" w:cs="Times New Roman" w:eastAsiaTheme="minorEastAsia"/>
          <w:b/>
          <w:szCs w:val="21"/>
        </w:rPr>
        <w:t>.</w:t>
      </w:r>
      <w:r>
        <w:rPr>
          <w:rFonts w:ascii="Times New Roman" w:hAnsi="Times New Roman" w:cs="Times New Roman" w:eastAsiaTheme="minorEastAsia"/>
          <w:szCs w:val="21"/>
        </w:rPr>
        <w:t>资金来源：</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自筹</w:t>
      </w:r>
      <w:r>
        <w:rPr>
          <w:rFonts w:ascii="Times New Roman" w:hAnsi="Times New Roman" w:cs="Times New Roman" w:eastAsiaTheme="minorEastAsia"/>
          <w:szCs w:val="21"/>
          <w:u w:val="single"/>
        </w:rPr>
        <w:t xml:space="preserve">    </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7</w:t>
      </w:r>
      <w:r>
        <w:rPr>
          <w:rFonts w:ascii="Times New Roman" w:hAnsi="Times New Roman" w:cs="Times New Roman" w:eastAsiaTheme="minorEastAsia"/>
          <w:b/>
          <w:szCs w:val="21"/>
        </w:rPr>
        <w:t>.</w:t>
      </w:r>
      <w:r>
        <w:rPr>
          <w:rFonts w:ascii="Times New Roman" w:hAnsi="Times New Roman" w:cs="Times New Roman" w:eastAsiaTheme="minorEastAsia"/>
          <w:szCs w:val="21"/>
        </w:rPr>
        <w:t>项目预算：</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5000元</w:t>
      </w:r>
      <w:r>
        <w:rPr>
          <w:rFonts w:ascii="Times New Roman" w:hAnsi="Times New Roman" w:cs="Times New Roman" w:eastAsiaTheme="minorEastAsia"/>
          <w:szCs w:val="21"/>
          <w:u w:val="single"/>
        </w:rPr>
        <w:t xml:space="preserve">    </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8</w:t>
      </w:r>
      <w:r>
        <w:rPr>
          <w:rFonts w:ascii="Times New Roman" w:hAnsi="Times New Roman" w:cs="Times New Roman" w:eastAsiaTheme="minorEastAsia"/>
          <w:b/>
          <w:szCs w:val="21"/>
        </w:rPr>
        <w:t>.</w:t>
      </w:r>
      <w:r>
        <w:rPr>
          <w:rFonts w:ascii="Times New Roman" w:hAnsi="Times New Roman" w:cs="Times New Roman" w:eastAsiaTheme="minorEastAsia"/>
          <w:szCs w:val="21"/>
        </w:rPr>
        <w:t>项目类别：</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服务</w:t>
      </w:r>
      <w:r>
        <w:rPr>
          <w:rFonts w:ascii="Times New Roman" w:hAnsi="Times New Roman" w:cs="Times New Roman" w:eastAsiaTheme="minorEastAsia"/>
          <w:szCs w:val="21"/>
          <w:u w:val="single"/>
        </w:rPr>
        <w:t xml:space="preserve"> </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pPr>
        <w:spacing w:line="360" w:lineRule="auto"/>
        <w:ind w:firstLine="420" w:firstLineChars="200"/>
        <w:rPr>
          <w:rFonts w:hint="eastAsia" w:asciiTheme="majorEastAsia" w:hAnsiTheme="majorEastAsia" w:eastAsiaTheme="majorEastAsia" w:cstheme="majorEastAsia"/>
          <w:sz w:val="21"/>
          <w:szCs w:val="21"/>
          <w:lang w:val="en-US" w:eastAsia="zh-CN"/>
        </w:rPr>
      </w:pPr>
      <w:r>
        <w:rPr>
          <w:rFonts w:ascii="Times New Roman" w:hAnsi="Times New Roman" w:cs="Times New Roman" w:eastAsiaTheme="majorEastAsia"/>
          <w:szCs w:val="21"/>
        </w:rPr>
        <w:t>2.投标人资质要求：</w:t>
      </w:r>
      <w:r>
        <w:rPr>
          <w:rFonts w:hint="eastAsia" w:asciiTheme="majorEastAsia" w:hAnsiTheme="majorEastAsia" w:eastAsiaTheme="majorEastAsia" w:cstheme="majorEastAsia"/>
          <w:sz w:val="21"/>
          <w:szCs w:val="21"/>
          <w:lang w:val="en-US" w:eastAsia="zh-CN"/>
        </w:rPr>
        <w:t>投标人为合肥市建设投资控股（集团）有限公司资产评估备选库单位。</w:t>
      </w:r>
    </w:p>
    <w:p>
      <w:pPr>
        <w:spacing w:line="360" w:lineRule="auto"/>
        <w:ind w:firstLine="420" w:firstLineChars="200"/>
        <w:rPr>
          <w:color w:val="auto"/>
        </w:rPr>
      </w:pPr>
      <w:r>
        <w:rPr>
          <w:rFonts w:hint="eastAsia" w:asciiTheme="majorEastAsia" w:hAnsiTheme="majorEastAsia" w:eastAsiaTheme="majorEastAsia" w:cstheme="majorEastAsia"/>
          <w:color w:val="auto"/>
          <w:sz w:val="21"/>
          <w:szCs w:val="21"/>
          <w:lang w:val="en-US" w:eastAsia="zh-CN"/>
        </w:rPr>
        <w:t>3</w:t>
      </w:r>
      <w:r>
        <w:rPr>
          <w:rFonts w:hint="eastAsia" w:asciiTheme="majorEastAsia" w:hAnsiTheme="majorEastAsia" w:eastAsiaTheme="majorEastAsia" w:cstheme="majorEastAsia"/>
          <w:color w:val="auto"/>
          <w:sz w:val="21"/>
          <w:szCs w:val="21"/>
        </w:rPr>
        <w:t>.本项目不接受联合体投标。</w:t>
      </w:r>
    </w:p>
    <w:p>
      <w:pPr>
        <w:spacing w:line="360" w:lineRule="auto"/>
        <w:rPr>
          <w:rFonts w:hint="eastAsia" w:ascii="Times New Roman" w:hAnsi="Times New Roman" w:cs="Times New Roman" w:eastAsiaTheme="minorEastAsia"/>
          <w:b/>
          <w:bCs/>
          <w:color w:val="auto"/>
          <w:sz w:val="24"/>
          <w:szCs w:val="18"/>
          <w:lang w:val="en-US" w:eastAsia="zh-CN"/>
        </w:rPr>
      </w:pPr>
      <w:r>
        <w:rPr>
          <w:rFonts w:ascii="Times New Roman" w:hAnsi="Times New Roman" w:cs="Times New Roman" w:eastAsiaTheme="minorEastAsia"/>
          <w:b/>
          <w:bCs/>
          <w:color w:val="auto"/>
          <w:sz w:val="24"/>
          <w:szCs w:val="18"/>
        </w:rPr>
        <w:t>三</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询价文件的获取</w:t>
      </w:r>
      <w:r>
        <w:rPr>
          <w:rFonts w:hint="eastAsia" w:ascii="Times New Roman" w:hAnsi="Times New Roman" w:cs="Times New Roman" w:eastAsiaTheme="minorEastAsia"/>
          <w:b/>
          <w:bCs/>
          <w:color w:val="auto"/>
          <w:sz w:val="24"/>
          <w:szCs w:val="18"/>
          <w:lang w:val="en-US" w:eastAsia="zh-CN"/>
        </w:rPr>
        <w:t>及报名</w:t>
      </w:r>
    </w:p>
    <w:p>
      <w:pPr>
        <w:widowControl/>
        <w:spacing w:line="500" w:lineRule="exact"/>
        <w:ind w:firstLine="420" w:firstLineChars="200"/>
        <w:jc w:val="left"/>
        <w:rPr>
          <w:rFonts w:ascii="Times New Roman" w:hAnsi="Times New Roman" w:eastAsia="宋体" w:cs="Times New Roman"/>
          <w:bCs/>
          <w:snapToGrid w:val="0"/>
          <w:color w:val="auto"/>
        </w:rPr>
      </w:pPr>
      <w:r>
        <w:rPr>
          <w:rFonts w:ascii="Times New Roman" w:hAnsi="Times New Roman" w:cs="Times New Roman" w:eastAsiaTheme="majorEastAsia"/>
          <w:color w:val="auto"/>
          <w:szCs w:val="21"/>
        </w:rPr>
        <w:t>1.</w:t>
      </w:r>
      <w:r>
        <w:rPr>
          <w:rFonts w:hint="eastAsia" w:ascii="Times New Roman" w:hAnsi="Times New Roman" w:cs="Times New Roman" w:eastAsiaTheme="majorEastAsia"/>
          <w:color w:val="auto"/>
          <w:szCs w:val="21"/>
          <w:lang w:val="en-US" w:eastAsia="zh-CN"/>
        </w:rPr>
        <w:t>报名</w:t>
      </w:r>
      <w:r>
        <w:rPr>
          <w:rFonts w:ascii="Times New Roman" w:hAnsi="Times New Roman" w:cs="Times New Roman" w:eastAsiaTheme="majorEastAsia"/>
          <w:color w:val="auto"/>
          <w:szCs w:val="21"/>
        </w:rPr>
        <w:t>时间：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2024</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5</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月</w:t>
      </w:r>
      <w:r>
        <w:rPr>
          <w:rFonts w:hint="eastAsia" w:ascii="Times New Roman" w:hAnsi="Times New Roman" w:eastAsia="宋体" w:cs="Times New Roman"/>
          <w:bCs/>
          <w:snapToGrid w:val="0"/>
          <w:color w:val="auto"/>
          <w:kern w:val="0"/>
          <w:szCs w:val="21"/>
          <w:u w:val="single"/>
          <w:lang w:val="en-US" w:eastAsia="zh-CN"/>
        </w:rPr>
        <w:t>2</w:t>
      </w:r>
      <w:del w:id="0" w:author="worker" w:date="2024-05-23T09:02:21Z">
        <w:r>
          <w:rPr>
            <w:rFonts w:hint="default" w:ascii="Times New Roman" w:hAnsi="Times New Roman" w:eastAsia="宋体" w:cs="Times New Roman"/>
            <w:bCs/>
            <w:snapToGrid w:val="0"/>
            <w:color w:val="auto"/>
            <w:kern w:val="0"/>
            <w:szCs w:val="21"/>
            <w:u w:val="single"/>
            <w:lang w:val="en-US" w:eastAsia="zh-CN"/>
          </w:rPr>
          <w:delText>2</w:delText>
        </w:r>
      </w:del>
      <w:ins w:id="1" w:author="worker" w:date="2024-05-23T09:02:21Z">
        <w:r>
          <w:rPr>
            <w:rFonts w:hint="eastAsia" w:ascii="Times New Roman" w:hAnsi="Times New Roman" w:eastAsia="宋体" w:cs="Times New Roman"/>
            <w:bCs/>
            <w:snapToGrid w:val="0"/>
            <w:color w:val="auto"/>
            <w:kern w:val="0"/>
            <w:szCs w:val="21"/>
            <w:u w:val="single"/>
            <w:lang w:val="en-US" w:eastAsia="zh-CN"/>
          </w:rPr>
          <w:t>3</w:t>
        </w:r>
      </w:ins>
      <w:r>
        <w:rPr>
          <w:rFonts w:ascii="Times New Roman" w:hAnsi="Times New Roman" w:eastAsia="宋体" w:cs="Times New Roman"/>
          <w:bCs/>
          <w:snapToGrid w:val="0"/>
          <w:color w:val="auto"/>
        </w:rPr>
        <w:t>日至</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2024</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5</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月</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 xml:space="preserve"> </w:t>
      </w:r>
      <w:del w:id="2" w:author="worker" w:date="2024-05-23T09:02:32Z">
        <w:r>
          <w:rPr>
            <w:rFonts w:hint="default" w:ascii="Times New Roman" w:hAnsi="Times New Roman" w:eastAsia="宋体" w:cs="Times New Roman"/>
            <w:bCs/>
            <w:snapToGrid w:val="0"/>
            <w:color w:val="auto"/>
            <w:kern w:val="0"/>
            <w:szCs w:val="21"/>
            <w:u w:val="single"/>
            <w:lang w:val="en-US" w:eastAsia="zh-CN"/>
          </w:rPr>
          <w:delText>24</w:delText>
        </w:r>
      </w:del>
      <w:ins w:id="3" w:author="worker" w:date="2024-05-23T09:02:32Z">
        <w:r>
          <w:rPr>
            <w:rFonts w:hint="eastAsia" w:ascii="Times New Roman" w:hAnsi="Times New Roman" w:eastAsia="宋体" w:cs="Times New Roman"/>
            <w:bCs/>
            <w:snapToGrid w:val="0"/>
            <w:color w:val="auto"/>
            <w:kern w:val="0"/>
            <w:szCs w:val="21"/>
            <w:u w:val="single"/>
            <w:lang w:val="en-US" w:eastAsia="zh-CN"/>
          </w:rPr>
          <w:t>27</w:t>
        </w:r>
      </w:ins>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日(北京时间)</w:t>
      </w:r>
    </w:p>
    <w:p>
      <w:pPr>
        <w:widowControl/>
        <w:wordWrap w:val="0"/>
        <w:spacing w:line="500" w:lineRule="exact"/>
        <w:ind w:firstLine="420" w:firstLineChars="200"/>
        <w:jc w:val="left"/>
        <w:rPr>
          <w:rFonts w:ascii="Times New Roman" w:hAnsi="Times New Roman" w:eastAsia="宋体" w:cs="Times New Roman"/>
          <w:bCs/>
          <w:snapToGrid w:val="0"/>
          <w:color w:val="auto"/>
        </w:rPr>
      </w:pPr>
      <w:r>
        <w:rPr>
          <w:rFonts w:ascii="Times New Roman" w:hAnsi="Times New Roman" w:cs="Times New Roman" w:eastAsiaTheme="majorEastAsia"/>
          <w:color w:val="auto"/>
          <w:szCs w:val="21"/>
        </w:rPr>
        <w:t>2.</w:t>
      </w:r>
      <w:r>
        <w:rPr>
          <w:rFonts w:hint="eastAsia" w:ascii="Times New Roman" w:hAnsi="Times New Roman" w:cs="Times New Roman" w:eastAsiaTheme="majorEastAsia"/>
          <w:color w:val="auto"/>
          <w:szCs w:val="21"/>
          <w:lang w:val="en-US" w:eastAsia="zh-CN"/>
        </w:rPr>
        <w:t>询价文件</w:t>
      </w:r>
      <w:r>
        <w:rPr>
          <w:rFonts w:ascii="Times New Roman" w:hAnsi="Times New Roman" w:cs="Times New Roman" w:eastAsiaTheme="majorEastAsia"/>
          <w:color w:val="auto"/>
          <w:szCs w:val="21"/>
        </w:rPr>
        <w:t>获取方式：</w:t>
      </w:r>
      <w:r>
        <w:rPr>
          <w:rFonts w:ascii="Times New Roman" w:hAnsi="Times New Roman" w:eastAsia="宋体" w:cs="Times New Roman"/>
          <w:bCs/>
          <w:snapToGrid w:val="0"/>
          <w:color w:val="auto"/>
        </w:rPr>
        <w:t>投标人登录合肥文旅博览集团有限公司网站（http://www.zwzcgl.com）下载询价文件</w:t>
      </w:r>
    </w:p>
    <w:p>
      <w:pPr>
        <w:widowControl/>
        <w:wordWrap w:val="0"/>
        <w:spacing w:line="500" w:lineRule="exact"/>
        <w:ind w:firstLine="420" w:firstLineChars="200"/>
        <w:jc w:val="left"/>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3.报名方法：投标人下载附件《投标报名信息表》并完整填写信息后在规定的报名日期内发送至邮箱：</w:t>
      </w:r>
      <w:r>
        <w:rPr>
          <w:rFonts w:ascii="Times New Roman" w:hAnsi="Times New Roman" w:cs="Times New Roman" w:eastAsiaTheme="majorEastAsia"/>
          <w:color w:val="auto"/>
          <w:szCs w:val="21"/>
        </w:rPr>
        <w:fldChar w:fldCharType="begin"/>
      </w:r>
      <w:r>
        <w:rPr>
          <w:rFonts w:ascii="Times New Roman" w:hAnsi="Times New Roman" w:cs="Times New Roman" w:eastAsiaTheme="majorEastAsia"/>
          <w:color w:val="auto"/>
          <w:szCs w:val="21"/>
        </w:rPr>
        <w:instrText xml:space="preserve"> HYPERLINK "mailto:******@qq.com" </w:instrText>
      </w:r>
      <w:r>
        <w:rPr>
          <w:rFonts w:ascii="Times New Roman" w:hAnsi="Times New Roman" w:cs="Times New Roman" w:eastAsiaTheme="majorEastAsia"/>
          <w:color w:val="auto"/>
          <w:szCs w:val="21"/>
        </w:rPr>
        <w:fldChar w:fldCharType="separate"/>
      </w:r>
      <w:r>
        <w:rPr>
          <w:rFonts w:hint="eastAsia" w:ascii="Times New Roman" w:hAnsi="Times New Roman" w:cs="Times New Roman" w:eastAsiaTheme="majorEastAsia"/>
          <w:color w:val="auto"/>
          <w:szCs w:val="21"/>
          <w:lang w:val="en-US" w:eastAsia="zh-CN"/>
        </w:rPr>
        <w:t>361923526</w:t>
      </w:r>
      <w:r>
        <w:rPr>
          <w:rFonts w:ascii="Times New Roman" w:hAnsi="Times New Roman" w:cs="Times New Roman" w:eastAsiaTheme="majorEastAsia"/>
          <w:color w:val="auto"/>
          <w:szCs w:val="21"/>
        </w:rPr>
        <w:t>@qq.com</w:t>
      </w:r>
      <w:r>
        <w:rPr>
          <w:rFonts w:ascii="Times New Roman" w:hAnsi="Times New Roman" w:cs="Times New Roman" w:eastAsiaTheme="majorEastAsia"/>
          <w:color w:val="auto"/>
          <w:szCs w:val="21"/>
        </w:rPr>
        <w:fldChar w:fldCharType="end"/>
      </w:r>
    </w:p>
    <w:p>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四</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询价时间及地点</w:t>
      </w:r>
    </w:p>
    <w:p>
      <w:pPr>
        <w:spacing w:line="360" w:lineRule="auto"/>
        <w:ind w:firstLine="435"/>
        <w:rPr>
          <w:rFonts w:hint="eastAsia" w:ascii="Times New Roman" w:hAnsi="Times New Roman" w:eastAsia="宋体" w:cs="Times New Roman"/>
          <w:bCs/>
          <w:snapToGrid w:val="0"/>
          <w:color w:val="auto"/>
          <w:kern w:val="0"/>
          <w:szCs w:val="21"/>
          <w:u w:val="single"/>
        </w:rPr>
      </w:pPr>
      <w:r>
        <w:rPr>
          <w:rFonts w:ascii="Times New Roman" w:hAnsi="Times New Roman" w:cs="Times New Roman" w:eastAsiaTheme="minorEastAsia"/>
          <w:color w:val="auto"/>
          <w:szCs w:val="15"/>
        </w:rPr>
        <w:t>1</w:t>
      </w:r>
      <w:r>
        <w:rPr>
          <w:rFonts w:ascii="Times New Roman" w:hAnsi="Times New Roman" w:cs="Times New Roman" w:eastAsiaTheme="minorEastAsia"/>
          <w:b/>
          <w:color w:val="auto"/>
          <w:szCs w:val="16"/>
        </w:rPr>
        <w:t>.</w:t>
      </w:r>
      <w:r>
        <w:rPr>
          <w:rFonts w:ascii="Times New Roman" w:hAnsi="Times New Roman" w:cs="Times New Roman" w:eastAsiaTheme="minorEastAsia"/>
          <w:color w:val="auto"/>
          <w:szCs w:val="15"/>
        </w:rPr>
        <w:t>询价时间：</w:t>
      </w:r>
      <w:r>
        <w:rPr>
          <w:rFonts w:hint="eastAsia" w:ascii="Times New Roman" w:hAnsi="Times New Roman" w:eastAsia="宋体" w:cs="Times New Roman"/>
          <w:bCs/>
          <w:snapToGrid w:val="0"/>
          <w:color w:val="auto"/>
          <w:kern w:val="0"/>
          <w:szCs w:val="21"/>
          <w:u w:val="single"/>
          <w:lang w:val="en-US" w:eastAsia="zh-CN"/>
        </w:rPr>
        <w:t>2024</w:t>
      </w:r>
      <w:r>
        <w:rPr>
          <w:rFonts w:hint="eastAsia" w:ascii="Times New Roman" w:hAnsi="Times New Roman" w:eastAsia="宋体" w:cs="Times New Roman"/>
          <w:bCs/>
          <w:snapToGrid w:val="0"/>
          <w:color w:val="auto"/>
          <w:kern w:val="0"/>
          <w:sz w:val="21"/>
          <w:szCs w:val="21"/>
          <w:u w:val="single"/>
        </w:rPr>
        <w:t xml:space="preserve"> 年 </w:t>
      </w:r>
      <w:r>
        <w:rPr>
          <w:rFonts w:hint="eastAsia" w:ascii="Times New Roman" w:hAnsi="Times New Roman" w:eastAsia="宋体" w:cs="Times New Roman"/>
          <w:bCs/>
          <w:snapToGrid w:val="0"/>
          <w:color w:val="auto"/>
          <w:kern w:val="0"/>
          <w:sz w:val="21"/>
          <w:szCs w:val="21"/>
          <w:u w:val="single"/>
          <w:lang w:val="en-US" w:eastAsia="zh-CN"/>
        </w:rPr>
        <w:t>5</w:t>
      </w:r>
      <w:r>
        <w:rPr>
          <w:rFonts w:hint="eastAsia" w:ascii="Times New Roman" w:hAnsi="Times New Roman" w:eastAsia="宋体" w:cs="Times New Roman"/>
          <w:bCs/>
          <w:snapToGrid w:val="0"/>
          <w:color w:val="auto"/>
          <w:kern w:val="0"/>
          <w:sz w:val="21"/>
          <w:szCs w:val="21"/>
          <w:u w:val="single"/>
        </w:rPr>
        <w:t xml:space="preserve">  月</w:t>
      </w:r>
      <w:bookmarkStart w:id="32" w:name="_GoBack"/>
      <w:r>
        <w:rPr>
          <w:rFonts w:hint="eastAsia" w:ascii="Times New Roman" w:hAnsi="Times New Roman" w:eastAsia="宋体" w:cs="Times New Roman"/>
          <w:bCs/>
          <w:snapToGrid w:val="0"/>
          <w:color w:val="auto"/>
          <w:kern w:val="0"/>
          <w:sz w:val="21"/>
          <w:szCs w:val="21"/>
          <w:u w:val="single"/>
          <w:lang w:val="en-US" w:eastAsia="zh-CN"/>
        </w:rPr>
        <w:t>28</w:t>
      </w:r>
      <w:bookmarkEnd w:id="32"/>
      <w:r>
        <w:rPr>
          <w:rFonts w:hint="eastAsia" w:ascii="Times New Roman" w:hAnsi="Times New Roman" w:eastAsia="宋体" w:cs="Times New Roman"/>
          <w:bCs/>
          <w:snapToGrid w:val="0"/>
          <w:color w:val="auto"/>
          <w:kern w:val="0"/>
          <w:sz w:val="21"/>
          <w:szCs w:val="21"/>
          <w:u w:val="single"/>
        </w:rPr>
        <w:t xml:space="preserve">  日  </w:t>
      </w:r>
      <w:r>
        <w:rPr>
          <w:rFonts w:hint="eastAsia" w:ascii="Times New Roman" w:hAnsi="Times New Roman" w:eastAsia="宋体" w:cs="Times New Roman"/>
          <w:bCs/>
          <w:snapToGrid w:val="0"/>
          <w:color w:val="auto"/>
          <w:kern w:val="0"/>
          <w:sz w:val="21"/>
          <w:szCs w:val="21"/>
          <w:u w:val="single"/>
          <w:lang w:val="en-US" w:eastAsia="zh-CN"/>
        </w:rPr>
        <w:t>9</w:t>
      </w:r>
      <w:r>
        <w:rPr>
          <w:rFonts w:hint="eastAsia" w:ascii="Times New Roman" w:hAnsi="Times New Roman" w:eastAsia="宋体" w:cs="Times New Roman"/>
          <w:bCs/>
          <w:snapToGrid w:val="0"/>
          <w:color w:val="auto"/>
          <w:kern w:val="0"/>
          <w:szCs w:val="21"/>
          <w:u w:val="single"/>
        </w:rPr>
        <w:t xml:space="preserve"> 时</w:t>
      </w:r>
      <w:r>
        <w:rPr>
          <w:rFonts w:hint="eastAsia" w:ascii="Times New Roman" w:hAnsi="Times New Roman" w:eastAsia="宋体" w:cs="Times New Roman"/>
          <w:bCs/>
          <w:snapToGrid w:val="0"/>
          <w:color w:val="auto"/>
          <w:kern w:val="0"/>
          <w:sz w:val="21"/>
          <w:szCs w:val="21"/>
          <w:u w:val="single"/>
        </w:rPr>
        <w:t xml:space="preserve"> </w:t>
      </w:r>
      <w:r>
        <w:rPr>
          <w:rFonts w:hint="eastAsia" w:ascii="Times New Roman" w:hAnsi="Times New Roman" w:eastAsia="宋体" w:cs="Times New Roman"/>
          <w:bCs/>
          <w:snapToGrid w:val="0"/>
          <w:color w:val="auto"/>
          <w:kern w:val="0"/>
          <w:sz w:val="21"/>
          <w:szCs w:val="21"/>
          <w:u w:val="single"/>
          <w:lang w:val="en-US" w:eastAsia="zh-CN"/>
        </w:rPr>
        <w:t>30</w:t>
      </w:r>
      <w:r>
        <w:rPr>
          <w:rFonts w:hint="eastAsia" w:ascii="Times New Roman" w:hAnsi="Times New Roman" w:eastAsia="宋体" w:cs="Times New Roman"/>
          <w:bCs/>
          <w:snapToGrid w:val="0"/>
          <w:color w:val="auto"/>
          <w:kern w:val="0"/>
          <w:sz w:val="21"/>
          <w:szCs w:val="21"/>
          <w:u w:val="single"/>
        </w:rPr>
        <w:t xml:space="preserve">  </w:t>
      </w:r>
      <w:r>
        <w:rPr>
          <w:rFonts w:hint="eastAsia" w:ascii="Times New Roman" w:hAnsi="Times New Roman" w:eastAsia="宋体" w:cs="Times New Roman"/>
          <w:bCs/>
          <w:snapToGrid w:val="0"/>
          <w:color w:val="auto"/>
          <w:kern w:val="0"/>
          <w:szCs w:val="21"/>
          <w:u w:val="single"/>
        </w:rPr>
        <w:t>分</w:t>
      </w:r>
    </w:p>
    <w:p>
      <w:pPr>
        <w:spacing w:line="360" w:lineRule="auto"/>
        <w:ind w:firstLine="435"/>
        <w:rPr>
          <w:rFonts w:ascii="Times New Roman" w:hAnsi="Times New Roman" w:cs="Times New Roman" w:eastAsiaTheme="minorEastAsia"/>
          <w:color w:val="auto"/>
          <w:szCs w:val="21"/>
          <w:u w:val="single"/>
        </w:rPr>
      </w:pPr>
      <w:r>
        <w:rPr>
          <w:rFonts w:ascii="Times New Roman" w:hAnsi="Times New Roman" w:cs="Times New Roman" w:eastAsiaTheme="minorEastAsia"/>
          <w:color w:val="auto"/>
          <w:szCs w:val="15"/>
        </w:rPr>
        <w:t>2</w:t>
      </w:r>
      <w:r>
        <w:rPr>
          <w:rFonts w:ascii="Times New Roman" w:hAnsi="Times New Roman" w:cs="Times New Roman" w:eastAsiaTheme="minorEastAsia"/>
          <w:b/>
          <w:color w:val="auto"/>
          <w:szCs w:val="16"/>
        </w:rPr>
        <w:t>.</w:t>
      </w:r>
      <w:r>
        <w:rPr>
          <w:rFonts w:ascii="Times New Roman" w:hAnsi="Times New Roman" w:cs="Times New Roman" w:eastAsiaTheme="minorEastAsia"/>
          <w:color w:val="auto"/>
          <w:szCs w:val="15"/>
        </w:rPr>
        <w:t>询价地点：</w:t>
      </w:r>
      <w:r>
        <w:rPr>
          <w:rFonts w:ascii="Times New Roman" w:hAnsi="Times New Roman" w:cs="Times New Roman" w:eastAsiaTheme="minorEastAsia"/>
          <w:color w:val="auto"/>
          <w:szCs w:val="21"/>
          <w:u w:val="single"/>
        </w:rPr>
        <w:t xml:space="preserve"> </w:t>
      </w:r>
      <w:r>
        <w:rPr>
          <w:rFonts w:hint="eastAsia" w:ascii="宋体" w:hAnsi="宋体" w:cs="宋体"/>
          <w:color w:val="auto"/>
          <w:kern w:val="0"/>
          <w:sz w:val="21"/>
          <w:szCs w:val="21"/>
          <w:u w:val="single"/>
        </w:rPr>
        <w:t>合肥市蜀山区习友路与茂荫路交口投资大厦</w:t>
      </w:r>
      <w:r>
        <w:rPr>
          <w:rFonts w:hint="eastAsia" w:ascii="Times New Roman" w:hAnsi="Times New Roman" w:cs="Times New Roman"/>
          <w:color w:val="auto"/>
          <w:szCs w:val="21"/>
          <w:u w:val="single"/>
          <w:lang w:val="en-US" w:eastAsia="zh-CN"/>
        </w:rPr>
        <w:t>多功能厅</w:t>
      </w:r>
      <w:r>
        <w:rPr>
          <w:rFonts w:ascii="Times New Roman" w:hAnsi="Times New Roman" w:cs="Times New Roman" w:eastAsiaTheme="minorEastAsia"/>
          <w:color w:val="auto"/>
          <w:szCs w:val="21"/>
          <w:u w:val="single"/>
        </w:rPr>
        <w:t xml:space="preserve"> </w:t>
      </w:r>
    </w:p>
    <w:p>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五</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投标文件提交截止时间</w:t>
      </w:r>
    </w:p>
    <w:p>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同询价时间</w:t>
      </w:r>
    </w:p>
    <w:p>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color w:val="auto"/>
          <w:sz w:val="24"/>
          <w:szCs w:val="18"/>
        </w:rPr>
        <w:t>六</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联系方式</w:t>
      </w:r>
    </w:p>
    <w:p>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1.招标人</w:t>
      </w:r>
    </w:p>
    <w:p>
      <w:pPr>
        <w:spacing w:line="360" w:lineRule="auto"/>
        <w:ind w:firstLine="435"/>
        <w:rPr>
          <w:rFonts w:hint="eastAsia" w:ascii="宋体" w:hAnsi="宋体" w:cs="宋体" w:eastAsiaTheme="minorEastAsia"/>
          <w:color w:val="auto"/>
          <w:kern w:val="0"/>
          <w:sz w:val="24"/>
          <w:szCs w:val="24"/>
          <w:u w:val="single"/>
          <w:lang w:val="en-US" w:eastAsia="zh-CN"/>
        </w:rPr>
      </w:pPr>
      <w:r>
        <w:rPr>
          <w:rFonts w:ascii="Times New Roman" w:hAnsi="Times New Roman" w:cs="Times New Roman" w:eastAsiaTheme="minorEastAsia"/>
          <w:color w:val="auto"/>
          <w:szCs w:val="15"/>
        </w:rPr>
        <w:t>招标人：</w:t>
      </w:r>
      <w:r>
        <w:rPr>
          <w:rFonts w:hint="eastAsia" w:ascii="宋体" w:hAnsi="宋体" w:cs="宋体"/>
          <w:color w:val="auto"/>
          <w:kern w:val="0"/>
          <w:sz w:val="21"/>
          <w:szCs w:val="21"/>
          <w:u w:val="single"/>
          <w:lang w:val="en-US" w:eastAsia="zh-CN"/>
        </w:rPr>
        <w:t>合肥文旅博览集团有限公司</w:t>
      </w:r>
    </w:p>
    <w:p>
      <w:pPr>
        <w:spacing w:line="360" w:lineRule="auto"/>
        <w:ind w:firstLine="435"/>
        <w:rPr>
          <w:rFonts w:hint="eastAsia" w:ascii="宋体" w:hAnsi="宋体" w:cs="宋体" w:eastAsiaTheme="minorEastAsia"/>
          <w:color w:val="auto"/>
          <w:kern w:val="0"/>
          <w:szCs w:val="21"/>
          <w:u w:val="single"/>
        </w:rPr>
      </w:pPr>
      <w:r>
        <w:rPr>
          <w:rFonts w:ascii="Times New Roman" w:hAnsi="Times New Roman" w:cs="Times New Roman" w:eastAsiaTheme="minorEastAsia"/>
          <w:color w:val="auto"/>
          <w:szCs w:val="15"/>
        </w:rPr>
        <w:t>地  址：</w:t>
      </w:r>
      <w:r>
        <w:rPr>
          <w:rFonts w:ascii="Times New Roman" w:hAnsi="Times New Roman" w:cs="Times New Roman" w:eastAsiaTheme="minorEastAsia"/>
          <w:color w:val="auto"/>
          <w:szCs w:val="15"/>
          <w:u w:val="single"/>
        </w:rPr>
        <w:t xml:space="preserve"> </w:t>
      </w:r>
      <w:r>
        <w:rPr>
          <w:rFonts w:hint="eastAsia" w:ascii="宋体" w:hAnsi="宋体" w:cs="宋体"/>
          <w:color w:val="auto"/>
          <w:kern w:val="0"/>
          <w:sz w:val="21"/>
          <w:szCs w:val="21"/>
          <w:u w:val="single"/>
        </w:rPr>
        <w:t>合肥市蜀山区习友路与茂荫路交口投资大厦</w:t>
      </w:r>
      <w:r>
        <w:rPr>
          <w:rFonts w:hint="eastAsia" w:ascii="宋体" w:hAnsi="宋体" w:cs="宋体" w:eastAsiaTheme="minorEastAsia"/>
          <w:color w:val="auto"/>
          <w:kern w:val="0"/>
          <w:szCs w:val="21"/>
          <w:u w:val="single"/>
        </w:rPr>
        <w:t xml:space="preserve"> </w:t>
      </w:r>
    </w:p>
    <w:p>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联系人：</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color w:val="auto"/>
          <w:szCs w:val="15"/>
          <w:u w:val="single"/>
          <w:lang w:val="en-US" w:eastAsia="zh-CN"/>
        </w:rPr>
        <w:t>汪工</w:t>
      </w:r>
      <w:r>
        <w:rPr>
          <w:rFonts w:ascii="Times New Roman" w:hAnsi="Times New Roman" w:cs="Times New Roman" w:eastAsiaTheme="minorEastAsia"/>
          <w:color w:val="auto"/>
          <w:szCs w:val="15"/>
          <w:u w:val="single"/>
        </w:rPr>
        <w:t xml:space="preserve">       </w:t>
      </w:r>
    </w:p>
    <w:p>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电  话：</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color w:val="auto"/>
          <w:szCs w:val="15"/>
          <w:u w:val="single"/>
          <w:lang w:val="en-US" w:eastAsia="zh-CN"/>
        </w:rPr>
        <w:t>0551-63530687</w:t>
      </w:r>
      <w:r>
        <w:rPr>
          <w:rFonts w:ascii="Times New Roman" w:hAnsi="Times New Roman" w:cs="Times New Roman" w:eastAsiaTheme="minorEastAsia"/>
          <w:color w:val="auto"/>
          <w:szCs w:val="15"/>
          <w:u w:val="single"/>
        </w:rPr>
        <w:t xml:space="preserve">  </w:t>
      </w:r>
    </w:p>
    <w:p>
      <w:pPr>
        <w:spacing w:line="360" w:lineRule="auto"/>
        <w:ind w:firstLine="435"/>
        <w:rPr>
          <w:rFonts w:ascii="Times New Roman" w:hAnsi="Times New Roman" w:cs="Times New Roman" w:eastAsiaTheme="minorEastAsia"/>
          <w:b/>
          <w:color w:val="auto"/>
          <w:szCs w:val="15"/>
        </w:rPr>
      </w:pPr>
      <w:r>
        <w:rPr>
          <w:rFonts w:hint="eastAsia" w:ascii="Times New Roman" w:hAnsi="Times New Roman" w:cs="Times New Roman" w:eastAsiaTheme="minorEastAsia"/>
          <w:color w:val="auto"/>
          <w:szCs w:val="15"/>
        </w:rPr>
        <w:t>2</w:t>
      </w:r>
      <w:r>
        <w:rPr>
          <w:rFonts w:ascii="Times New Roman" w:hAnsi="Times New Roman" w:cs="Times New Roman" w:eastAsiaTheme="minorEastAsia"/>
          <w:b/>
          <w:color w:val="auto"/>
          <w:szCs w:val="15"/>
        </w:rPr>
        <w:t>.</w:t>
      </w:r>
      <w:r>
        <w:rPr>
          <w:rFonts w:ascii="Times New Roman" w:hAnsi="Times New Roman" w:cs="Times New Roman" w:eastAsiaTheme="minorEastAsia"/>
          <w:color w:val="auto"/>
          <w:szCs w:val="15"/>
        </w:rPr>
        <w:t>监督管理部门</w:t>
      </w:r>
    </w:p>
    <w:p>
      <w:pPr>
        <w:widowControl/>
        <w:spacing w:line="500" w:lineRule="exact"/>
        <w:ind w:firstLine="420" w:firstLineChars="200"/>
        <w:jc w:val="left"/>
        <w:rPr>
          <w:rFonts w:ascii="Times New Roman" w:hAnsi="Times New Roman" w:eastAsia="宋体" w:cs="Times New Roman"/>
          <w:bCs/>
          <w:snapToGrid w:val="0"/>
          <w:color w:val="auto"/>
          <w:kern w:val="0"/>
          <w:szCs w:val="21"/>
        </w:rPr>
      </w:pPr>
      <w:r>
        <w:rPr>
          <w:rFonts w:ascii="Times New Roman" w:hAnsi="Times New Roman" w:eastAsia="宋体" w:cs="Times New Roman"/>
          <w:bCs/>
          <w:snapToGrid w:val="0"/>
          <w:color w:val="auto"/>
          <w:kern w:val="0"/>
          <w:szCs w:val="21"/>
        </w:rPr>
        <w:t>监督管理部门：</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eastAsiaTheme="minorEastAsia"/>
          <w:color w:val="auto"/>
          <w:szCs w:val="15"/>
          <w:u w:val="single"/>
        </w:rPr>
        <w:t>合肥文旅博览集团有限公司纪委纪检监察室</w:t>
      </w:r>
      <w:r>
        <w:rPr>
          <w:rFonts w:ascii="Times New Roman" w:hAnsi="Times New Roman" w:cs="Times New Roman" w:eastAsiaTheme="minorEastAsia"/>
          <w:color w:val="auto"/>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color w:val="auto"/>
          <w:kern w:val="0"/>
          <w:szCs w:val="21"/>
          <w:u w:val="single"/>
        </w:rPr>
      </w:pPr>
      <w:r>
        <w:rPr>
          <w:rFonts w:ascii="Times New Roman" w:hAnsi="Times New Roman" w:eastAsia="宋体" w:cs="Times New Roman"/>
          <w:bCs/>
          <w:snapToGrid w:val="0"/>
          <w:color w:val="auto"/>
          <w:kern w:val="0"/>
          <w:szCs w:val="21"/>
        </w:rPr>
        <w:t>地  址：</w:t>
      </w:r>
      <w:r>
        <w:rPr>
          <w:rFonts w:ascii="Times New Roman" w:hAnsi="Times New Roman" w:cs="Times New Roman" w:eastAsiaTheme="minorEastAsia"/>
          <w:color w:val="auto"/>
          <w:szCs w:val="15"/>
          <w:u w:val="single"/>
        </w:rPr>
        <w:t xml:space="preserve">  合肥市蜀山区习友路与茂荫路交口投资大厦二楼纪委纪检监察室   </w:t>
      </w:r>
    </w:p>
    <w:p>
      <w:pPr>
        <w:widowControl/>
        <w:spacing w:line="500" w:lineRule="exact"/>
        <w:ind w:firstLine="420" w:firstLineChars="200"/>
        <w:jc w:val="left"/>
        <w:rPr>
          <w:rFonts w:ascii="Times New Roman" w:hAnsi="Times New Roman" w:eastAsia="宋体" w:cs="Times New Roman"/>
          <w:bCs/>
          <w:snapToGrid w:val="0"/>
          <w:color w:val="auto"/>
          <w:kern w:val="0"/>
          <w:szCs w:val="21"/>
        </w:rPr>
      </w:pPr>
      <w:r>
        <w:rPr>
          <w:rFonts w:ascii="Times New Roman" w:hAnsi="Times New Roman" w:eastAsia="宋体" w:cs="Times New Roman"/>
          <w:bCs/>
          <w:snapToGrid w:val="0"/>
          <w:color w:val="auto"/>
          <w:kern w:val="0"/>
          <w:szCs w:val="21"/>
        </w:rPr>
        <w:t>电  话：</w:t>
      </w:r>
      <w:r>
        <w:rPr>
          <w:rFonts w:ascii="Times New Roman" w:hAnsi="Times New Roman" w:cs="Times New Roman" w:eastAsiaTheme="minorEastAsia"/>
          <w:color w:val="auto"/>
          <w:szCs w:val="15"/>
          <w:u w:val="single"/>
        </w:rPr>
        <w:t xml:space="preserve">    </w:t>
      </w:r>
      <w:r>
        <w:rPr>
          <w:rFonts w:ascii="Times New Roman" w:hAnsi="Times New Roman" w:cs="Times New Roman" w:eastAsiaTheme="minorEastAsia"/>
          <w:color w:val="auto"/>
          <w:sz w:val="21"/>
          <w:szCs w:val="15"/>
          <w:u w:val="single"/>
        </w:rPr>
        <w:t xml:space="preserve"> </w:t>
      </w:r>
      <w:r>
        <w:rPr>
          <w:rFonts w:ascii="宋体" w:hAnsi="宋体" w:eastAsia="宋体" w:cs="宋体"/>
          <w:i w:val="0"/>
          <w:iCs w:val="0"/>
          <w:caps w:val="0"/>
          <w:color w:val="auto"/>
          <w:spacing w:val="0"/>
          <w:sz w:val="24"/>
          <w:szCs w:val="24"/>
          <w:u w:val="single"/>
        </w:rPr>
        <w:t>0551-63539209</w:t>
      </w:r>
      <w:r>
        <w:rPr>
          <w:rFonts w:ascii="Times New Roman" w:hAnsi="Times New Roman" w:cs="Times New Roman" w:eastAsiaTheme="minorEastAsia"/>
          <w:color w:val="auto"/>
          <w:szCs w:val="15"/>
          <w:u w:val="single"/>
        </w:rPr>
        <w:t xml:space="preserve">      </w:t>
      </w:r>
    </w:p>
    <w:p>
      <w:pPr>
        <w:spacing w:line="360" w:lineRule="auto"/>
        <w:ind w:firstLine="435"/>
        <w:rPr>
          <w:rFonts w:ascii="Times New Roman" w:hAnsi="Times New Roman" w:cs="Times New Roman" w:eastAsiaTheme="minorEastAsia"/>
          <w:b/>
          <w:color w:val="auto"/>
          <w:sz w:val="24"/>
          <w:szCs w:val="18"/>
        </w:rPr>
      </w:pPr>
      <w:r>
        <w:rPr>
          <w:rFonts w:ascii="Times New Roman" w:hAnsi="Times New Roman" w:cs="Times New Roman" w:eastAsiaTheme="minorEastAsia"/>
          <w:b/>
          <w:color w:val="auto"/>
          <w:sz w:val="24"/>
          <w:szCs w:val="18"/>
        </w:rPr>
        <w:t>七</w:t>
      </w:r>
      <w:r>
        <w:rPr>
          <w:rFonts w:ascii="Times New Roman" w:hAnsi="Times New Roman" w:cs="Times New Roman" w:eastAsiaTheme="minorEastAsia"/>
          <w:b/>
          <w:color w:val="auto"/>
          <w:sz w:val="24"/>
        </w:rPr>
        <w:t>、</w:t>
      </w:r>
      <w:r>
        <w:rPr>
          <w:rFonts w:ascii="Times New Roman" w:hAnsi="Times New Roman" w:cs="Times New Roman" w:eastAsiaTheme="minorEastAsia"/>
          <w:b/>
          <w:color w:val="auto"/>
          <w:sz w:val="24"/>
          <w:szCs w:val="18"/>
        </w:rPr>
        <w:t>其他事项说明</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color w:val="auto"/>
          <w:kern w:val="0"/>
          <w:szCs w:val="21"/>
        </w:rPr>
        <w:t>有任何疑问或问题，请在工作时间（周一至周五，上午</w:t>
      </w:r>
      <w:r>
        <w:rPr>
          <w:rFonts w:ascii="Times New Roman" w:hAnsi="Times New Roman" w:eastAsia="宋体" w:cs="Times New Roman"/>
          <w:bCs/>
          <w:snapToGrid w:val="0"/>
          <w:kern w:val="0"/>
          <w:szCs w:val="21"/>
        </w:rPr>
        <w:t>08:00-12:00，下午2:30-5:30，节假日休息）与项目联系人联系。</w:t>
      </w:r>
    </w:p>
    <w:p>
      <w:pPr>
        <w:spacing w:line="360" w:lineRule="auto"/>
        <w:ind w:firstLine="435"/>
        <w:rPr>
          <w:rFonts w:ascii="Times New Roman" w:hAnsi="Times New Roman" w:cs="Times New Roman" w:eastAsiaTheme="minorEastAsia"/>
          <w:sz w:val="24"/>
          <w:szCs w:val="18"/>
        </w:rPr>
      </w:pPr>
    </w:p>
    <w:p>
      <w:pPr>
        <w:widowControl/>
        <w:jc w:val="left"/>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pPr>
        <w:spacing w:line="360" w:lineRule="auto"/>
        <w:jc w:val="center"/>
        <w:outlineLvl w:val="1"/>
        <w:rPr>
          <w:rFonts w:ascii="Times New Roman" w:hAnsi="Times New Roman" w:cs="Times New Roman" w:eastAsiaTheme="minorEastAsia"/>
          <w:b/>
          <w:sz w:val="28"/>
        </w:rPr>
      </w:pPr>
      <w:bookmarkStart w:id="3" w:name="_Toc1469"/>
      <w:bookmarkStart w:id="4" w:name="_Toc22742"/>
      <w:r>
        <w:rPr>
          <w:rFonts w:ascii="Times New Roman" w:hAnsi="Times New Roman" w:cs="Times New Roman" w:eastAsiaTheme="minorEastAsia"/>
          <w:b/>
          <w:sz w:val="28"/>
        </w:rPr>
        <w:t>第二章  投标人须知</w:t>
      </w:r>
      <w:bookmarkEnd w:id="3"/>
      <w:bookmarkEnd w:id="4"/>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2"/>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855"/>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577" w:type="pct"/>
            <w:vAlign w:val="center"/>
          </w:tcPr>
          <w:p>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072" w:type="pct"/>
            <w:vAlign w:val="center"/>
          </w:tcPr>
          <w:p>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3350" w:type="pct"/>
            <w:vAlign w:val="center"/>
          </w:tcPr>
          <w:p>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072" w:type="pct"/>
            <w:vAlign w:val="center"/>
          </w:tcPr>
          <w:p>
            <w:pPr>
              <w:pStyle w:val="30"/>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eastAsiaTheme="minorEastAsia"/>
                <w:b w:val="0"/>
                <w:sz w:val="21"/>
                <w:szCs w:val="21"/>
                <w:u w:val="none"/>
                <w:lang w:val="en-US" w:eastAsia="zh-CN"/>
              </w:rPr>
              <w:t>询价时间</w:t>
            </w:r>
          </w:p>
        </w:tc>
        <w:tc>
          <w:tcPr>
            <w:tcW w:w="3350" w:type="pct"/>
            <w:vAlign w:val="center"/>
          </w:tcPr>
          <w:p>
            <w:pPr>
              <w:pStyle w:val="30"/>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询价有效期</w:t>
            </w:r>
          </w:p>
        </w:tc>
        <w:tc>
          <w:tcPr>
            <w:tcW w:w="3350"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投标文件要求</w:t>
            </w:r>
          </w:p>
        </w:tc>
        <w:tc>
          <w:tcPr>
            <w:tcW w:w="3350"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u w:val="single"/>
              </w:rPr>
              <w:t>密封纸质投标文件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3350" w:type="pct"/>
            <w:vAlign w:val="center"/>
          </w:tcPr>
          <w:p>
            <w:pPr>
              <w:pStyle w:val="30"/>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072" w:type="pct"/>
            <w:vAlign w:val="center"/>
          </w:tcPr>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3350" w:type="pct"/>
            <w:vAlign w:val="center"/>
          </w:tcPr>
          <w:p>
            <w:pPr>
              <w:pStyle w:val="30"/>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投标人自行登录合肥文旅博览集团有限公司官网查看</w:t>
            </w:r>
          </w:p>
          <w:p>
            <w:pPr>
              <w:pStyle w:val="30"/>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7</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3350" w:type="pct"/>
          </w:tcPr>
          <w:p>
            <w:pPr>
              <w:spacing w:line="360" w:lineRule="auto"/>
              <w:rPr>
                <w:rFonts w:hint="eastAsia" w:ascii="Times New Roman" w:hAnsi="Times New Roman" w:eastAsia="宋体" w:cs="Times New Roman"/>
                <w:bCs/>
                <w:kern w:val="0"/>
                <w:szCs w:val="21"/>
                <w:lang w:eastAsia="zh-CN"/>
              </w:rPr>
            </w:pPr>
            <w:r>
              <w:rPr>
                <w:rFonts w:ascii="Times New Roman" w:hAnsi="Times New Roman" w:eastAsia="宋体" w:cs="Times New Roman"/>
                <w:bCs/>
                <w:kern w:val="0"/>
                <w:szCs w:val="21"/>
              </w:rPr>
              <w:t>（1）金额：</w:t>
            </w:r>
          </w:p>
          <w:p>
            <w:pPr>
              <w:spacing w:line="360" w:lineRule="auto"/>
              <w:rPr>
                <w:rFonts w:ascii="Times New Roman" w:hAnsi="Times New Roman" w:eastAsia="宋体" w:cs="Times New Roman"/>
                <w:bCs/>
                <w:kern w:val="0"/>
                <w:szCs w:val="21"/>
              </w:rPr>
            </w:pPr>
            <w:r>
              <w:rPr>
                <w:rFonts w:hint="eastAsia" w:ascii="Times New Roman" w:hAnsi="Times New Roman" w:eastAsia="宋体" w:cs="Times New Roman"/>
                <w:bCs/>
                <w:kern w:val="0"/>
                <w:szCs w:val="21"/>
                <w:lang w:eastAsia="zh-CN"/>
              </w:rPr>
              <w:t>☑</w:t>
            </w:r>
            <w:r>
              <w:rPr>
                <w:rFonts w:ascii="Times New Roman" w:hAnsi="Times New Roman" w:eastAsia="宋体" w:cs="Times New Roman"/>
                <w:bCs/>
                <w:kern w:val="0"/>
                <w:szCs w:val="21"/>
              </w:rPr>
              <w:t>免收</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8</w:t>
            </w:r>
          </w:p>
        </w:tc>
        <w:tc>
          <w:tcPr>
            <w:tcW w:w="1072" w:type="pct"/>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lang w:val="en-US" w:eastAsia="zh-CN"/>
              </w:rPr>
              <w:t>但不限于</w:t>
            </w:r>
            <w:r>
              <w:rPr>
                <w:rFonts w:ascii="Times New Roman" w:hAnsi="Times New Roman" w:eastAsia="宋体" w:cs="Times New Roman"/>
                <w:szCs w:val="21"/>
              </w:rPr>
              <w:t>所投</w:t>
            </w:r>
            <w:r>
              <w:rPr>
                <w:rFonts w:hint="default" w:ascii="Times New Roman" w:hAnsi="Times New Roman" w:eastAsia="宋体" w:cs="Times New Roman"/>
                <w:szCs w:val="21"/>
                <w:lang w:eastAsia="zh-CN"/>
              </w:rPr>
              <w:t>服务</w:t>
            </w:r>
            <w:r>
              <w:rPr>
                <w:rFonts w:ascii="Times New Roman" w:hAnsi="Times New Roman" w:eastAsia="宋体" w:cs="Times New Roman"/>
                <w:szCs w:val="21"/>
              </w:rPr>
              <w:t>的</w:t>
            </w:r>
            <w:r>
              <w:rPr>
                <w:rFonts w:hint="default" w:ascii="Times New Roman" w:hAnsi="Times New Roman" w:eastAsia="宋体" w:cs="Times New Roman"/>
                <w:spacing w:val="0"/>
                <w:sz w:val="21"/>
                <w:szCs w:val="21"/>
                <w:lang w:val="en-US" w:eastAsia="zh-CN"/>
              </w:rPr>
              <w:t>人工费、保险费、福利费</w:t>
            </w:r>
            <w:r>
              <w:rPr>
                <w:rFonts w:hint="eastAsia" w:asciiTheme="minorEastAsia" w:hAnsiTheme="minorEastAsia" w:eastAsiaTheme="minorEastAsia" w:cstheme="minorEastAsia"/>
                <w:spacing w:val="6"/>
                <w:sz w:val="21"/>
                <w:szCs w:val="21"/>
                <w:lang w:val="en-US" w:eastAsia="zh-CN"/>
              </w:rPr>
              <w:t>、审计费、利润、税金及完成项目应有的全部费用</w:t>
            </w:r>
            <w:r>
              <w:rPr>
                <w:rFonts w:ascii="Times New Roman" w:hAnsi="Times New Roman" w:eastAsia="宋体" w:cs="Times New Roman"/>
                <w:szCs w:val="21"/>
              </w:rPr>
              <w:t>。</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9</w:t>
            </w:r>
          </w:p>
        </w:tc>
        <w:tc>
          <w:tcPr>
            <w:tcW w:w="1072"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50" w:type="pct"/>
            <w:vAlign w:val="center"/>
          </w:tcPr>
          <w:p>
            <w:pPr>
              <w:spacing w:line="360" w:lineRule="auto"/>
              <w:rPr>
                <w:rFonts w:hint="eastAsia" w:ascii="Times New Roman" w:hAnsi="Times New Roman" w:eastAsia="宋体" w:cs="Times New Roman"/>
                <w:szCs w:val="21"/>
                <w:lang w:eastAsia="zh-CN"/>
              </w:rPr>
            </w:pPr>
            <w:r>
              <w:rPr>
                <w:rFonts w:ascii="Times New Roman" w:hAnsi="Times New Roman" w:eastAsia="宋体" w:cs="Times New Roman"/>
                <w:szCs w:val="21"/>
              </w:rPr>
              <w:t>本项目是否要求便利化服务能力：</w:t>
            </w:r>
          </w:p>
          <w:p>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□要求  </w:t>
            </w:r>
            <w:r>
              <w:rPr>
                <w:rFonts w:hint="eastAsia" w:ascii="Times New Roman" w:hAnsi="Times New Roman" w:eastAsia="宋体" w:cs="Times New Roman"/>
                <w:szCs w:val="21"/>
                <w:lang w:eastAsia="zh-CN"/>
              </w:rPr>
              <w:t>☑</w:t>
            </w:r>
            <w:r>
              <w:rPr>
                <w:rFonts w:ascii="Times New Roman" w:hAnsi="Times New Roman" w:eastAsia="宋体" w:cs="Times New Roman"/>
                <w:szCs w:val="21"/>
              </w:rPr>
              <w:t>不要求</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10</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本项目提供除询价文件以外的其他资料</w:t>
            </w:r>
          </w:p>
        </w:tc>
        <w:tc>
          <w:tcPr>
            <w:tcW w:w="3350" w:type="pct"/>
            <w:vAlign w:val="center"/>
          </w:tcPr>
          <w:p>
            <w:pPr>
              <w:spacing w:line="360" w:lineRule="auto"/>
              <w:rPr>
                <w:rFonts w:ascii="Times New Roman" w:hAnsi="Times New Roman" w:cs="Times New Roman" w:eastAsiaTheme="minorEastAsia"/>
                <w:szCs w:val="21"/>
                <w:u w:val="single"/>
              </w:rPr>
            </w:pPr>
            <w:r>
              <w:rPr>
                <w:rFonts w:hint="eastAsia" w:ascii="Times New Roman" w:hAnsi="Times New Roman" w:cs="Times New Roman"/>
                <w:bCs/>
                <w:szCs w:val="21"/>
                <w:lang w:eastAsia="zh-CN"/>
              </w:rPr>
              <w:t>☑</w:t>
            </w:r>
            <w:r>
              <w:rPr>
                <w:rFonts w:ascii="Times New Roman" w:hAnsi="Times New Roman" w:cs="Times New Roman" w:eastAsiaTheme="minorEastAsia"/>
                <w:szCs w:val="21"/>
              </w:rPr>
              <w:t>无   □</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pPr>
              <w:pStyle w:val="30"/>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w:t>
            </w:r>
            <w:r>
              <w:rPr>
                <w:rFonts w:hint="eastAsia" w:ascii="Times New Roman" w:hAnsi="Times New Roman" w:cs="Times New Roman"/>
                <w:sz w:val="21"/>
                <w:szCs w:val="21"/>
                <w:lang w:eastAsia="zh-CN"/>
              </w:rPr>
              <w:t>在合肥</w:t>
            </w:r>
            <w:r>
              <w:rPr>
                <w:rFonts w:ascii="Times New Roman" w:hAnsi="Times New Roman" w:cs="Times New Roman" w:eastAsiaTheme="minorEastAsia"/>
                <w:sz w:val="21"/>
                <w:szCs w:val="21"/>
              </w:rPr>
              <w:t>文旅博览集团有限公司官网自行下载本项目附件。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11</w:t>
            </w:r>
          </w:p>
        </w:tc>
        <w:tc>
          <w:tcPr>
            <w:tcW w:w="1072" w:type="pct"/>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pPr>
              <w:pStyle w:val="2"/>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12</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3350" w:type="pct"/>
            <w:vAlign w:val="center"/>
          </w:tcPr>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pPr>
              <w:pStyle w:val="30"/>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jc w:val="center"/>
              <w:textAlignment w:val="auto"/>
              <w:rPr>
                <w:rFonts w:hint="eastAsia" w:ascii="Times New Roman" w:hAnsi="Times New Roman" w:eastAsia="宋体" w:cs="Times New Roman"/>
                <w:bCs/>
                <w:kern w:val="2"/>
                <w:sz w:val="21"/>
                <w:szCs w:val="21"/>
                <w:lang w:eastAsia="zh-CN"/>
              </w:rPr>
            </w:pPr>
            <w:r>
              <w:rPr>
                <w:rFonts w:ascii="Times New Roman" w:hAnsi="Times New Roman" w:eastAsia="宋体" w:cs="Times New Roman"/>
                <w:bCs/>
                <w:kern w:val="2"/>
                <w:sz w:val="21"/>
                <w:szCs w:val="21"/>
              </w:rPr>
              <w:t>1</w:t>
            </w:r>
            <w:r>
              <w:rPr>
                <w:rFonts w:hint="eastAsia" w:ascii="Times New Roman" w:hAnsi="Times New Roman" w:eastAsia="宋体" w:cs="Times New Roman"/>
                <w:bCs/>
                <w:kern w:val="2"/>
                <w:sz w:val="21"/>
                <w:szCs w:val="21"/>
                <w:lang w:val="en-US" w:eastAsia="zh-CN"/>
              </w:rPr>
              <w:t>3</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3350" w:type="pct"/>
            <w:vAlign w:val="center"/>
          </w:tcPr>
          <w:p>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bl>
    <w:p>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服务</w:t>
      </w:r>
      <w:r>
        <w:rPr>
          <w:rFonts w:ascii="Times New Roman" w:hAnsi="Times New Roman" w:eastAsia="宋体" w:cs="Times New Roman"/>
          <w:szCs w:val="21"/>
        </w:rPr>
        <w:t>采购。</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2.询价文件的澄清与修改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2.1投标人如对询价文件内容有疑问，按投标人须知前附表规定提出。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2.2招标人可主动或在解答投标人提出的问题时对询价文件进行澄清或者修改。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将在合肥文旅博览集团有限公司网站澄清或修改询价文件，投标人应主动上网查询。招标人不承担投标人未及时关注相关信息引发的相关责任。</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在网上发布或书面通知，均作无效处理，不得作为询价文件的组成部分。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2.4对于没有提出疑问又参与了本项目的投标人将被视为完全认同本询价文件（含澄清、修改等内容）。</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3.1投标人应当对所参与的分包询价文件中“采购需求”所列的所有内容进行响应，如仅响应所参与包别中的部分内容，其所参与包别的投标文件将被认定为无效投标。</w:t>
      </w:r>
    </w:p>
    <w:p>
      <w:pPr>
        <w:spacing w:line="360" w:lineRule="auto"/>
        <w:ind w:firstLine="420" w:firstLineChars="200"/>
        <w:rPr>
          <w:rFonts w:ascii="Times New Roman" w:hAnsi="Times New Roman" w:cs="Times New Roman" w:eastAsiaTheme="minorEastAsia"/>
          <w:szCs w:val="21"/>
        </w:rPr>
      </w:pPr>
      <w:bookmarkStart w:id="5" w:name="_Hlk16458980"/>
      <w:r>
        <w:rPr>
          <w:rFonts w:ascii="Times New Roman" w:hAnsi="Times New Roman" w:cs="Times New Roman" w:eastAsiaTheme="minorEastAsia"/>
          <w:szCs w:val="21"/>
        </w:rPr>
        <w:t>3.2无论询价文件中是否要求，投标人所提供的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应符合国家强制性标准。</w:t>
      </w:r>
    </w:p>
    <w:bookmarkEnd w:id="5"/>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3.4除询价文件中有特殊要求外，投标文件中所使用的计量单位，应采用中华人民共和国法定计量单位。</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4.1投标人应完整地按询价文件提供的投标文件格式及要求编写投标文件，具体内容详见本项目第六章投标文件格式的相关内容。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4.2上述文件应按照询价文件规定的格式填写、签署和盖章。</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5.证明响应标的的合格性和符合询价文件规定的技术文件</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.1投标人的报价应当包括满足本次询价全部招标人要求所应提供的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，以及伴随的服务和工程。</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除非询价文件另有规定或经招标人同意支付的，投标人报价不得高于询价文件规定的预算金额或者分项、分包最高限价，否则其投标文件将被认定为无效投标。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及相关服务的单价（如适用）和总价。未标明的视同包含在报价中。</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.询价有效期</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.1询价有效期为从投标文件提交截止之日算起的日历天数，在询价有效期内，投标人的投标文件保持有效，投标人不得要求撤销或修改其投标文件。询价有效期不满足要求的无效投标。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（1）投标文件应装订成册、密封，并在封面注明招标编号、投标项目等，同时在密封处加盖骑缝章；投标文件要求：正、副本各一份。</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6" w:name="_Hlk22476245"/>
      <w:r>
        <w:rPr>
          <w:rFonts w:ascii="Times New Roman" w:hAnsi="Times New Roman" w:cs="Times New Roman" w:eastAsiaTheme="minorEastAsia"/>
          <w:szCs w:val="21"/>
        </w:rPr>
        <w:t>投标文件提交截止时间</w:t>
      </w:r>
      <w:bookmarkEnd w:id="6"/>
      <w:r>
        <w:rPr>
          <w:rFonts w:ascii="Times New Roman" w:hAnsi="Times New Roman" w:cs="Times New Roman" w:eastAsiaTheme="minorEastAsia"/>
          <w:szCs w:val="21"/>
        </w:rPr>
        <w:t>前，将封装的投标文件送到指定开标地点。</w:t>
      </w:r>
    </w:p>
    <w:p>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.2招标人有权按本询价文件的规定，延迟投标文件提交截止时间。在此情况下，招标人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.1投标人应当在第一章“询价公告”规定的投标截止时间前，将封装的投标文件送到指定开标地点。（如询价延期，按最新发布询价时间执行）。</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.终止询价</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（1）通过评审小组的投标人不足规定数量，导致本次询价缺乏竞争的；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（4）询价文件有重大漏洞，导致无法继续评审的；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ascii="Times New Roman" w:hAnsi="Times New Roman" w:cs="Times New Roman" w:eastAsiaTheme="minorEastAsia"/>
          <w:szCs w:val="21"/>
        </w:rPr>
        <w:t>合肥文旅博览集团有限公司官网发布中标结果公告。</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.2询价文件、中标人的投标文件及其澄清文件等，均为签订合同的依据。</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7" w:name="_Toc11969"/>
      <w:bookmarkStart w:id="8" w:name="_Toc17754"/>
      <w:r>
        <w:rPr>
          <w:rFonts w:ascii="Times New Roman" w:hAnsi="Times New Roman" w:cs="Times New Roman" w:eastAsiaTheme="minorEastAsia"/>
          <w:b/>
          <w:sz w:val="28"/>
        </w:rPr>
        <w:t xml:space="preserve">第三章  </w:t>
      </w:r>
      <w:bookmarkEnd w:id="7"/>
      <w:r>
        <w:rPr>
          <w:rFonts w:ascii="Times New Roman" w:hAnsi="Times New Roman" w:cs="Times New Roman" w:eastAsiaTheme="minorEastAsia"/>
          <w:b/>
          <w:sz w:val="28"/>
        </w:rPr>
        <w:t>招标人要求</w:t>
      </w:r>
      <w:bookmarkEnd w:id="8"/>
    </w:p>
    <w:p>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要求应尽可能清晰准确，对于可以进行定量评估的工作，</w:t>
      </w:r>
      <w:r>
        <w:rPr>
          <w:rFonts w:hint="eastAsia" w:ascii="Times New Roman" w:hAnsi="Times New Roman"/>
          <w:sz w:val="21"/>
          <w:szCs w:val="21"/>
        </w:rPr>
        <w:t>招标人</w:t>
      </w:r>
      <w:r>
        <w:rPr>
          <w:rFonts w:ascii="Times New Roman" w:hAnsi="Times New Roman"/>
          <w:sz w:val="21"/>
          <w:szCs w:val="21"/>
        </w:rPr>
        <w:t>要求不仅应明确规定其功能、用途、质量、环境、安全，并且要规定偏差的范围和计算方法，以及检验、试验、试运行的具体要求。对于</w:t>
      </w:r>
      <w:r>
        <w:rPr>
          <w:rFonts w:hint="eastAsia" w:ascii="Times New Roman" w:hAnsi="Times New Roman"/>
          <w:sz w:val="21"/>
          <w:szCs w:val="21"/>
        </w:rPr>
        <w:t>投标人</w:t>
      </w:r>
      <w:r>
        <w:rPr>
          <w:rFonts w:ascii="Times New Roman" w:hAnsi="Times New Roman"/>
          <w:sz w:val="21"/>
          <w:szCs w:val="21"/>
        </w:rPr>
        <w:t>负责提供的有关服务，在</w:t>
      </w:r>
      <w:r>
        <w:rPr>
          <w:rFonts w:hint="eastAsia" w:ascii="Times New Roman" w:hAnsi="Times New Roman"/>
          <w:sz w:val="21"/>
          <w:szCs w:val="21"/>
        </w:rPr>
        <w:t>招标人</w:t>
      </w:r>
      <w:r>
        <w:rPr>
          <w:rFonts w:ascii="Times New Roman" w:hAnsi="Times New Roman"/>
          <w:sz w:val="21"/>
          <w:szCs w:val="21"/>
        </w:rPr>
        <w:t>要求中应一并明确规定。</w:t>
      </w:r>
    </w:p>
    <w:p>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要求通常包括但不限于以下内容：</w:t>
      </w:r>
    </w:p>
    <w:p>
      <w:pPr>
        <w:spacing w:line="360" w:lineRule="auto"/>
        <w:outlineLvl w:val="1"/>
        <w:rPr>
          <w:rFonts w:ascii="Times New Roman" w:hAnsi="Times New Roman"/>
          <w:b/>
          <w:sz w:val="24"/>
          <w:szCs w:val="24"/>
        </w:rPr>
      </w:pPr>
      <w:bookmarkStart w:id="9" w:name="_Toc482188637"/>
      <w:bookmarkStart w:id="10" w:name="_Toc12194"/>
      <w:bookmarkStart w:id="11" w:name="_Toc19590"/>
      <w:r>
        <w:rPr>
          <w:rFonts w:ascii="Times New Roman" w:hAnsi="Times New Roman"/>
          <w:b/>
          <w:sz w:val="24"/>
          <w:szCs w:val="24"/>
        </w:rPr>
        <w:t>一、</w:t>
      </w:r>
      <w:bookmarkEnd w:id="9"/>
      <w:r>
        <w:rPr>
          <w:rFonts w:hint="eastAsia" w:ascii="Times New Roman" w:hAnsi="Times New Roman"/>
          <w:b/>
          <w:sz w:val="24"/>
          <w:szCs w:val="24"/>
        </w:rPr>
        <w:t>项目概况</w:t>
      </w:r>
      <w:bookmarkEnd w:id="10"/>
      <w:bookmarkEnd w:id="11"/>
    </w:p>
    <w:p>
      <w:pPr>
        <w:spacing w:line="360" w:lineRule="auto"/>
        <w:ind w:left="0" w:leftChars="0" w:firstLine="420" w:firstLineChars="200"/>
        <w:rPr>
          <w:rFonts w:hint="default" w:ascii="Times New Roman" w:hAnsi="Times New Roman" w:eastAsiaTheme="minorEastAsia" w:cstheme="minorBidi"/>
          <w:spacing w:val="0"/>
          <w:kern w:val="2"/>
          <w:sz w:val="21"/>
          <w:szCs w:val="21"/>
          <w:lang w:val="en-US" w:eastAsia="zh-CN" w:bidi="ar-SA"/>
        </w:rPr>
      </w:pPr>
      <w:r>
        <w:rPr>
          <w:rFonts w:hint="eastAsia" w:ascii="Times New Roman" w:hAnsi="Times New Roman"/>
          <w:sz w:val="21"/>
          <w:szCs w:val="21"/>
          <w:highlight w:val="none"/>
          <w:lang w:val="en-US" w:eastAsia="zh-CN"/>
        </w:rPr>
        <w:t>1</w:t>
      </w:r>
      <w:r>
        <w:rPr>
          <w:rFonts w:hint="default" w:ascii="Times New Roman" w:hAnsi="Times New Roman" w:eastAsiaTheme="minorEastAsia"/>
          <w:sz w:val="21"/>
          <w:szCs w:val="21"/>
          <w:highlight w:val="none"/>
          <w:lang w:val="en-US" w:eastAsia="zh-CN"/>
        </w:rPr>
        <w:t>、项目位置：</w:t>
      </w:r>
      <w:r>
        <w:rPr>
          <w:rFonts w:hint="default" w:ascii="Times New Roman" w:hAnsi="Times New Roman" w:eastAsiaTheme="minorEastAsia" w:cstheme="minorBidi"/>
          <w:spacing w:val="0"/>
          <w:kern w:val="2"/>
          <w:sz w:val="21"/>
          <w:szCs w:val="21"/>
          <w:lang w:val="en-US" w:eastAsia="zh-CN" w:bidi="ar-SA"/>
        </w:rPr>
        <w:t>合肥国际人才公寓客服中心停车场（合肥市蜀山区茗香路与汤池路交口）</w:t>
      </w:r>
    </w:p>
    <w:p>
      <w:pPr>
        <w:pStyle w:val="21"/>
        <w:ind w:left="0" w:leftChars="0" w:firstLine="420" w:firstLineChars="200"/>
        <w:rPr>
          <w:rFonts w:hint="default" w:ascii="Times New Roman" w:hAnsi="Times New Roman" w:eastAsiaTheme="minorEastAsia" w:cstheme="minorBidi"/>
          <w:spacing w:val="0"/>
          <w:kern w:val="2"/>
          <w:sz w:val="21"/>
          <w:szCs w:val="21"/>
          <w:lang w:val="en-US" w:eastAsia="zh-CN" w:bidi="ar-SA"/>
        </w:rPr>
      </w:pPr>
      <w:r>
        <w:rPr>
          <w:rFonts w:hint="eastAsia" w:ascii="Times New Roman" w:hAnsi="Times New Roman" w:cstheme="minorBidi"/>
          <w:spacing w:val="0"/>
          <w:kern w:val="2"/>
          <w:sz w:val="21"/>
          <w:szCs w:val="21"/>
          <w:lang w:val="en-US" w:eastAsia="zh-CN" w:bidi="ar-SA"/>
        </w:rPr>
        <w:t>2</w:t>
      </w:r>
      <w:r>
        <w:rPr>
          <w:rFonts w:hint="default" w:ascii="Times New Roman" w:hAnsi="Times New Roman" w:eastAsiaTheme="minorEastAsia" w:cstheme="minorBidi"/>
          <w:spacing w:val="0"/>
          <w:kern w:val="2"/>
          <w:sz w:val="21"/>
          <w:szCs w:val="21"/>
          <w:lang w:val="en-US" w:eastAsia="zh-CN" w:bidi="ar-SA"/>
        </w:rPr>
        <w:t>、项目详情：</w:t>
      </w:r>
    </w:p>
    <w:p>
      <w:pPr>
        <w:spacing w:line="360" w:lineRule="auto"/>
        <w:ind w:firstLine="388" w:firstLineChars="200"/>
        <w:rPr>
          <w:rFonts w:hint="eastAsia" w:ascii="宋体" w:hAnsi="宋体" w:eastAsia="宋体" w:cs="宋体"/>
          <w:spacing w:val="-8"/>
          <w:kern w:val="2"/>
          <w:sz w:val="21"/>
          <w:szCs w:val="21"/>
          <w:lang w:val="en-US" w:eastAsia="zh-CN" w:bidi="ar-SA"/>
        </w:rPr>
      </w:pPr>
      <w:r>
        <w:rPr>
          <w:rFonts w:hint="eastAsia" w:ascii="宋体" w:hAnsi="宋体" w:eastAsia="宋体" w:cs="宋体"/>
          <w:spacing w:val="-8"/>
          <w:kern w:val="2"/>
          <w:sz w:val="21"/>
          <w:szCs w:val="21"/>
          <w:lang w:val="en-US" w:eastAsia="zh-CN" w:bidi="ar-SA"/>
        </w:rPr>
        <w:t>1）资产现场照片</w:t>
      </w:r>
    </w:p>
    <w:p>
      <w:pPr>
        <w:pStyle w:val="21"/>
        <w:ind w:left="0" w:leftChars="0" w:firstLineChars="200"/>
        <w:rPr>
          <w:rFonts w:hint="default" w:ascii="宋体" w:hAnsi="宋体" w:eastAsia="宋体" w:cs="宋体"/>
          <w:b w:val="0"/>
          <w:bCs w:val="0"/>
          <w:spacing w:val="-8"/>
          <w:sz w:val="28"/>
          <w:szCs w:val="28"/>
          <w:highlight w:val="none"/>
          <w:lang w:val="en-US"/>
        </w:rPr>
      </w:pPr>
      <w:r>
        <w:rPr>
          <w:sz w:val="21"/>
        </w:rPr>
        <mc:AlternateContent>
          <mc:Choice Requires="wps">
            <w:drawing>
              <wp:anchor distT="0" distB="0" distL="114300" distR="114300" simplePos="0" relativeHeight="251659264" behindDoc="0" locked="0" layoutInCell="1" allowOverlap="1">
                <wp:simplePos x="0" y="0"/>
                <wp:positionH relativeFrom="column">
                  <wp:posOffset>787400</wp:posOffset>
                </wp:positionH>
                <wp:positionV relativeFrom="paragraph">
                  <wp:posOffset>852170</wp:posOffset>
                </wp:positionV>
                <wp:extent cx="4878070" cy="2360930"/>
                <wp:effectExtent l="13970" t="13970" r="22860" b="25400"/>
                <wp:wrapNone/>
                <wp:docPr id="5" name="文本框 5"/>
                <wp:cNvGraphicFramePr/>
                <a:graphic xmlns:a="http://schemas.openxmlformats.org/drawingml/2006/main">
                  <a:graphicData uri="http://schemas.microsoft.com/office/word/2010/wordprocessingShape">
                    <wps:wsp>
                      <wps:cNvSpPr txBox="1"/>
                      <wps:spPr>
                        <a:xfrm>
                          <a:off x="0" y="0"/>
                          <a:ext cx="4878070" cy="2360930"/>
                        </a:xfrm>
                        <a:prstGeom prst="rect">
                          <a:avLst/>
                        </a:prstGeom>
                        <a:noFill/>
                        <a:ln w="28575" cap="flat" cmpd="sng">
                          <a:solidFill>
                            <a:srgbClr val="C0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62pt;margin-top:67.1pt;height:185.9pt;width:384.1pt;z-index:251659264;mso-width-relative:page;mso-height-relative:page;" filled="f" stroked="t" coordsize="21600,21600" o:gfxdata="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7qfrTZAAAACwEAAA8AAAAAAAAA&#10;AQAgAAAAIgAAAGRycy9kb3ducmV2LnhtbFBLAQIUABQAAAAIAIdO4kC4M/nnEAIAAB0EAAAOAAAA&#10;AAAAAAEAIAAAACgBAABkcnMvZTJvRG9jLnhtbFBLBQYAAAAABgAGAFkBAACqBQAAAAA=&#10;">
                <v:fill on="f" focussize="0,0"/>
                <v:stroke weight="2.25pt" color="#C00000" joinstyle="miter"/>
                <v:imagedata o:title=""/>
                <o:lock v:ext="edit" aspectratio="f"/>
                <v:textbox>
                  <w:txbxContent>
                    <w:p/>
                  </w:txbxContent>
                </v:textbox>
              </v:shape>
            </w:pict>
          </mc:Fallback>
        </mc:AlternateContent>
      </w:r>
      <w:r>
        <w:drawing>
          <wp:inline distT="0" distB="0" distL="114300" distR="114300">
            <wp:extent cx="5484495" cy="3329305"/>
            <wp:effectExtent l="0" t="0" r="190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484495" cy="332930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（红线范围内资产为本次需要评估资产）</w:t>
      </w:r>
    </w:p>
    <w:p>
      <w:pPr>
        <w:spacing w:line="360" w:lineRule="auto"/>
        <w:ind w:firstLine="388" w:firstLineChars="200"/>
        <w:rPr>
          <w:rFonts w:hint="eastAsia" w:asciiTheme="minorEastAsia" w:hAnsiTheme="minorEastAsia" w:eastAsiaTheme="minorEastAsia" w:cstheme="minorEastAsia"/>
          <w:spacing w:val="-8"/>
          <w:kern w:val="2"/>
          <w:sz w:val="21"/>
          <w:szCs w:val="21"/>
          <w:lang w:val="en-US" w:eastAsia="zh-CN" w:bidi="ar-SA"/>
        </w:rPr>
      </w:pPr>
      <w:r>
        <w:rPr>
          <w:rFonts w:hint="eastAsia" w:asciiTheme="minorEastAsia" w:hAnsiTheme="minorEastAsia" w:eastAsiaTheme="minorEastAsia" w:cstheme="minorEastAsia"/>
          <w:spacing w:val="-8"/>
          <w:kern w:val="2"/>
          <w:sz w:val="21"/>
          <w:szCs w:val="21"/>
          <w:lang w:val="en-US" w:eastAsia="zh-CN" w:bidi="ar-SA"/>
        </w:rPr>
        <w:t>2）资产明细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121"/>
        <w:gridCol w:w="1747"/>
        <w:gridCol w:w="3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8"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序号</w:t>
            </w:r>
          </w:p>
        </w:tc>
        <w:tc>
          <w:tcPr>
            <w:tcW w:w="2121"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名称</w:t>
            </w:r>
          </w:p>
        </w:tc>
        <w:tc>
          <w:tcPr>
            <w:tcW w:w="1747"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数量</w:t>
            </w:r>
          </w:p>
        </w:tc>
        <w:tc>
          <w:tcPr>
            <w:tcW w:w="3620"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2121"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变压器</w:t>
            </w:r>
          </w:p>
        </w:tc>
        <w:tc>
          <w:tcPr>
            <w:tcW w:w="1747"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w:t>
            </w:r>
          </w:p>
        </w:tc>
        <w:tc>
          <w:tcPr>
            <w:tcW w:w="3620"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型号：S11-M-400/10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2121"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配电箱</w:t>
            </w:r>
          </w:p>
        </w:tc>
        <w:tc>
          <w:tcPr>
            <w:tcW w:w="1747"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w:t>
            </w:r>
          </w:p>
        </w:tc>
        <w:tc>
          <w:tcPr>
            <w:tcW w:w="3620"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尺寸：155</w:t>
            </w:r>
            <w:r>
              <w:rPr>
                <w:rFonts w:hint="eastAsia" w:asciiTheme="minorEastAsia" w:hAnsiTheme="minorEastAsia" w:cstheme="minorEastAsia"/>
                <w:sz w:val="21"/>
                <w:szCs w:val="21"/>
                <w:vertAlign w:val="baseline"/>
                <w:lang w:val="en-US" w:eastAsia="zh-CN"/>
              </w:rPr>
              <w:t>0</w:t>
            </w:r>
            <w:r>
              <w:rPr>
                <w:rFonts w:hint="eastAsia" w:asciiTheme="minorEastAsia" w:hAnsiTheme="minorEastAsia" w:eastAsiaTheme="minorEastAsia" w:cstheme="minorEastAsia"/>
                <w:sz w:val="21"/>
                <w:szCs w:val="21"/>
                <w:vertAlign w:val="baseline"/>
                <w:lang w:val="en-US" w:eastAsia="zh-CN"/>
              </w:rPr>
              <w:t>*122</w:t>
            </w:r>
            <w:r>
              <w:rPr>
                <w:rFonts w:hint="eastAsia" w:asciiTheme="minorEastAsia" w:hAnsiTheme="minorEastAsia" w:cstheme="minorEastAsia"/>
                <w:sz w:val="21"/>
                <w:szCs w:val="21"/>
                <w:vertAlign w:val="baseline"/>
                <w:lang w:val="en-US" w:eastAsia="zh-CN"/>
              </w:rPr>
              <w:t>0</w:t>
            </w:r>
            <w:r>
              <w:rPr>
                <w:rFonts w:hint="eastAsia" w:asciiTheme="minorEastAsia" w:hAnsiTheme="minorEastAsia" w:eastAsiaTheme="minorEastAsia" w:cstheme="minorEastAsia"/>
                <w:sz w:val="21"/>
                <w:szCs w:val="21"/>
                <w:vertAlign w:val="baseline"/>
                <w:lang w:val="en-US" w:eastAsia="zh-CN"/>
              </w:rPr>
              <w:t>*450</w:t>
            </w:r>
            <w:r>
              <w:rPr>
                <w:rFonts w:hint="eastAsia" w:asciiTheme="minorEastAsia" w:hAnsiTheme="minorEastAsia" w:cstheme="minorEastAsia"/>
                <w:sz w:val="21"/>
                <w:szCs w:val="21"/>
                <w:vertAlign w:val="baseline"/>
                <w:lang w:val="en-US" w:eastAsia="zh-CN"/>
              </w:rPr>
              <w:t>0</w:t>
            </w:r>
            <w:r>
              <w:rPr>
                <w:rFonts w:hint="eastAsia" w:asciiTheme="minorEastAsia" w:hAnsiTheme="minorEastAsia" w:eastAsiaTheme="minorEastAsia" w:cstheme="minorEastAsia"/>
                <w:sz w:val="21"/>
                <w:szCs w:val="21"/>
                <w:vertAlign w:val="baseline"/>
                <w:lang w:val="en-US" w:eastAsia="zh-CN"/>
              </w:rPr>
              <w:t>㎜</w:t>
            </w:r>
          </w:p>
        </w:tc>
      </w:tr>
    </w:tbl>
    <w:p>
      <w:pPr>
        <w:pStyle w:val="21"/>
        <w:rPr>
          <w:rFonts w:hint="eastAsia" w:asciiTheme="minorEastAsia" w:hAnsiTheme="minorEastAsia" w:cstheme="minorEastAsia"/>
          <w:szCs w:val="21"/>
          <w:lang w:val="en-US" w:eastAsia="zh-CN"/>
        </w:rPr>
      </w:pPr>
      <w:r>
        <w:rPr>
          <w:rFonts w:hint="eastAsia" w:asciiTheme="minorEastAsia" w:hAnsiTheme="minorEastAsia" w:eastAsiaTheme="minorEastAsia" w:cstheme="minorEastAsia"/>
          <w:color w:val="000000"/>
          <w:sz w:val="21"/>
          <w:szCs w:val="21"/>
          <w:lang w:val="en-US" w:eastAsia="zh-CN"/>
        </w:rPr>
        <w:t>（此表仅供参考，具体以现场实际为准）</w:t>
      </w:r>
    </w:p>
    <w:p>
      <w:pPr>
        <w:spacing w:line="360" w:lineRule="auto"/>
        <w:ind w:firstLine="422" w:firstLineChars="200"/>
        <w:outlineLvl w:val="1"/>
        <w:rPr>
          <w:rFonts w:hint="eastAsia" w:asciiTheme="minorEastAsia" w:hAnsiTheme="minorEastAsia" w:cstheme="minorEastAsia"/>
          <w:b/>
          <w:sz w:val="21"/>
          <w:szCs w:val="21"/>
        </w:rPr>
      </w:pPr>
      <w:bookmarkStart w:id="12" w:name="_Toc20000"/>
      <w:r>
        <w:rPr>
          <w:rFonts w:hint="eastAsia" w:asciiTheme="minorEastAsia" w:hAnsiTheme="minorEastAsia" w:cstheme="minorEastAsia"/>
          <w:b/>
          <w:sz w:val="21"/>
          <w:szCs w:val="21"/>
          <w:lang w:val="en-US" w:eastAsia="zh-CN"/>
        </w:rPr>
        <w:t>二、</w:t>
      </w:r>
      <w:r>
        <w:rPr>
          <w:rFonts w:hint="eastAsia" w:asciiTheme="minorEastAsia" w:hAnsiTheme="minorEastAsia" w:cstheme="minorEastAsia"/>
          <w:b/>
          <w:sz w:val="21"/>
          <w:szCs w:val="21"/>
        </w:rPr>
        <w:t>服务内容及要求</w:t>
      </w:r>
      <w:bookmarkEnd w:id="12"/>
    </w:p>
    <w:p>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1、投标人对合肥国际人才公寓变压器及配电箱进行资产评估，并对应出具资产评估报告。</w:t>
      </w:r>
    </w:p>
    <w:p>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2、根据国家有关法规和行业规定，能够独立客观地进行鉴定评估。在签订委托合同，并且委托方提供完整的评估资料后，在约定时间内将评估报告书初稿报委托人审核并获取意见后72小时内出具评估报告。</w:t>
      </w:r>
    </w:p>
    <w:p>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3、投标人应当对被评估对象进行全面清查，根据委托方提供的资产清单，核实资产账面与实际是否相符，并据此作出鉴定。</w:t>
      </w:r>
    </w:p>
    <w:p>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4、投标人应充分根据资产原值、净值、新旧程度、重置成本、获利能力等因素选用合适的资产评估方法；并优先在持续使用的假设前提下，进行评估。</w:t>
      </w:r>
    </w:p>
    <w:p>
      <w:pPr>
        <w:spacing w:line="520" w:lineRule="exact"/>
        <w:ind w:firstLine="444" w:firstLineChars="200"/>
        <w:outlineLvl w:val="9"/>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5、投</w:t>
      </w:r>
      <w:r>
        <w:rPr>
          <w:rFonts w:hint="eastAsia" w:asciiTheme="minorEastAsia" w:hAnsiTheme="minorEastAsia" w:eastAsiaTheme="minorEastAsia" w:cstheme="minorEastAsia"/>
          <w:b w:val="0"/>
          <w:bCs w:val="0"/>
          <w:spacing w:val="6"/>
          <w:sz w:val="21"/>
          <w:szCs w:val="21"/>
          <w:lang w:val="en-US" w:eastAsia="zh-CN"/>
        </w:rPr>
        <w:t xml:space="preserve">标人出具的资产评估报告应当完整、齐全内容、格式符合《企业国有资产评估报告指南》（中评协[2017]42号）的规定。   </w:t>
      </w:r>
    </w:p>
    <w:p>
      <w:pPr>
        <w:spacing w:line="520" w:lineRule="exact"/>
        <w:ind w:firstLine="0" w:firstLineChars="0"/>
        <w:outlineLvl w:val="9"/>
        <w:rPr>
          <w:rFonts w:hint="eastAsia" w:asciiTheme="minorEastAsia" w:hAnsiTheme="minorEastAsia" w:cstheme="minorEastAsia"/>
          <w:b/>
          <w:sz w:val="21"/>
          <w:szCs w:val="21"/>
          <w:lang w:eastAsia="zh-CN"/>
        </w:rPr>
      </w:pPr>
      <w:r>
        <w:rPr>
          <w:rFonts w:hint="eastAsia" w:asciiTheme="minorEastAsia" w:hAnsiTheme="minorEastAsia" w:cstheme="minorEastAsia"/>
          <w:spacing w:val="6"/>
          <w:sz w:val="21"/>
          <w:szCs w:val="21"/>
          <w:lang w:val="en-US" w:eastAsia="zh-CN"/>
        </w:rPr>
        <w:t>三</w:t>
      </w:r>
      <w:r>
        <w:rPr>
          <w:rFonts w:hint="eastAsia" w:asciiTheme="minorEastAsia" w:hAnsiTheme="minorEastAsia" w:eastAsiaTheme="minorEastAsia" w:cstheme="minorEastAsia"/>
          <w:spacing w:val="6"/>
          <w:sz w:val="21"/>
          <w:szCs w:val="21"/>
          <w:lang w:val="en-US" w:eastAsia="zh-CN"/>
        </w:rPr>
        <w:t>、</w:t>
      </w:r>
      <w:r>
        <w:rPr>
          <w:rFonts w:hint="eastAsia" w:asciiTheme="minorEastAsia" w:hAnsiTheme="minorEastAsia" w:cstheme="minorEastAsia"/>
          <w:b/>
          <w:sz w:val="21"/>
          <w:szCs w:val="21"/>
          <w:lang w:val="en-US" w:eastAsia="zh-CN"/>
        </w:rPr>
        <w:t>服务期限</w:t>
      </w:r>
      <w:r>
        <w:rPr>
          <w:rFonts w:hint="eastAsia" w:asciiTheme="minorEastAsia" w:hAnsiTheme="minorEastAsia" w:cstheme="minorEastAsia"/>
          <w:b/>
          <w:sz w:val="21"/>
          <w:szCs w:val="21"/>
        </w:rPr>
        <w:t>要求</w:t>
      </w:r>
      <w:r>
        <w:rPr>
          <w:rFonts w:hint="eastAsia" w:asciiTheme="minorEastAsia" w:hAnsiTheme="minorEastAsia" w:cstheme="minorEastAsia"/>
          <w:b/>
          <w:sz w:val="21"/>
          <w:szCs w:val="21"/>
          <w:lang w:eastAsia="zh-CN"/>
        </w:rPr>
        <w:t>：</w:t>
      </w:r>
    </w:p>
    <w:p>
      <w:pPr>
        <w:pStyle w:val="21"/>
        <w:numPr>
          <w:ilvl w:val="-1"/>
          <w:numId w:val="0"/>
        </w:numPr>
        <w:spacing w:line="520" w:lineRule="exact"/>
        <w:ind w:left="0" w:leftChars="0" w:firstLine="444" w:firstLineChars="200"/>
        <w:rPr>
          <w:rFonts w:hint="eastAsia" w:asciiTheme="minorEastAsia" w:hAnsiTheme="minorEastAsia" w:cstheme="minorEastAsia"/>
          <w:spacing w:val="6"/>
          <w:szCs w:val="21"/>
          <w:lang w:eastAsia="zh-CN"/>
        </w:rPr>
      </w:pPr>
      <w:r>
        <w:rPr>
          <w:rFonts w:hint="eastAsia" w:asciiTheme="minorEastAsia" w:hAnsiTheme="minorEastAsia" w:eastAsiaTheme="minorEastAsia" w:cstheme="minorEastAsia"/>
          <w:spacing w:val="6"/>
          <w:sz w:val="21"/>
          <w:szCs w:val="21"/>
          <w:lang w:val="en-US" w:eastAsia="zh-CN"/>
        </w:rPr>
        <w:t>投标单位应自中标之日起7个工作日内完成资产评估工作，出具符合委托人要求的评估报告。</w:t>
      </w:r>
    </w:p>
    <w:p>
      <w:pPr>
        <w:spacing w:line="360" w:lineRule="auto"/>
        <w:ind w:firstLine="0" w:firstLineChars="0"/>
        <w:outlineLvl w:val="1"/>
        <w:rPr>
          <w:rFonts w:hint="eastAsia" w:asciiTheme="minorEastAsia" w:hAnsiTheme="minorEastAsia" w:cstheme="minorEastAsia"/>
          <w:b/>
          <w:sz w:val="21"/>
          <w:szCs w:val="21"/>
        </w:rPr>
      </w:pPr>
      <w:bookmarkStart w:id="13" w:name="_Toc4247"/>
      <w:r>
        <w:rPr>
          <w:rFonts w:hint="eastAsia" w:asciiTheme="minorEastAsia" w:hAnsiTheme="minorEastAsia" w:cstheme="minorEastAsia"/>
          <w:b/>
          <w:sz w:val="21"/>
          <w:szCs w:val="21"/>
          <w:lang w:val="en-US" w:eastAsia="zh-CN"/>
        </w:rPr>
        <w:t>四、</w:t>
      </w:r>
      <w:r>
        <w:rPr>
          <w:rFonts w:hint="eastAsia" w:asciiTheme="minorEastAsia" w:hAnsiTheme="minorEastAsia" w:cstheme="minorEastAsia"/>
          <w:b/>
          <w:sz w:val="21"/>
          <w:szCs w:val="21"/>
        </w:rPr>
        <w:t>报价要求</w:t>
      </w:r>
      <w:bookmarkEnd w:id="13"/>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1、本项目采用总价报价，投标单位报投标总价</w:t>
      </w:r>
      <w:r>
        <w:rPr>
          <w:rFonts w:hint="eastAsia" w:asciiTheme="minorEastAsia" w:hAnsiTheme="minorEastAsia" w:cstheme="minorEastAsia"/>
          <w:spacing w:val="6"/>
          <w:sz w:val="21"/>
          <w:szCs w:val="21"/>
          <w:lang w:val="en-US" w:eastAsia="zh-CN"/>
        </w:rPr>
        <w:t>不得高于项目概算金额</w:t>
      </w:r>
      <w:r>
        <w:rPr>
          <w:rFonts w:hint="eastAsia" w:asciiTheme="minorEastAsia" w:hAnsiTheme="minorEastAsia" w:eastAsiaTheme="minorEastAsia" w:cstheme="minorEastAsia"/>
          <w:spacing w:val="6"/>
          <w:sz w:val="21"/>
          <w:szCs w:val="21"/>
          <w:lang w:val="en-US" w:eastAsia="zh-CN"/>
        </w:rPr>
        <w:t>，该总价包括但不限于投标单位的人工费、保险费、福利费、审计费、利润、税金及完成项目应有的全部费用。以投标总价作为评标依据，报价相同的，</w:t>
      </w:r>
      <w:bookmarkStart w:id="14" w:name="_Hlk514735510"/>
      <w:r>
        <w:rPr>
          <w:rFonts w:hint="eastAsia" w:asciiTheme="minorEastAsia" w:hAnsiTheme="minorEastAsia" w:eastAsiaTheme="minorEastAsia" w:cstheme="minorEastAsia"/>
          <w:spacing w:val="6"/>
          <w:sz w:val="21"/>
          <w:szCs w:val="21"/>
          <w:lang w:val="en-US" w:eastAsia="zh-CN"/>
        </w:rPr>
        <w:t>则采取评标委员会抽签方式确定中标单位。</w:t>
      </w:r>
      <w:bookmarkEnd w:id="14"/>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2、投标人需提前自行对项目现场和周围环境进行勘察，勘查现场所发生的费用由投标人自行承担。</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spacing w:val="6"/>
          <w:sz w:val="21"/>
          <w:szCs w:val="21"/>
          <w:lang w:val="en-US" w:eastAsia="zh-CN"/>
        </w:rPr>
        <w:t>3、</w:t>
      </w:r>
      <w:r>
        <w:rPr>
          <w:rFonts w:hint="eastAsia" w:asciiTheme="minorEastAsia" w:hAnsiTheme="minorEastAsia" w:cstheme="minorEastAsia"/>
          <w:spacing w:val="6"/>
          <w:sz w:val="21"/>
          <w:szCs w:val="21"/>
          <w:lang w:val="en-US" w:eastAsia="zh-CN"/>
        </w:rPr>
        <w:t>投标</w:t>
      </w:r>
      <w:r>
        <w:rPr>
          <w:rFonts w:hint="eastAsia" w:asciiTheme="minorEastAsia" w:hAnsiTheme="minorEastAsia" w:eastAsiaTheme="minorEastAsia" w:cstheme="minorEastAsia"/>
          <w:spacing w:val="6"/>
          <w:sz w:val="21"/>
          <w:szCs w:val="21"/>
          <w:lang w:val="en-US" w:eastAsia="zh-CN"/>
        </w:rPr>
        <w:t>总价包括本次评估全部内容及工期的成本、利润、税金、运输费、损耗等所有费用。</w:t>
      </w:r>
    </w:p>
    <w:p>
      <w:pPr>
        <w:spacing w:line="44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lang w:val="en-US" w:eastAsia="zh-CN"/>
        </w:rPr>
        <w:t>4、</w:t>
      </w:r>
      <w:r>
        <w:rPr>
          <w:rFonts w:hint="eastAsia" w:asciiTheme="minorEastAsia" w:hAnsiTheme="minorEastAsia" w:cstheme="minorEastAsia"/>
          <w:sz w:val="21"/>
          <w:szCs w:val="21"/>
        </w:rPr>
        <w:t>投标报价总价不得高于项目概算。</w:t>
      </w:r>
    </w:p>
    <w:p>
      <w:pPr>
        <w:spacing w:line="360" w:lineRule="auto"/>
        <w:outlineLvl w:val="1"/>
        <w:rPr>
          <w:rFonts w:hint="eastAsia" w:asciiTheme="minorEastAsia" w:hAnsiTheme="minorEastAsia" w:cstheme="minorEastAsia"/>
          <w:b/>
          <w:sz w:val="21"/>
          <w:szCs w:val="21"/>
        </w:rPr>
      </w:pPr>
      <w:bookmarkStart w:id="15" w:name="_Toc3469"/>
      <w:r>
        <w:rPr>
          <w:rFonts w:hint="eastAsia" w:asciiTheme="minorEastAsia" w:hAnsiTheme="minorEastAsia" w:cstheme="minorEastAsia"/>
          <w:b/>
          <w:sz w:val="21"/>
          <w:szCs w:val="21"/>
          <w:lang w:val="en-US" w:eastAsia="zh-CN"/>
        </w:rPr>
        <w:t>六、</w:t>
      </w:r>
      <w:r>
        <w:rPr>
          <w:rFonts w:hint="eastAsia" w:asciiTheme="minorEastAsia" w:hAnsiTheme="minorEastAsia" w:cstheme="minorEastAsia"/>
          <w:b/>
          <w:sz w:val="21"/>
          <w:szCs w:val="21"/>
        </w:rPr>
        <w:t>付款方式</w:t>
      </w:r>
      <w:bookmarkEnd w:id="15"/>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中标人与委托人签订合同，中标人完成全部评估并出具符合委托人要求的评估报告后30日内一次性支付评估费用。</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注：（1）在招标人付款前，中标人需向招标人交付等额的增值税专用发票，否则招标人有权拒绝或者延迟付款，且不承担违约责任。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eastAsia="宋体"/>
          <w:spacing w:val="6"/>
          <w:sz w:val="28"/>
          <w:szCs w:val="28"/>
          <w:lang w:val="en-US" w:eastAsia="zh-CN"/>
        </w:rPr>
      </w:pPr>
      <w:r>
        <w:rPr>
          <w:rFonts w:hint="eastAsia" w:asciiTheme="minorEastAsia" w:hAnsiTheme="minorEastAsia" w:eastAsiaTheme="minorEastAsia" w:cstheme="minorEastAsia"/>
          <w:spacing w:val="6"/>
          <w:sz w:val="21"/>
          <w:szCs w:val="21"/>
          <w:lang w:val="en-US" w:eastAsia="zh-CN"/>
        </w:rPr>
        <w:t>（2）投标人提交的投标文件中如有关于付款条件的表述与询价文件规定不符，投标无效。</w:t>
      </w:r>
    </w:p>
    <w:p>
      <w:pPr>
        <w:spacing w:line="360" w:lineRule="auto"/>
        <w:ind w:firstLine="480" w:firstLineChars="200"/>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1"/>
        <w:rPr>
          <w:rFonts w:ascii="Times New Roman" w:hAnsi="Times New Roman" w:cs="Times New Roman" w:eastAsiaTheme="minorEastAsia"/>
          <w:b/>
          <w:sz w:val="28"/>
        </w:rPr>
      </w:pPr>
      <w:bookmarkStart w:id="16" w:name="_Toc17615"/>
      <w:bookmarkStart w:id="17" w:name="_Toc12042"/>
      <w:r>
        <w:rPr>
          <w:rFonts w:ascii="Times New Roman" w:hAnsi="Times New Roman" w:cs="Times New Roman" w:eastAsiaTheme="minorEastAsia"/>
          <w:b/>
          <w:sz w:val="28"/>
        </w:rPr>
        <w:t>第四章  评审方法和标准</w:t>
      </w:r>
      <w:bookmarkEnd w:id="16"/>
      <w:bookmarkEnd w:id="17"/>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本项目将按照询价文件的相关要求及本章的规定评审。</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pPr>
        <w:spacing w:line="360" w:lineRule="auto"/>
        <w:ind w:firstLine="420" w:firstLineChars="200"/>
        <w:rPr>
          <w:rFonts w:ascii="Times New Roman" w:hAnsi="Times New Roman" w:cs="Times New Roman" w:eastAsiaTheme="minorEastAsia"/>
          <w:szCs w:val="16"/>
        </w:rPr>
      </w:pPr>
      <w:bookmarkStart w:id="18"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szCs w:val="16"/>
        </w:rPr>
        <w:t>最低</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2.评审小组按照“客观公正，实事求是”的原则，评价参加本次询价的投标人所提供的产品或服务价格、性能、质量、服务及对询价文件的符合性及响应性。</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3.评审小组应认真研究询价文件的要求。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4.1满足询价文件的实质性要求；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4.4评审小组依据询价文件认定的其他原则。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2"/>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919"/>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jc w:val="center"/>
        </w:trPr>
        <w:tc>
          <w:tcPr>
            <w:tcW w:w="514"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19" w:name="_Hlk16461707"/>
            <w:r>
              <w:rPr>
                <w:rFonts w:ascii="Times New Roman" w:hAnsi="Times New Roman" w:cs="Times New Roman" w:eastAsiaTheme="minorEastAsia"/>
                <w:szCs w:val="21"/>
              </w:rPr>
              <w:t>序号</w:t>
            </w:r>
          </w:p>
        </w:tc>
        <w:tc>
          <w:tcPr>
            <w:tcW w:w="1159" w:type="pct"/>
            <w:tcBorders>
              <w:bottom w:val="single" w:color="auto" w:sz="4" w:space="0"/>
            </w:tcBorders>
            <w:vAlign w:val="center"/>
          </w:tcPr>
          <w:p>
            <w:pPr>
              <w:pStyle w:val="3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3326"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4"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159" w:type="pct"/>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3326" w:type="pct"/>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4"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2</w:t>
            </w:r>
          </w:p>
        </w:tc>
        <w:tc>
          <w:tcPr>
            <w:tcW w:w="1159"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3326"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4"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3</w:t>
            </w:r>
          </w:p>
        </w:tc>
        <w:tc>
          <w:tcPr>
            <w:tcW w:w="1159"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投标函</w:t>
            </w:r>
          </w:p>
        </w:tc>
        <w:tc>
          <w:tcPr>
            <w:tcW w:w="3326"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4"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w:t>
            </w:r>
          </w:p>
        </w:tc>
        <w:tc>
          <w:tcPr>
            <w:tcW w:w="1159" w:type="pct"/>
            <w:vAlign w:val="center"/>
          </w:tcPr>
          <w:p>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授权书</w:t>
            </w:r>
          </w:p>
        </w:tc>
        <w:tc>
          <w:tcPr>
            <w:tcW w:w="3326" w:type="pct"/>
            <w:vAlign w:val="center"/>
          </w:tcPr>
          <w:p>
            <w:pPr>
              <w:adjustRightInd w:val="0"/>
              <w:snapToGrid w:val="0"/>
              <w:spacing w:line="240" w:lineRule="auto"/>
              <w:ind w:right="-10" w:rightChars="0"/>
              <w:jc w:val="left"/>
              <w:rPr>
                <w:rFonts w:ascii="Calibri" w:hAnsi="Calibri" w:cs="Times New Roman" w:eastAsiaTheme="minorEastAsia"/>
                <w:kern w:val="2"/>
                <w:sz w:val="21"/>
                <w:szCs w:val="21"/>
                <w:lang w:val="en-US" w:eastAsia="zh-CN" w:bidi="ar-SA"/>
              </w:rPr>
            </w:pPr>
            <w:r>
              <w:rPr>
                <w:rFonts w:hint="eastAsia" w:cs="Times New Roman"/>
                <w:kern w:val="2"/>
                <w:sz w:val="21"/>
                <w:szCs w:val="21"/>
              </w:rPr>
              <w:t>符合</w:t>
            </w:r>
            <w:r>
              <w:rPr>
                <w:rFonts w:hint="eastAsia" w:ascii="Times New Roman" w:hAnsi="Times New Roman" w:cs="Times New Roman" w:eastAsiaTheme="minorEastAsia"/>
                <w:sz w:val="21"/>
                <w:szCs w:val="21"/>
                <w:lang w:eastAsia="zh-CN"/>
              </w:rPr>
              <w:t>询价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w:t>
            </w:r>
            <w:r>
              <w:rPr>
                <w:rFonts w:hint="eastAsia" w:ascii="Times New Roman" w:hAnsi="Times New Roman" w:cs="Times New Roman"/>
                <w:szCs w:val="21"/>
                <w:lang w:eastAsia="zh-CN"/>
              </w:rPr>
              <w:t>效投</w:t>
            </w:r>
            <w:r>
              <w:rPr>
                <w:rFonts w:ascii="Times New Roman" w:hAnsi="Times New Roman" w:cs="Times New Roman" w:eastAsiaTheme="minorEastAsia"/>
                <w:szCs w:val="21"/>
              </w:rPr>
              <w:t>标进行评审，未列入上表中的指标不得作为否决投标依据。符合评审指标通过标准的，为有效投标。</w:t>
            </w:r>
          </w:p>
        </w:tc>
      </w:tr>
      <w:bookmarkEnd w:id="18"/>
      <w:bookmarkEnd w:id="19"/>
    </w:tbl>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8.1对通过评审的有效投标人，按其最终报价由低到高的顺序选出中标人。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11.投标人最终报价与公布的预算价（或最高投标限价（招标控制价）)相比降幅过小，或投标人最终报价明显缺乏竞争性的，评审小组可以否决所有投标。</w:t>
      </w:r>
    </w:p>
    <w:p>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pPr>
        <w:ind w:left="420"/>
        <w:jc w:val="center"/>
        <w:rPr>
          <w:rFonts w:hint="eastAsia" w:eastAsiaTheme="minorEastAsia"/>
          <w:b/>
          <w:color w:val="000000"/>
          <w:sz w:val="48"/>
          <w:szCs w:val="48"/>
          <w:lang w:eastAsia="zh-CN"/>
        </w:rPr>
      </w:pPr>
      <w:bookmarkStart w:id="20" w:name="_Toc28197"/>
      <w:r>
        <w:rPr>
          <w:rFonts w:hint="eastAsia"/>
          <w:b/>
          <w:color w:val="000000"/>
          <w:sz w:val="48"/>
          <w:szCs w:val="48"/>
          <w:lang w:eastAsia="zh-CN"/>
        </w:rPr>
        <w:t>合肥国际人才公寓闲置变压器及配电箱</w:t>
      </w:r>
      <w:r>
        <w:rPr>
          <w:rFonts w:hint="eastAsia"/>
          <w:b/>
          <w:color w:val="000000"/>
          <w:sz w:val="48"/>
          <w:szCs w:val="48"/>
        </w:rPr>
        <w:t>资产评估服务合同</w:t>
      </w:r>
      <w:r>
        <w:rPr>
          <w:rFonts w:hint="eastAsia"/>
          <w:b/>
          <w:color w:val="000000"/>
          <w:sz w:val="48"/>
          <w:szCs w:val="48"/>
          <w:lang w:eastAsia="zh-CN"/>
        </w:rPr>
        <w:t>（</w:t>
      </w:r>
      <w:r>
        <w:rPr>
          <w:rFonts w:hint="eastAsia"/>
          <w:b/>
          <w:color w:val="000000"/>
          <w:sz w:val="48"/>
          <w:szCs w:val="48"/>
          <w:lang w:val="en-US" w:eastAsia="zh-CN"/>
        </w:rPr>
        <w:t>供参考</w:t>
      </w:r>
      <w:r>
        <w:rPr>
          <w:rFonts w:hint="eastAsia"/>
          <w:b/>
          <w:color w:val="000000"/>
          <w:sz w:val="48"/>
          <w:szCs w:val="48"/>
          <w:lang w:eastAsia="zh-CN"/>
        </w:rPr>
        <w:t>）</w:t>
      </w:r>
    </w:p>
    <w:p>
      <w:pPr>
        <w:rPr>
          <w:b/>
          <w:color w:val="000000"/>
          <w:sz w:val="52"/>
          <w:szCs w:val="52"/>
        </w:rPr>
      </w:pPr>
    </w:p>
    <w:p>
      <w:pPr>
        <w:widowControl/>
        <w:spacing w:before="109" w:line="440" w:lineRule="atLeast"/>
        <w:ind w:firstLine="640"/>
        <w:rPr>
          <w:rFonts w:ascii="黑体" w:hAnsi="Times New Roman" w:eastAsia="黑体"/>
          <w:color w:val="000000"/>
          <w:kern w:val="0"/>
          <w:sz w:val="32"/>
          <w:szCs w:val="32"/>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hint="eastAsia" w:ascii="宋体" w:hAnsi="宋体"/>
          <w:color w:val="000000"/>
        </w:rPr>
      </w:pPr>
    </w:p>
    <w:p>
      <w:pPr>
        <w:pStyle w:val="8"/>
        <w:ind w:firstLine="199" w:firstLineChars="95"/>
        <w:rPr>
          <w:rFonts w:ascii="宋体" w:hAnsi="宋体"/>
          <w:color w:val="000000"/>
        </w:rPr>
      </w:pPr>
    </w:p>
    <w:p>
      <w:pPr>
        <w:jc w:val="left"/>
        <w:rPr>
          <w:rFonts w:hint="eastAsia" w:ascii="宋体" w:hAnsi="宋体"/>
          <w:color w:val="000000"/>
        </w:rPr>
      </w:pPr>
    </w:p>
    <w:p>
      <w:pPr>
        <w:jc w:val="left"/>
        <w:rPr>
          <w:rFonts w:ascii="宋体" w:hAnsi="宋体"/>
          <w:color w:val="000000"/>
        </w:rPr>
      </w:pPr>
    </w:p>
    <w:p>
      <w:pPr>
        <w:ind w:firstLine="562" w:firstLineChars="200"/>
        <w:jc w:val="left"/>
        <w:rPr>
          <w:rFonts w:ascii="宋体" w:hAnsi="宋体"/>
          <w:b/>
          <w:color w:val="000000"/>
          <w:sz w:val="28"/>
          <w:szCs w:val="28"/>
        </w:rPr>
      </w:pPr>
      <w:r>
        <w:rPr>
          <w:rFonts w:hint="eastAsia" w:ascii="宋体" w:hAnsi="宋体"/>
          <w:b/>
          <w:color w:val="000000"/>
          <w:sz w:val="28"/>
          <w:szCs w:val="28"/>
        </w:rPr>
        <w:t>委托人：</w:t>
      </w:r>
      <w:r>
        <w:rPr>
          <w:rFonts w:hint="eastAsia" w:ascii="宋体" w:hAnsi="宋体"/>
          <w:color w:val="000000"/>
          <w:sz w:val="28"/>
          <w:szCs w:val="28"/>
        </w:rPr>
        <w:t>合肥文旅博览集团有限公司</w:t>
      </w:r>
      <w:r>
        <w:rPr>
          <w:rFonts w:hint="eastAsia" w:ascii="宋体" w:hAnsi="宋体"/>
          <w:b/>
          <w:color w:val="000000"/>
          <w:sz w:val="28"/>
          <w:szCs w:val="28"/>
        </w:rPr>
        <w:t xml:space="preserve"> </w:t>
      </w:r>
    </w:p>
    <w:p>
      <w:pPr>
        <w:ind w:firstLine="562" w:firstLineChars="200"/>
        <w:jc w:val="left"/>
        <w:rPr>
          <w:rFonts w:ascii="宋体" w:hAnsi="宋体"/>
          <w:color w:val="000000"/>
          <w:sz w:val="28"/>
          <w:szCs w:val="28"/>
          <w:u w:val="single"/>
        </w:rPr>
      </w:pPr>
      <w:r>
        <w:rPr>
          <w:rFonts w:hint="eastAsia" w:ascii="宋体" w:hAnsi="宋体"/>
          <w:b/>
          <w:color w:val="000000"/>
          <w:sz w:val="28"/>
          <w:szCs w:val="28"/>
        </w:rPr>
        <w:t>受托人：</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pPr>
        <w:ind w:firstLine="551" w:firstLineChars="196"/>
        <w:rPr>
          <w:rFonts w:ascii="宋体" w:hAnsi="宋体" w:cs="宋体"/>
          <w:color w:val="000000"/>
          <w:kern w:val="0"/>
          <w:sz w:val="20"/>
          <w:szCs w:val="20"/>
        </w:rPr>
      </w:pPr>
      <w:r>
        <w:rPr>
          <w:rFonts w:hint="eastAsia" w:ascii="宋体" w:hAnsi="宋体"/>
          <w:b/>
          <w:color w:val="000000"/>
          <w:sz w:val="28"/>
          <w:szCs w:val="28"/>
        </w:rPr>
        <w:t>合同编号：</w:t>
      </w:r>
      <w:r>
        <w:rPr>
          <w:rFonts w:hint="eastAsia" w:ascii="宋体" w:hAnsi="宋体"/>
          <w:color w:val="000000"/>
          <w:sz w:val="28"/>
          <w:szCs w:val="28"/>
        </w:rPr>
        <w:t>文旅博览（202</w:t>
      </w:r>
      <w:r>
        <w:rPr>
          <w:rFonts w:hint="eastAsia" w:ascii="宋体" w:hAnsi="宋体"/>
          <w:color w:val="000000"/>
          <w:sz w:val="28"/>
          <w:szCs w:val="28"/>
          <w:lang w:val="en-US" w:eastAsia="zh-CN"/>
        </w:rPr>
        <w:t>4</w:t>
      </w:r>
      <w:r>
        <w:rPr>
          <w:rFonts w:hint="eastAsia" w:ascii="宋体" w:hAnsi="宋体"/>
          <w:color w:val="000000"/>
          <w:sz w:val="28"/>
          <w:szCs w:val="28"/>
        </w:rPr>
        <w:t>）第   号合同</w:t>
      </w:r>
    </w:p>
    <w:p>
      <w:pPr>
        <w:ind w:firstLine="562" w:firstLineChars="200"/>
        <w:rPr>
          <w:rFonts w:ascii="宋体" w:hAnsi="宋体"/>
          <w:b/>
          <w:color w:val="000000"/>
          <w:sz w:val="28"/>
          <w:szCs w:val="28"/>
          <w:u w:val="single"/>
        </w:rPr>
      </w:pPr>
    </w:p>
    <w:p>
      <w:pPr>
        <w:sectPr>
          <w:pgSz w:w="11906" w:h="16838"/>
          <w:pgMar w:top="1440" w:right="1800" w:bottom="1440" w:left="1800" w:header="851" w:footer="992" w:gutter="0"/>
          <w:cols w:space="425" w:num="1"/>
          <w:docGrid w:type="lines" w:linePitch="312" w:charSpace="0"/>
        </w:sectPr>
      </w:pPr>
    </w:p>
    <w:p>
      <w:pPr>
        <w:spacing w:line="360" w:lineRule="auto"/>
        <w:ind w:firstLine="480" w:firstLineChars="200"/>
        <w:rPr>
          <w:rFonts w:ascii="宋体" w:hAnsi="宋体"/>
          <w:color w:val="000000"/>
          <w:sz w:val="24"/>
          <w:szCs w:val="24"/>
        </w:rPr>
        <w:sectPr>
          <w:type w:val="continuous"/>
          <w:pgSz w:w="11906" w:h="16838"/>
          <w:pgMar w:top="1440" w:right="1800" w:bottom="1440" w:left="1800" w:header="851" w:footer="992" w:gutter="0"/>
          <w:cols w:space="425" w:num="1"/>
          <w:docGrid w:type="lines" w:linePitch="312" w:charSpace="0"/>
        </w:sectPr>
      </w:pPr>
    </w:p>
    <w:p>
      <w:pPr>
        <w:pStyle w:val="55"/>
        <w:spacing w:line="531" w:lineRule="exact"/>
        <w:ind w:left="0" w:leftChars="0" w:firstLine="0" w:firstLineChars="0"/>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lang w:val="en-US" w:eastAsia="zh-CN"/>
        </w:rPr>
        <w:t>评估</w:t>
      </w:r>
      <w:r>
        <w:rPr>
          <w:rFonts w:hint="eastAsia" w:asciiTheme="minorEastAsia" w:hAnsiTheme="minorEastAsia" w:eastAsiaTheme="minorEastAsia" w:cstheme="minorEastAsia"/>
          <w:b/>
          <w:kern w:val="0"/>
          <w:sz w:val="28"/>
          <w:szCs w:val="28"/>
        </w:rPr>
        <w:t>业务约定书</w:t>
      </w:r>
    </w:p>
    <w:p>
      <w:pPr>
        <w:pStyle w:val="55"/>
        <w:spacing w:line="531" w:lineRule="exact"/>
        <w:ind w:left="0" w:leftChars="0" w:firstLine="0" w:firstLineChars="0"/>
        <w:jc w:val="right"/>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文旅博览（202</w:t>
      </w:r>
      <w:r>
        <w:rPr>
          <w:rFonts w:hint="eastAsia" w:asciiTheme="minorEastAsia" w:hAnsiTheme="minorEastAsia" w:eastAsiaTheme="minorEastAsia" w:cstheme="minorEastAsia"/>
          <w:b w:val="0"/>
          <w:bCs/>
          <w:kern w:val="0"/>
          <w:sz w:val="21"/>
          <w:szCs w:val="21"/>
          <w:lang w:val="en-US" w:eastAsia="zh-CN"/>
        </w:rPr>
        <w:t>4</w:t>
      </w:r>
      <w:r>
        <w:rPr>
          <w:rFonts w:hint="eastAsia" w:asciiTheme="minorEastAsia" w:hAnsiTheme="minorEastAsia" w:eastAsiaTheme="minorEastAsia" w:cstheme="minorEastAsia"/>
          <w:b w:val="0"/>
          <w:bCs/>
          <w:kern w:val="0"/>
          <w:sz w:val="21"/>
          <w:szCs w:val="21"/>
        </w:rPr>
        <w:t>）第</w:t>
      </w:r>
      <w:r>
        <w:rPr>
          <w:rFonts w:hint="eastAsia" w:asciiTheme="minorEastAsia" w:hAnsiTheme="minorEastAsia" w:eastAsiaTheme="minorEastAsia" w:cstheme="minorEastAsia"/>
          <w:b w:val="0"/>
          <w:bCs/>
          <w:kern w:val="0"/>
          <w:sz w:val="21"/>
          <w:szCs w:val="21"/>
          <w:lang w:val="en-US" w:eastAsia="zh-CN"/>
        </w:rPr>
        <w:t xml:space="preserve">   </w:t>
      </w:r>
      <w:r>
        <w:rPr>
          <w:rFonts w:hint="eastAsia" w:asciiTheme="minorEastAsia" w:hAnsiTheme="minorEastAsia" w:eastAsiaTheme="minorEastAsia" w:cstheme="minorEastAsia"/>
          <w:b w:val="0"/>
          <w:bCs/>
          <w:kern w:val="0"/>
          <w:sz w:val="21"/>
          <w:szCs w:val="21"/>
        </w:rPr>
        <w:t>号合同</w:t>
      </w:r>
    </w:p>
    <w:p>
      <w:pPr>
        <w:pStyle w:val="55"/>
        <w:keepNext w:val="0"/>
        <w:keepLines w:val="0"/>
        <w:pageBreakBefore w:val="0"/>
        <w:kinsoku/>
        <w:wordWrap/>
        <w:overflowPunct/>
        <w:topLinePunct w:val="0"/>
        <w:autoSpaceDE/>
        <w:autoSpaceDN/>
        <w:bidi w:val="0"/>
        <w:spacing w:line="520" w:lineRule="atLeast"/>
        <w:ind w:left="0" w:leftChars="0" w:firstLine="0" w:firstLineChars="0"/>
        <w:jc w:val="both"/>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委托方（甲方）：</w:t>
      </w:r>
      <w:r>
        <w:rPr>
          <w:rFonts w:hint="eastAsia" w:asciiTheme="minorEastAsia" w:hAnsiTheme="minorEastAsia" w:eastAsiaTheme="minorEastAsia" w:cstheme="minorEastAsia"/>
          <w:kern w:val="0"/>
          <w:sz w:val="21"/>
          <w:szCs w:val="21"/>
          <w:highlight w:val="none"/>
          <w:lang w:val="en-US" w:eastAsia="zh-CN"/>
        </w:rPr>
        <w:t>合肥文旅博览集团有限公司</w:t>
      </w:r>
    </w:p>
    <w:p>
      <w:pPr>
        <w:pStyle w:val="55"/>
        <w:keepNext w:val="0"/>
        <w:keepLines w:val="0"/>
        <w:pageBreakBefore w:val="0"/>
        <w:kinsoku/>
        <w:wordWrap/>
        <w:overflowPunct/>
        <w:topLinePunct w:val="0"/>
        <w:autoSpaceDE/>
        <w:autoSpaceDN/>
        <w:bidi w:val="0"/>
        <w:spacing w:line="520" w:lineRule="atLeast"/>
        <w:ind w:left="0" w:leftChars="0" w:firstLine="0" w:firstLineChars="0"/>
        <w:jc w:val="both"/>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eastAsia="zh-CN"/>
        </w:rPr>
        <w:t>受托方（乙方）：</w:t>
      </w:r>
      <w:r>
        <w:rPr>
          <w:rFonts w:hint="eastAsia" w:asciiTheme="minorEastAsia" w:hAnsiTheme="minorEastAsia" w:eastAsiaTheme="minorEastAsia" w:cstheme="minorEastAsia"/>
          <w:kern w:val="0"/>
          <w:sz w:val="21"/>
          <w:szCs w:val="21"/>
          <w:highlight w:val="none"/>
          <w:lang w:val="en-US" w:eastAsia="zh-CN"/>
        </w:rPr>
        <w:t xml:space="preserve">    </w:t>
      </w:r>
    </w:p>
    <w:p>
      <w:pPr>
        <w:pStyle w:val="55"/>
        <w:keepNext w:val="0"/>
        <w:keepLines w:val="0"/>
        <w:pageBreakBefore w:val="0"/>
        <w:kinsoku/>
        <w:wordWrap/>
        <w:overflowPunct/>
        <w:topLinePunct w:val="0"/>
        <w:autoSpaceDE/>
        <w:autoSpaceDN/>
        <w:bidi w:val="0"/>
        <w:spacing w:line="520" w:lineRule="atLeast"/>
        <w:ind w:firstLine="620"/>
        <w:jc w:val="both"/>
        <w:textAlignment w:val="auto"/>
        <w:rPr>
          <w:rFonts w:hint="eastAsia" w:asciiTheme="minorEastAsia" w:hAnsiTheme="minorEastAsia" w:eastAsiaTheme="minorEastAsia" w:cstheme="minorEastAsia"/>
          <w:kern w:val="0"/>
          <w:sz w:val="21"/>
          <w:szCs w:val="21"/>
          <w:highlight w:val="none"/>
          <w:lang w:val="en-US" w:eastAsia="zh-CN"/>
        </w:rPr>
      </w:pP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甲乙双方根据《中华人民共和国民法典》及《资产评估执业准则——资产评估委托合同》的规定，为明确双方的权利和义务，经双方协商同意签订本合同。</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一、评估目的</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sz w:val="21"/>
          <w:szCs w:val="21"/>
          <w:lang w:val="en-US" w:eastAsia="zh-CN"/>
        </w:rPr>
        <w:t>合肥文旅博览集团有限公司</w:t>
      </w:r>
      <w:r>
        <w:rPr>
          <w:rFonts w:hint="eastAsia" w:asciiTheme="minorEastAsia" w:hAnsiTheme="minorEastAsia" w:eastAsiaTheme="minorEastAsia" w:cstheme="minorEastAsia"/>
          <w:sz w:val="21"/>
          <w:szCs w:val="21"/>
        </w:rPr>
        <w:t>拟处置</w:t>
      </w:r>
      <w:r>
        <w:rPr>
          <w:rFonts w:hint="eastAsia" w:asciiTheme="minorEastAsia" w:hAnsiTheme="minorEastAsia" w:eastAsiaTheme="minorEastAsia" w:cstheme="minorEastAsia"/>
          <w:sz w:val="21"/>
          <w:szCs w:val="21"/>
          <w:lang w:eastAsia="zh-CN"/>
        </w:rPr>
        <w:t>的合肥国际人才公寓闲置变压器及配电箱资产评估</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对该经济行为所涉及的资产于评估基准日的市场价值进行评估，</w:t>
      </w:r>
      <w:r>
        <w:rPr>
          <w:rFonts w:hint="eastAsia" w:asciiTheme="minorEastAsia" w:hAnsiTheme="minorEastAsia" w:eastAsiaTheme="minorEastAsia" w:cstheme="minorEastAsia"/>
          <w:sz w:val="21"/>
          <w:szCs w:val="21"/>
        </w:rPr>
        <w:t>本次评估为上述经济行为提供价值参考依据。</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sz w:val="21"/>
          <w:szCs w:val="21"/>
        </w:rPr>
        <w:t>二、评估对象和评估范围：</w:t>
      </w:r>
      <w:r>
        <w:rPr>
          <w:rFonts w:hint="eastAsia" w:asciiTheme="minorEastAsia" w:hAnsiTheme="minorEastAsia" w:eastAsiaTheme="minorEastAsia" w:cstheme="minorEastAsia"/>
          <w:sz w:val="21"/>
          <w:szCs w:val="21"/>
          <w:lang w:val="en-US" w:eastAsia="zh-CN"/>
        </w:rPr>
        <w:t>评估对象为合肥文旅博览集团有限公司拟处置的合肥国际人才公寓闲置变压器及配电箱资产的市场价值；评估范围为合肥文旅博览集团有限公司拟处置的合肥国际人才公寓闲置变压器及配电箱资产。</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sz w:val="21"/>
          <w:szCs w:val="21"/>
        </w:rPr>
        <w:t>三、评估基准日</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2024年   月   日</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四、资产评估报告</w:t>
      </w:r>
      <w:r>
        <w:rPr>
          <w:rFonts w:hint="eastAsia" w:asciiTheme="minorEastAsia" w:hAnsiTheme="minorEastAsia" w:eastAsiaTheme="minorEastAsia" w:cstheme="minorEastAsia"/>
          <w:b/>
          <w:sz w:val="21"/>
          <w:szCs w:val="21"/>
          <w:lang w:eastAsia="zh-CN"/>
        </w:rPr>
        <w:t>适</w:t>
      </w:r>
      <w:r>
        <w:rPr>
          <w:rFonts w:hint="eastAsia" w:asciiTheme="minorEastAsia" w:hAnsiTheme="minorEastAsia" w:eastAsiaTheme="minorEastAsia" w:cstheme="minorEastAsia"/>
          <w:b/>
          <w:sz w:val="21"/>
          <w:szCs w:val="21"/>
        </w:rPr>
        <w:t>用范围：</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1、资产评估报告仅供甲方和法律、行政法规规定的使用</w:t>
      </w:r>
      <w:r>
        <w:rPr>
          <w:rFonts w:hint="eastAsia" w:asciiTheme="minorEastAsia" w:hAnsiTheme="minorEastAsia" w:eastAsiaTheme="minorEastAsia" w:cstheme="minorEastAsia"/>
          <w:sz w:val="21"/>
          <w:szCs w:val="21"/>
          <w:highlight w:val="none"/>
        </w:rPr>
        <w:t>人使用，</w:t>
      </w:r>
      <w:r>
        <w:rPr>
          <w:rFonts w:hint="eastAsia" w:asciiTheme="minorEastAsia" w:hAnsiTheme="minorEastAsia" w:eastAsiaTheme="minorEastAsia" w:cstheme="minorEastAsia"/>
          <w:sz w:val="21"/>
          <w:szCs w:val="21"/>
          <w:highlight w:val="none"/>
          <w:lang w:val="en-US" w:eastAsia="zh-CN"/>
        </w:rPr>
        <w:t>甲方可以授权其他第三方单位使用本资产评估报告，除此之外，</w:t>
      </w:r>
      <w:r>
        <w:rPr>
          <w:rFonts w:hint="eastAsia" w:asciiTheme="minorEastAsia" w:hAnsiTheme="minorEastAsia" w:eastAsiaTheme="minorEastAsia" w:cstheme="minorEastAsia"/>
          <w:sz w:val="21"/>
          <w:szCs w:val="21"/>
          <w:highlight w:val="none"/>
        </w:rPr>
        <w:t>其他任何机构和个人不能成为资产评估报告使用人。</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及其他资产评估报告使用人应按照法律、行政法规的规定和资产评估报告载明的使用目的及用途使用资产评估报告。甲方或其他资产评估报告使用人违反前述约定使用资产评估报告的，乙方及其专业人员不承担责任。</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3、甲方及其他资产评估报告使用人应当在资产评估报告载明的评估结论使用有效期内使用资产评估报告。</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4、未经甲方书面许可，乙方及其专业人员不得将资产评估报告的内容向第三方提供或公开，法律、行政法规另有规定的除外。</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5、未征得乙方同意，甲方及其他资产评估报告使用人不得将资产评估报告的内容摘抄、引用或者披露于公开媒体，法律、行政法规规定以及相关当事人另有约定的除外。</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五、资产评估报告提交期限和方式</w:t>
      </w:r>
      <w:r>
        <w:rPr>
          <w:rFonts w:hint="eastAsia" w:asciiTheme="minorEastAsia" w:hAnsiTheme="minorEastAsia" w:eastAsiaTheme="minorEastAsia" w:cstheme="minorEastAsia"/>
          <w:b/>
          <w:sz w:val="21"/>
          <w:szCs w:val="21"/>
          <w:lang w:eastAsia="zh-CN"/>
        </w:rPr>
        <w:t>：</w:t>
      </w:r>
    </w:p>
    <w:p>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1、提交期限：自甲方和其他相关当事人完全、如实地提供乙方评估所需所有资料后，</w:t>
      </w:r>
      <w:r>
        <w:rPr>
          <w:rFonts w:hint="eastAsia" w:asciiTheme="minorEastAsia" w:hAnsiTheme="minorEastAsia" w:eastAsiaTheme="minorEastAsia" w:cstheme="minorEastAsia"/>
          <w:sz w:val="21"/>
          <w:szCs w:val="21"/>
          <w:highlight w:val="none"/>
          <w:lang w:val="en-US" w:eastAsia="zh-CN"/>
        </w:rPr>
        <w:t>在约定时间内将评估报告书初稿报甲方审核，在获取甲方意见后72小时内出具正式评估报告；但自受托之日起，正式评估报告出具时间不得超过7个工作日。</w:t>
      </w:r>
    </w:p>
    <w:p>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2、提交方式：资产评估报告的电子版及纸质版</w:t>
      </w:r>
      <w:r>
        <w:rPr>
          <w:rFonts w:hint="eastAsia" w:asciiTheme="minorEastAsia" w:hAnsiTheme="minorEastAsia" w:eastAsiaTheme="minorEastAsia" w:cstheme="minorEastAsia"/>
          <w:sz w:val="21"/>
          <w:szCs w:val="21"/>
          <w:highlight w:val="none"/>
          <w:lang w:val="en-US" w:eastAsia="zh-CN"/>
        </w:rPr>
        <w:t>一式  份</w:t>
      </w:r>
      <w:r>
        <w:rPr>
          <w:rFonts w:hint="eastAsia" w:asciiTheme="minorEastAsia" w:hAnsiTheme="minorEastAsia" w:eastAsiaTheme="minorEastAsia" w:cstheme="minorEastAsia"/>
          <w:sz w:val="21"/>
          <w:szCs w:val="21"/>
          <w:highlight w:val="none"/>
        </w:rPr>
        <w:t>，邮寄或</w:t>
      </w:r>
      <w:r>
        <w:rPr>
          <w:rFonts w:hint="eastAsia" w:asciiTheme="minorEastAsia" w:hAnsiTheme="minorEastAsia" w:eastAsiaTheme="minorEastAsia" w:cstheme="minorEastAsia"/>
          <w:sz w:val="21"/>
          <w:szCs w:val="21"/>
          <w:highlight w:val="none"/>
          <w:lang w:val="en-US" w:eastAsia="zh-CN"/>
        </w:rPr>
        <w:t>直接</w:t>
      </w:r>
      <w:r>
        <w:rPr>
          <w:rFonts w:hint="eastAsia" w:asciiTheme="minorEastAsia" w:hAnsiTheme="minorEastAsia" w:eastAsiaTheme="minorEastAsia" w:cstheme="minorEastAsia"/>
          <w:sz w:val="21"/>
          <w:szCs w:val="21"/>
          <w:highlight w:val="none"/>
        </w:rPr>
        <w:t>送达给甲方。</w:t>
      </w:r>
    </w:p>
    <w:p>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3、乙方应当对被评估对象进行全面清查，根据甲方提供的资产清单，核实资产账面与实际是否相符，并据此作出鉴定。</w:t>
      </w:r>
    </w:p>
    <w:p>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4、乙方应充分根据资产原值、净值、新旧程度、重置成本、获利能力等因素选用合适的资产评估方法；</w:t>
      </w:r>
      <w:r>
        <w:rPr>
          <w:rFonts w:hint="eastAsia" w:asciiTheme="minorEastAsia" w:hAnsiTheme="minorEastAsia" w:eastAsiaTheme="minorEastAsia" w:cstheme="minorEastAsia"/>
          <w:b w:val="0"/>
          <w:bCs w:val="0"/>
          <w:sz w:val="21"/>
          <w:szCs w:val="21"/>
          <w:highlight w:val="none"/>
          <w:lang w:val="en-US" w:eastAsia="zh-CN"/>
        </w:rPr>
        <w:t>并优先在持续使用的假设前提下，进行评估。</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六、评估服务费</w:t>
      </w:r>
      <w:r>
        <w:rPr>
          <w:rFonts w:hint="eastAsia" w:asciiTheme="minorEastAsia" w:hAnsiTheme="minorEastAsia" w:eastAsiaTheme="minorEastAsia" w:cstheme="minorEastAsia"/>
          <w:b/>
          <w:sz w:val="21"/>
          <w:szCs w:val="21"/>
          <w:lang w:eastAsia="zh-CN"/>
        </w:rPr>
        <w:t>：</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1、本合同评估服务费：合肥国际人才公寓闲置变压器及配电箱资产评估服务费为   元（大写：   ）。</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2、上述评估服务费包括本次评估全部内容及工期的成本、利润、税金、运输费、损耗等所有费用，除此之外，甲方无需就本合同项下服务向乙方或第三方支付任何其他费用。</w:t>
      </w:r>
    </w:p>
    <w:p>
      <w:pPr>
        <w:keepNext w:val="0"/>
        <w:keepLines w:val="0"/>
        <w:pageBreakBefore w:val="0"/>
        <w:kinsoku/>
        <w:wordWrap/>
        <w:overflowPunct/>
        <w:topLinePunct w:val="0"/>
        <w:autoSpaceDE/>
        <w:autoSpaceDN/>
        <w:bidi w:val="0"/>
        <w:adjustRightInd w:val="0"/>
        <w:snapToGrid w:val="0"/>
        <w:spacing w:line="520" w:lineRule="exact"/>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commentRangeStart w:id="0"/>
      <w:r>
        <w:rPr>
          <w:rFonts w:hint="eastAsia" w:asciiTheme="minorEastAsia" w:hAnsiTheme="minorEastAsia" w:eastAsiaTheme="minorEastAsia" w:cstheme="minorEastAsia"/>
          <w:sz w:val="21"/>
          <w:szCs w:val="21"/>
          <w:lang w:val="en-US" w:eastAsia="zh-CN"/>
        </w:rPr>
        <w:t>付款方式：</w:t>
      </w:r>
      <w:commentRangeEnd w:id="0"/>
      <w:r>
        <w:commentReference w:id="0"/>
      </w:r>
      <w:r>
        <w:rPr>
          <w:rFonts w:hint="eastAsia"/>
          <w:lang w:val="en-US" w:eastAsia="zh-CN"/>
        </w:rPr>
        <w:t>乙方</w:t>
      </w:r>
      <w:r>
        <w:rPr>
          <w:rFonts w:hint="eastAsia"/>
        </w:rPr>
        <w:t>完成全部评估并出具符合</w:t>
      </w:r>
      <w:r>
        <w:rPr>
          <w:rFonts w:hint="eastAsia"/>
          <w:lang w:val="en-US" w:eastAsia="zh-CN"/>
        </w:rPr>
        <w:t>甲方</w:t>
      </w:r>
      <w:r>
        <w:rPr>
          <w:rFonts w:hint="eastAsia"/>
        </w:rPr>
        <w:t>要求的评估报告后30日内一次性支付评估费用。</w:t>
      </w:r>
      <w:r>
        <w:rPr>
          <w:rFonts w:hint="eastAsia" w:asciiTheme="minorEastAsia" w:hAnsiTheme="minorEastAsia" w:eastAsiaTheme="minorEastAsia" w:cstheme="minorEastAsia"/>
          <w:spacing w:val="6"/>
          <w:sz w:val="21"/>
          <w:szCs w:val="21"/>
          <w:lang w:val="en-US" w:eastAsia="zh-CN"/>
        </w:rPr>
        <w:t>在</w:t>
      </w:r>
      <w:r>
        <w:rPr>
          <w:rFonts w:hint="eastAsia" w:asciiTheme="minorEastAsia" w:hAnsiTheme="minorEastAsia" w:cstheme="minorEastAsia"/>
          <w:spacing w:val="6"/>
          <w:sz w:val="21"/>
          <w:szCs w:val="21"/>
          <w:lang w:val="en-US" w:eastAsia="zh-CN"/>
        </w:rPr>
        <w:t>甲方</w:t>
      </w:r>
      <w:r>
        <w:rPr>
          <w:rFonts w:hint="eastAsia" w:asciiTheme="minorEastAsia" w:hAnsiTheme="minorEastAsia" w:eastAsiaTheme="minorEastAsia" w:cstheme="minorEastAsia"/>
          <w:spacing w:val="6"/>
          <w:sz w:val="21"/>
          <w:szCs w:val="21"/>
          <w:lang w:val="en-US" w:eastAsia="zh-CN"/>
        </w:rPr>
        <w:t>付款前，</w:t>
      </w:r>
      <w:r>
        <w:rPr>
          <w:rFonts w:hint="eastAsia" w:asciiTheme="minorEastAsia" w:hAnsiTheme="minorEastAsia" w:cstheme="minorEastAsia"/>
          <w:spacing w:val="6"/>
          <w:sz w:val="21"/>
          <w:szCs w:val="21"/>
          <w:lang w:val="en-US" w:eastAsia="zh-CN"/>
        </w:rPr>
        <w:t>乙方</w:t>
      </w:r>
      <w:r>
        <w:rPr>
          <w:rFonts w:hint="eastAsia" w:asciiTheme="minorEastAsia" w:hAnsiTheme="minorEastAsia" w:eastAsiaTheme="minorEastAsia" w:cstheme="minorEastAsia"/>
          <w:spacing w:val="6"/>
          <w:sz w:val="21"/>
          <w:szCs w:val="21"/>
          <w:lang w:val="en-US" w:eastAsia="zh-CN"/>
        </w:rPr>
        <w:t>需向</w:t>
      </w:r>
      <w:r>
        <w:rPr>
          <w:rFonts w:hint="eastAsia" w:asciiTheme="minorEastAsia" w:hAnsiTheme="minorEastAsia" w:cstheme="minorEastAsia"/>
          <w:spacing w:val="6"/>
          <w:sz w:val="21"/>
          <w:szCs w:val="21"/>
          <w:lang w:val="en-US" w:eastAsia="zh-CN"/>
        </w:rPr>
        <w:t>甲方</w:t>
      </w:r>
      <w:r>
        <w:rPr>
          <w:rFonts w:hint="eastAsia" w:asciiTheme="minorEastAsia" w:hAnsiTheme="minorEastAsia" w:eastAsiaTheme="minorEastAsia" w:cstheme="minorEastAsia"/>
          <w:spacing w:val="6"/>
          <w:sz w:val="21"/>
          <w:szCs w:val="21"/>
          <w:lang w:val="en-US" w:eastAsia="zh-CN"/>
        </w:rPr>
        <w:t>交付等额的增值税专用发票，否则</w:t>
      </w:r>
      <w:r>
        <w:rPr>
          <w:rFonts w:hint="eastAsia" w:asciiTheme="minorEastAsia" w:hAnsiTheme="minorEastAsia" w:cstheme="minorEastAsia"/>
          <w:spacing w:val="6"/>
          <w:sz w:val="21"/>
          <w:szCs w:val="21"/>
          <w:lang w:val="en-US" w:eastAsia="zh-CN"/>
        </w:rPr>
        <w:t>甲方</w:t>
      </w:r>
      <w:r>
        <w:rPr>
          <w:rFonts w:hint="eastAsia" w:asciiTheme="minorEastAsia" w:hAnsiTheme="minorEastAsia" w:eastAsiaTheme="minorEastAsia" w:cstheme="minorEastAsia"/>
          <w:spacing w:val="6"/>
          <w:sz w:val="21"/>
          <w:szCs w:val="21"/>
          <w:lang w:val="en-US" w:eastAsia="zh-CN"/>
        </w:rPr>
        <w:t>有权拒绝或者延迟付款，且不承担违约责任。</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4、若评估范围或评估基准日发生变化，双方应签订补充协议或重新签订资产评估委托合同，评估服务费另议。</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5、非乙方原因造成评估业务中止，甲方应按乙方已完成的评估工作量向乙方支付相应的评估服务费。</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6、甲方所支付的评估服务费中包含乙方利用自主开发的云数据库系统、评估工具软件、底稿系统软件和项目管理系统等高技术手段提供高效服务的费用。</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7、评估服务费的支付方式为转账汇款，乙方不接受现金形式的支付方式。</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8、乙方可接受的支付币种为人民币。</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9、乙方收款账户信息</w:t>
      </w:r>
      <w:r>
        <w:rPr>
          <w:rFonts w:hint="eastAsia" w:asciiTheme="minorEastAsia" w:hAnsiTheme="minorEastAsia" w:eastAsiaTheme="minorEastAsia" w:cstheme="minorEastAsia"/>
          <w:sz w:val="21"/>
          <w:szCs w:val="21"/>
          <w:lang w:val="en-US" w:eastAsia="zh-CN"/>
        </w:rPr>
        <w:t>如下</w:t>
      </w:r>
      <w:r>
        <w:rPr>
          <w:rFonts w:hint="eastAsia" w:asciiTheme="minorEastAsia" w:hAnsiTheme="minorEastAsia" w:eastAsiaTheme="minorEastAsia" w:cstheme="minorEastAsia"/>
          <w:sz w:val="21"/>
          <w:szCs w:val="21"/>
        </w:rPr>
        <w:t>：</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开户行：</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账户名称：</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账号：</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七、关于发票的特别约定：</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、发票上的购买方应与评估服务费支付方一致，若评估服务费支付方、支付金额等发生变化的，应签订补充协议另行约定，并及时更换发票。</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八、双方权利和义务</w:t>
      </w:r>
      <w:r>
        <w:rPr>
          <w:rFonts w:hint="eastAsia" w:asciiTheme="minorEastAsia" w:hAnsiTheme="minorEastAsia" w:eastAsiaTheme="minorEastAsia" w:cstheme="minorEastAsia"/>
          <w:b/>
          <w:sz w:val="21"/>
          <w:szCs w:val="21"/>
          <w:lang w:eastAsia="zh-CN"/>
        </w:rPr>
        <w:t>：</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甲方和其他相关当事人须向乙方提供资产评估业务需要的资料并保证所提供资料的真实性、完整性、合法性；甲方和其他相关当事人应当对其提供的资产评估明细表及其他重要资料的真实性、完整性、合法性以签</w:t>
      </w:r>
      <w:r>
        <w:rPr>
          <w:rFonts w:hint="eastAsia" w:asciiTheme="minorEastAsia" w:hAnsiTheme="minorEastAsia" w:cstheme="minorEastAsia"/>
          <w:sz w:val="21"/>
          <w:szCs w:val="21"/>
          <w:lang w:val="en-US" w:eastAsia="zh-CN"/>
        </w:rPr>
        <w:t>名</w:t>
      </w:r>
      <w:r>
        <w:rPr>
          <w:rFonts w:hint="eastAsia" w:asciiTheme="minorEastAsia" w:hAnsiTheme="minorEastAsia" w:eastAsiaTheme="minorEastAsia" w:cstheme="minorEastAsia"/>
          <w:sz w:val="21"/>
          <w:szCs w:val="21"/>
        </w:rPr>
        <w:t>、盖章或者法律允许的其他方式进行确认。</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2、甲方应当为乙方及其专业人员执行评估业务提供必要的工作条件和协助；甲方应当根据评估业务需要，负责乙方及其专业人员与相关当事人之间的协调。 </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3、甲方应当按照本合同第四条的约定恰当使用资产评估报告。</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4、乙方有责任按照本合同的约定按时按质完成资产评估工作。</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5、乙方及其专业人员应</w:t>
      </w:r>
      <w:r>
        <w:rPr>
          <w:rFonts w:hint="eastAsia" w:asciiTheme="minorEastAsia" w:hAnsiTheme="minorEastAsia" w:eastAsiaTheme="minorEastAsia" w:cstheme="minorEastAsia"/>
          <w:sz w:val="21"/>
          <w:szCs w:val="21"/>
          <w:highlight w:val="none"/>
        </w:rPr>
        <w:t>当遵守相关法律、行政法规和资产评估准则，对评估对象在评估基准日特定目的下的价值进行分析和估算并出具资产评估报告。</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6、乙方应当按照《国有资产评估管理办法》（国务院令第91号）等开展评估工作，并出具符合《企业国有资产评估报告指南》（中评协[2017]42号）的规定的资产评估报告。</w:t>
      </w:r>
    </w:p>
    <w:p>
      <w:pPr>
        <w:pStyle w:val="56"/>
        <w:keepNext w:val="0"/>
        <w:keepLines w:val="0"/>
        <w:pageBreakBefore w:val="0"/>
        <w:kinsoku/>
        <w:wordWrap/>
        <w:overflowPunct/>
        <w:topLinePunct w:val="0"/>
        <w:autoSpaceDE/>
        <w:autoSpaceDN/>
        <w:bidi w:val="0"/>
        <w:spacing w:line="520" w:lineRule="atLeas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7.乙方对甲方及相关当事人内部资料、商业秘密、估值结果及约定的保密事项有保守秘密的义务。</w:t>
      </w:r>
    </w:p>
    <w:p>
      <w:pPr>
        <w:pStyle w:val="56"/>
        <w:keepNext w:val="0"/>
        <w:keepLines w:val="0"/>
        <w:pageBreakBefore w:val="0"/>
        <w:kinsoku/>
        <w:wordWrap/>
        <w:overflowPunct/>
        <w:topLinePunct w:val="0"/>
        <w:autoSpaceDE/>
        <w:autoSpaceDN/>
        <w:bidi w:val="0"/>
        <w:spacing w:line="520" w:lineRule="atLeas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highlight w:val="none"/>
          <w:lang w:val="en-US" w:eastAsia="zh-CN"/>
        </w:rPr>
        <w:t>8.</w:t>
      </w:r>
      <w:r>
        <w:rPr>
          <w:rFonts w:hint="eastAsia" w:asciiTheme="minorEastAsia" w:hAnsiTheme="minorEastAsia" w:eastAsiaTheme="minorEastAsia" w:cstheme="minorEastAsia"/>
          <w:kern w:val="2"/>
          <w:sz w:val="21"/>
          <w:szCs w:val="21"/>
          <w:highlight w:val="none"/>
          <w:lang w:val="en-US"/>
        </w:rPr>
        <w:t>当甲方认定乙方委派的评估专业人员不足以妥善履行评估职责时，乙方应及时更换评估人员。</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双方如不履行上述义务，视为违约。</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九、双方违约责任</w:t>
      </w:r>
      <w:r>
        <w:rPr>
          <w:rFonts w:hint="eastAsia" w:asciiTheme="minorEastAsia" w:hAnsiTheme="minorEastAsia" w:eastAsiaTheme="minorEastAsia" w:cstheme="minorEastAsia"/>
          <w:b/>
          <w:sz w:val="21"/>
          <w:szCs w:val="21"/>
          <w:lang w:eastAsia="zh-CN"/>
        </w:rPr>
        <w:t>：</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1、甲方拒绝向乙方支付评估服务费，乙方有权停止工作或不向甲方提供资产评估报告。</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2、甲方未同乙方协商而擅自变更或解除本合同，不得索要已支付给乙方的款项，乙方有权要求甲方按照已完成的评估工作量支付相应的评估服务费。</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3、乙方未同甲方协商擅自变更或解除本合同，应全额返回甲方已支付的评估服务费用，但本合同第十条第2款和第3款所列情形除外。</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4、甲方未及时向乙方提供资产评估所需的文件、资料，或提供的文件和资料不真实，因此产生的不良后果由甲方负责，乙方不承担责任。</w:t>
      </w:r>
    </w:p>
    <w:p>
      <w:pPr>
        <w:pStyle w:val="57"/>
        <w:keepNext w:val="0"/>
        <w:keepLines w:val="0"/>
        <w:pageBreakBefore w:val="0"/>
        <w:numPr>
          <w:ilvl w:val="0"/>
          <w:numId w:val="0"/>
        </w:numPr>
        <w:kinsoku/>
        <w:wordWrap/>
        <w:overflowPunct/>
        <w:topLinePunct w:val="0"/>
        <w:autoSpaceDE/>
        <w:autoSpaceDN/>
        <w:bidi w:val="0"/>
        <w:adjustRightInd w:val="0"/>
        <w:snapToGrid w:val="0"/>
        <w:spacing w:line="520" w:lineRule="atLeas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rPr>
        <w:t>5.乙方违反本委托合同，不能在约定时间内提供专业水准的评估报告，每延期一天，支付相当于服务费总额0.5‰的违约金，如由此造成经济行为确指的资产业务无法进行或造成严重后果的，乙方应退还已收全部服务费，并承担相应的法律责任。延期超过十日的，甲方有权解除本合同，并要求乙方赔偿造成的全部损失。</w:t>
      </w:r>
    </w:p>
    <w:p>
      <w:pPr>
        <w:pStyle w:val="21"/>
        <w:keepNext w:val="0"/>
        <w:keepLines w:val="0"/>
        <w:pageBreakBefore w:val="0"/>
        <w:kinsoku/>
        <w:wordWrap/>
        <w:overflowPunct/>
        <w:topLinePunct w:val="0"/>
        <w:autoSpaceDE/>
        <w:autoSpaceDN/>
        <w:bidi w:val="0"/>
        <w:spacing w:line="520" w:lineRule="atLeas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乙方或其工作人员违反信息保密义务给甲方造成损失的，乙方应承担赔偿责任；乙方报告出现错误给甲方或合法使用报告的第三方造成损失的，乙方应承担赔偿责任。</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十、双方争议解决及其他：</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1、本合同经双方协商一致可以中止或解除。</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因甲方和其他相关当事人原因导致资产评估程序受限，对与评估目的相对应的评估结论构成重大影响，乙方无法履行本合同时，乙方可以单方解除本合同，甲方应根据乙方已开展资产评估业务的时间、进度，或者完成的评估工作量向乙方支付相应的评估服务费。</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3、甲方要求乙方出具虚假资产评估报告或者有其他非法干预评估结论情形的，乙方有权单方解除本合同，甲方仍需按照乙方已开展资产评估业务的时间、进度，或者已经完成的工作量支付相应的评估服务费。</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kern w:val="32"/>
          <w:sz w:val="21"/>
          <w:szCs w:val="21"/>
        </w:rPr>
      </w:pPr>
      <w:r>
        <w:rPr>
          <w:rFonts w:hint="eastAsia" w:asciiTheme="minorEastAsia" w:hAnsiTheme="minorEastAsia" w:eastAsiaTheme="minorEastAsia" w:cstheme="minorEastAsia"/>
          <w:kern w:val="32"/>
          <w:sz w:val="21"/>
          <w:szCs w:val="21"/>
        </w:rPr>
        <w:t>4、本合同未明确的内容或未尽事宜由双方协商，协商达成一致后以纸质形式作为本合同的附件与本合同有同等的法律效力。</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kern w:val="32"/>
          <w:sz w:val="21"/>
          <w:szCs w:val="21"/>
        </w:rPr>
      </w:pPr>
      <w:r>
        <w:rPr>
          <w:rFonts w:hint="eastAsia" w:asciiTheme="minorEastAsia" w:hAnsiTheme="minorEastAsia" w:eastAsiaTheme="minorEastAsia" w:cstheme="minorEastAsia"/>
          <w:kern w:val="32"/>
          <w:sz w:val="21"/>
          <w:szCs w:val="21"/>
        </w:rPr>
        <w:t>5、因本合同</w:t>
      </w:r>
      <w:r>
        <w:rPr>
          <w:rFonts w:hint="eastAsia" w:asciiTheme="minorEastAsia" w:hAnsiTheme="minorEastAsia" w:eastAsiaTheme="minorEastAsia" w:cstheme="minorEastAsia"/>
          <w:sz w:val="21"/>
          <w:szCs w:val="21"/>
        </w:rPr>
        <w:t>产生</w:t>
      </w:r>
      <w:r>
        <w:rPr>
          <w:rFonts w:hint="eastAsia" w:asciiTheme="minorEastAsia" w:hAnsiTheme="minorEastAsia" w:eastAsiaTheme="minorEastAsia" w:cstheme="minorEastAsia"/>
          <w:kern w:val="32"/>
          <w:sz w:val="21"/>
          <w:szCs w:val="21"/>
        </w:rPr>
        <w:t>的争议由双方协商解决，协商不成时，</w:t>
      </w:r>
      <w:r>
        <w:rPr>
          <w:rFonts w:hint="eastAsia" w:asciiTheme="minorEastAsia" w:hAnsiTheme="minorEastAsia" w:cstheme="minorEastAsia"/>
          <w:kern w:val="32"/>
          <w:sz w:val="21"/>
          <w:szCs w:val="21"/>
          <w:lang w:val="en-US" w:eastAsia="zh-CN"/>
        </w:rPr>
        <w:t>任何一方可</w:t>
      </w:r>
      <w:r>
        <w:rPr>
          <w:rFonts w:hint="eastAsia" w:asciiTheme="minorEastAsia" w:hAnsiTheme="minorEastAsia" w:eastAsiaTheme="minorEastAsia" w:cstheme="minorEastAsia"/>
          <w:kern w:val="32"/>
          <w:sz w:val="21"/>
          <w:szCs w:val="21"/>
        </w:rPr>
        <w:t>向</w:t>
      </w:r>
      <w:r>
        <w:rPr>
          <w:rFonts w:hint="eastAsia" w:asciiTheme="minorEastAsia" w:hAnsiTheme="minorEastAsia" w:eastAsiaTheme="minorEastAsia" w:cstheme="minorEastAsia"/>
          <w:kern w:val="32"/>
          <w:sz w:val="21"/>
          <w:szCs w:val="21"/>
          <w:lang w:val="en-US" w:eastAsia="zh-CN"/>
        </w:rPr>
        <w:t>甲方</w:t>
      </w:r>
      <w:r>
        <w:rPr>
          <w:rFonts w:hint="eastAsia" w:asciiTheme="minorEastAsia" w:hAnsiTheme="minorEastAsia" w:eastAsiaTheme="minorEastAsia" w:cstheme="minorEastAsia"/>
          <w:kern w:val="32"/>
          <w:sz w:val="21"/>
          <w:szCs w:val="21"/>
        </w:rPr>
        <w:t>所在地</w:t>
      </w:r>
      <w:r>
        <w:rPr>
          <w:rFonts w:hint="eastAsia" w:asciiTheme="minorEastAsia" w:hAnsiTheme="minorEastAsia" w:eastAsiaTheme="minorEastAsia" w:cstheme="minorEastAsia"/>
          <w:kern w:val="32"/>
          <w:sz w:val="21"/>
          <w:szCs w:val="21"/>
          <w:lang w:val="en-US" w:eastAsia="zh-CN"/>
        </w:rPr>
        <w:t>有管辖权的</w:t>
      </w:r>
      <w:r>
        <w:rPr>
          <w:rFonts w:hint="eastAsia" w:asciiTheme="minorEastAsia" w:hAnsiTheme="minorEastAsia" w:eastAsiaTheme="minorEastAsia" w:cstheme="minorEastAsia"/>
          <w:kern w:val="32"/>
          <w:sz w:val="21"/>
          <w:szCs w:val="21"/>
        </w:rPr>
        <w:t>人民法院起诉。</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6、本合同经双方</w:t>
      </w:r>
      <w:r>
        <w:rPr>
          <w:rFonts w:hint="eastAsia" w:asciiTheme="minorEastAsia" w:hAnsiTheme="minorEastAsia" w:cstheme="minorEastAsia"/>
          <w:sz w:val="21"/>
          <w:szCs w:val="21"/>
          <w:lang w:val="en-US" w:eastAsia="zh-CN"/>
        </w:rPr>
        <w:t>代表</w:t>
      </w:r>
      <w:r>
        <w:rPr>
          <w:rFonts w:hint="eastAsia" w:asciiTheme="minorEastAsia" w:hAnsiTheme="minorEastAsia" w:eastAsiaTheme="minorEastAsia" w:cstheme="minorEastAsia"/>
          <w:sz w:val="21"/>
          <w:szCs w:val="21"/>
        </w:rPr>
        <w:t>签</w:t>
      </w:r>
      <w:r>
        <w:rPr>
          <w:rFonts w:hint="eastAsia" w:asciiTheme="minorEastAsia" w:hAnsiTheme="minorEastAsia" w:eastAsiaTheme="minorEastAsia" w:cstheme="minorEastAsia"/>
          <w:sz w:val="21"/>
          <w:szCs w:val="21"/>
          <w:lang w:val="en-US" w:eastAsia="zh-CN"/>
        </w:rPr>
        <w:t>名</w:t>
      </w:r>
      <w:r>
        <w:rPr>
          <w:rFonts w:hint="eastAsia" w:asciiTheme="minorEastAsia" w:hAnsiTheme="minorEastAsia" w:eastAsiaTheme="minorEastAsia" w:cstheme="minorEastAsia"/>
          <w:sz w:val="21"/>
          <w:szCs w:val="21"/>
        </w:rPr>
        <w:t>，并加盖单位公章或合同专用章后，即发生法律效力。</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7、本合同正本一式</w:t>
      </w:r>
      <w:r>
        <w:rPr>
          <w:rFonts w:hint="eastAsia" w:asciiTheme="minorEastAsia" w:hAnsiTheme="minorEastAsia" w:eastAsiaTheme="minorEastAsia" w:cstheme="minorEastAsia"/>
          <w:sz w:val="21"/>
          <w:szCs w:val="21"/>
          <w:lang w:val="en-US" w:eastAsia="zh-CN"/>
        </w:rPr>
        <w:t>贰</w:t>
      </w:r>
      <w:r>
        <w:rPr>
          <w:rFonts w:hint="eastAsia" w:asciiTheme="minorEastAsia" w:hAnsiTheme="minorEastAsia" w:eastAsiaTheme="minorEastAsia" w:cstheme="minorEastAsia"/>
          <w:sz w:val="21"/>
          <w:szCs w:val="21"/>
        </w:rPr>
        <w:t>份，</w:t>
      </w:r>
      <w:r>
        <w:rPr>
          <w:rFonts w:hint="eastAsia" w:asciiTheme="minorEastAsia" w:hAnsiTheme="minorEastAsia" w:eastAsiaTheme="minorEastAsia" w:cstheme="minorEastAsia"/>
          <w:sz w:val="21"/>
          <w:szCs w:val="21"/>
          <w:lang w:val="en-US" w:eastAsia="zh-CN"/>
        </w:rPr>
        <w:t>甲乙双</w:t>
      </w:r>
      <w:r>
        <w:rPr>
          <w:rFonts w:hint="eastAsia" w:asciiTheme="minorEastAsia" w:hAnsiTheme="minorEastAsia" w:eastAsiaTheme="minorEastAsia" w:cstheme="minorEastAsia"/>
          <w:sz w:val="21"/>
          <w:szCs w:val="21"/>
        </w:rPr>
        <w:t>方</w:t>
      </w:r>
      <w:r>
        <w:rPr>
          <w:rFonts w:hint="eastAsia" w:asciiTheme="minorEastAsia" w:hAnsiTheme="minorEastAsia" w:eastAsiaTheme="minorEastAsia" w:cstheme="minorEastAsia"/>
          <w:sz w:val="21"/>
          <w:szCs w:val="21"/>
          <w:lang w:val="en-US" w:eastAsia="zh-CN"/>
        </w:rPr>
        <w:t>各执壹份，</w:t>
      </w:r>
      <w:r>
        <w:rPr>
          <w:rFonts w:hint="eastAsia" w:asciiTheme="minorEastAsia" w:hAnsiTheme="minorEastAsia" w:eastAsiaTheme="minorEastAsia" w:cstheme="minorEastAsia"/>
          <w:sz w:val="21"/>
          <w:szCs w:val="21"/>
        </w:rPr>
        <w:t>具有同等法律效力。</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8、如遇到国家有关政策调整、法律修改及其他不可抗力事件，导致甲、乙双方或任何一方无法履行本合同，所遗留问题由双方协商解决。</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9、本合同中“甲方代表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乙方代表”特指合同当事人双方企业法定代表人或法定代表人的授权人。</w:t>
      </w:r>
    </w:p>
    <w:p>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cstheme="minorEastAsia"/>
          <w:sz w:val="21"/>
          <w:szCs w:val="21"/>
          <w:lang w:val="en-US" w:eastAsia="zh-CN"/>
        </w:rPr>
        <w:t>0</w:t>
      </w:r>
      <w:r>
        <w:rPr>
          <w:rFonts w:hint="eastAsia" w:asciiTheme="minorEastAsia" w:hAnsiTheme="minorEastAsia" w:eastAsiaTheme="minorEastAsia" w:cstheme="minorEastAsia"/>
          <w:sz w:val="21"/>
          <w:szCs w:val="21"/>
          <w:lang w:val="en-US" w:eastAsia="zh-CN"/>
        </w:rPr>
        <w:t>、下列</w:t>
      </w:r>
      <w:r>
        <w:rPr>
          <w:rFonts w:hint="eastAsia" w:asciiTheme="minorEastAsia" w:hAnsiTheme="minorEastAsia" w:cstheme="minorEastAsia"/>
          <w:sz w:val="21"/>
          <w:szCs w:val="21"/>
          <w:lang w:val="en-US" w:eastAsia="zh-CN"/>
        </w:rPr>
        <w:t>询价</w:t>
      </w:r>
      <w:r>
        <w:rPr>
          <w:rFonts w:hint="eastAsia" w:asciiTheme="minorEastAsia" w:hAnsiTheme="minorEastAsia" w:eastAsiaTheme="minorEastAsia" w:cstheme="minorEastAsia"/>
          <w:sz w:val="21"/>
          <w:szCs w:val="21"/>
          <w:lang w:val="en-US" w:eastAsia="zh-CN"/>
        </w:rPr>
        <w:t>文件及有关附件是本合同不可分割的组成部分，并构成一个整体，需综合解释、相互补充。如果下列文件内容出现不一致的情形，组成本合同的多个文件的优先适用及解释的顺序如下：</w:t>
      </w:r>
    </w:p>
    <w:p>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（1）本合同及其补充合同、变更协议；</w:t>
      </w:r>
    </w:p>
    <w:p>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（2）成交（中标）通知书；</w:t>
      </w:r>
    </w:p>
    <w:p>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（3）经甲方确认的乙方承诺书；</w:t>
      </w:r>
    </w:p>
    <w:p>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cstheme="minorEastAsia"/>
          <w:sz w:val="21"/>
          <w:szCs w:val="21"/>
          <w:lang w:val="en-US" w:eastAsia="zh-CN"/>
        </w:rPr>
        <w:t>询价</w:t>
      </w:r>
      <w:r>
        <w:rPr>
          <w:rFonts w:hint="eastAsia" w:asciiTheme="minorEastAsia" w:hAnsiTheme="minorEastAsia" w:eastAsiaTheme="minorEastAsia" w:cstheme="minorEastAsia"/>
          <w:sz w:val="21"/>
          <w:szCs w:val="21"/>
          <w:lang w:val="en-US" w:eastAsia="zh-CN"/>
        </w:rPr>
        <w:t>文件（含澄清或者修改文件）；</w:t>
      </w:r>
    </w:p>
    <w:p>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（5）投标文件；</w:t>
      </w:r>
    </w:p>
    <w:p>
      <w:pPr>
        <w:pStyle w:val="21"/>
        <w:ind w:left="0" w:leftChars="0"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 w:val="21"/>
          <w:szCs w:val="21"/>
          <w:lang w:val="en-US" w:eastAsia="zh-CN"/>
        </w:rPr>
        <w:t>（6）其他相关</w:t>
      </w:r>
      <w:r>
        <w:rPr>
          <w:rFonts w:hint="eastAsia" w:asciiTheme="minorEastAsia" w:hAnsiTheme="minorEastAsia" w:cstheme="minorEastAsia"/>
          <w:sz w:val="21"/>
          <w:szCs w:val="21"/>
          <w:lang w:val="en-US" w:eastAsia="zh-CN"/>
        </w:rPr>
        <w:t>询价</w:t>
      </w:r>
      <w:r>
        <w:rPr>
          <w:rFonts w:hint="eastAsia" w:asciiTheme="minorEastAsia" w:hAnsiTheme="minorEastAsia" w:eastAsiaTheme="minorEastAsia" w:cstheme="minorEastAsia"/>
          <w:sz w:val="21"/>
          <w:szCs w:val="21"/>
          <w:lang w:val="en-US" w:eastAsia="zh-CN"/>
        </w:rPr>
        <w:t>文件。</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p>
    <w:tbl>
      <w:tblPr>
        <w:tblStyle w:val="22"/>
        <w:tblW w:w="8718" w:type="dxa"/>
        <w:tblInd w:w="108" w:type="dxa"/>
        <w:tblLayout w:type="autofit"/>
        <w:tblCellMar>
          <w:top w:w="0" w:type="dxa"/>
          <w:left w:w="108" w:type="dxa"/>
          <w:bottom w:w="0" w:type="dxa"/>
          <w:right w:w="108" w:type="dxa"/>
        </w:tblCellMar>
      </w:tblPr>
      <w:tblGrid>
        <w:gridCol w:w="4536"/>
        <w:gridCol w:w="4182"/>
      </w:tblGrid>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lang w:val="en-US" w:eastAsia="zh-CN"/>
              </w:rPr>
            </w:pPr>
            <w:r>
              <w:rPr>
                <w:rFonts w:hint="eastAsia" w:asciiTheme="minorEastAsia" w:hAnsiTheme="minorEastAsia" w:eastAsiaTheme="minorEastAsia" w:cstheme="minorEastAsia"/>
                <w:spacing w:val="10"/>
                <w:sz w:val="21"/>
                <w:szCs w:val="21"/>
              </w:rPr>
              <w:t>甲方</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盖章</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pacing w:val="10"/>
                <w:sz w:val="21"/>
                <w:szCs w:val="21"/>
                <w:lang w:val="en-US" w:eastAsia="zh-CN"/>
              </w:rPr>
              <w:t>合肥文旅博览集团有限公司</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乙方</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盖章</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w:t>
            </w:r>
          </w:p>
        </w:tc>
      </w:tr>
      <w:tr>
        <w:tblPrEx>
          <w:tblCellMar>
            <w:top w:w="0" w:type="dxa"/>
            <w:left w:w="108" w:type="dxa"/>
            <w:bottom w:w="0" w:type="dxa"/>
            <w:right w:w="108" w:type="dxa"/>
          </w:tblCellMar>
        </w:tblPrEx>
        <w:trPr>
          <w:trHeight w:val="620" w:hRule="atLeast"/>
        </w:trPr>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p>
        </w:tc>
      </w:tr>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甲方代表</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签</w:t>
            </w:r>
            <w:r>
              <w:rPr>
                <w:rFonts w:hint="eastAsia" w:asciiTheme="minorEastAsia" w:hAnsiTheme="minorEastAsia" w:eastAsiaTheme="minorEastAsia" w:cstheme="minorEastAsia"/>
                <w:spacing w:val="10"/>
                <w:sz w:val="21"/>
                <w:szCs w:val="21"/>
                <w:lang w:val="en-US" w:eastAsia="zh-CN"/>
              </w:rPr>
              <w:t>名）</w:t>
            </w:r>
            <w:r>
              <w:rPr>
                <w:rFonts w:hint="eastAsia" w:asciiTheme="minorEastAsia" w:hAnsiTheme="minorEastAsia" w:eastAsiaTheme="minorEastAsia" w:cstheme="minorEastAsia"/>
                <w:spacing w:val="10"/>
                <w:sz w:val="21"/>
                <w:szCs w:val="21"/>
              </w:rPr>
              <w:t>：</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乙方代表</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签</w:t>
            </w:r>
            <w:r>
              <w:rPr>
                <w:rFonts w:hint="eastAsia" w:asciiTheme="minorEastAsia" w:hAnsiTheme="minorEastAsia" w:eastAsiaTheme="minorEastAsia" w:cstheme="minorEastAsia"/>
                <w:spacing w:val="10"/>
                <w:sz w:val="21"/>
                <w:szCs w:val="21"/>
                <w:lang w:val="en-US" w:eastAsia="zh-CN"/>
              </w:rPr>
              <w:t>名）</w:t>
            </w:r>
            <w:r>
              <w:rPr>
                <w:rFonts w:hint="eastAsia" w:asciiTheme="minorEastAsia" w:hAnsiTheme="minorEastAsia" w:eastAsiaTheme="minorEastAsia" w:cstheme="minorEastAsia"/>
                <w:spacing w:val="10"/>
                <w:sz w:val="21"/>
                <w:szCs w:val="21"/>
              </w:rPr>
              <w:t>：</w:t>
            </w:r>
          </w:p>
        </w:tc>
      </w:tr>
      <w:tr>
        <w:tblPrEx>
          <w:tblCellMar>
            <w:top w:w="0" w:type="dxa"/>
            <w:left w:w="108" w:type="dxa"/>
            <w:bottom w:w="0" w:type="dxa"/>
            <w:right w:w="108" w:type="dxa"/>
          </w:tblCellMar>
        </w:tblPrEx>
        <w:trPr>
          <w:trHeight w:val="593" w:hRule="atLeast"/>
        </w:trPr>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p>
        </w:tc>
      </w:tr>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地址：安徽省合肥市政务文化新区习友路988号</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地址：</w:t>
            </w:r>
          </w:p>
        </w:tc>
      </w:tr>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邮编：</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邮编：</w:t>
            </w:r>
          </w:p>
        </w:tc>
      </w:tr>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联系人：</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联系人：</w:t>
            </w:r>
          </w:p>
        </w:tc>
      </w:tr>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电话：</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电话：</w:t>
            </w:r>
          </w:p>
        </w:tc>
      </w:tr>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传真：</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传真：</w:t>
            </w:r>
          </w:p>
        </w:tc>
      </w:tr>
    </w:tbl>
    <w:p>
      <w:pPr>
        <w:keepNext w:val="0"/>
        <w:keepLines w:val="0"/>
        <w:pageBreakBefore w:val="0"/>
        <w:kinsoku/>
        <w:wordWrap/>
        <w:overflowPunct/>
        <w:topLinePunct w:val="0"/>
        <w:autoSpaceDE/>
        <w:autoSpaceDN/>
        <w:bidi w:val="0"/>
        <w:spacing w:line="520" w:lineRule="atLeast"/>
        <w:textAlignment w:val="auto"/>
        <w:rPr>
          <w:rFonts w:hint="eastAsia" w:asciiTheme="minorEastAsia" w:hAnsiTheme="minorEastAsia" w:eastAsiaTheme="minorEastAsia" w:cstheme="minorEastAsia"/>
          <w:b/>
          <w:sz w:val="28"/>
          <w:szCs w:val="28"/>
        </w:rPr>
      </w:pPr>
    </w:p>
    <w:bookmarkEnd w:id="20"/>
    <w:p>
      <w:pPr>
        <w:adjustRightInd w:val="0"/>
        <w:snapToGrid w:val="0"/>
        <w:spacing w:line="500" w:lineRule="exact"/>
        <w:rPr>
          <w:rFonts w:hint="eastAsia" w:asciiTheme="minorEastAsia" w:hAnsiTheme="minorEastAsia" w:eastAsiaTheme="minorEastAsia" w:cstheme="minorEastAsia"/>
          <w:color w:val="000000"/>
          <w:szCs w:val="21"/>
        </w:rPr>
      </w:pPr>
    </w:p>
    <w:p>
      <w:pPr>
        <w:spacing w:before="120" w:beforeLines="50" w:after="72" w:afterLines="30" w:line="360" w:lineRule="auto"/>
        <w:rPr>
          <w:rFonts w:hint="eastAsia" w:ascii="宋体" w:hAnsi="宋体" w:cs="宋体"/>
          <w:sz w:val="24"/>
        </w:rPr>
      </w:pPr>
      <w:r>
        <w:rPr>
          <w:rFonts w:hint="eastAsia" w:ascii="宋体" w:hAnsi="宋体" w:cs="宋体"/>
          <w:b/>
          <w:kern w:val="0"/>
          <w:sz w:val="24"/>
        </w:rPr>
        <w:t>备注：本合同的约定如与本项目</w:t>
      </w:r>
      <w:r>
        <w:rPr>
          <w:rFonts w:hint="eastAsia" w:ascii="宋体" w:hAnsi="宋体" w:cs="宋体"/>
          <w:b/>
          <w:kern w:val="0"/>
          <w:sz w:val="24"/>
          <w:lang w:val="en-US" w:eastAsia="zh-CN"/>
        </w:rPr>
        <w:t>询价</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adjustRightInd w:val="0"/>
        <w:snapToGrid w:val="0"/>
        <w:spacing w:line="500" w:lineRule="exact"/>
        <w:rPr>
          <w:rFonts w:hint="eastAsia" w:asciiTheme="minorEastAsia" w:hAnsiTheme="minorEastAsia" w:eastAsiaTheme="minorEastAsia" w:cstheme="minorEastAsia"/>
          <w:color w:val="000000"/>
          <w:szCs w:val="21"/>
        </w:rPr>
      </w:pP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bookmarkStart w:id="21" w:name="_Toc4387"/>
      <w:r>
        <w:rPr>
          <w:rFonts w:hint="eastAsia" w:asciiTheme="minorEastAsia" w:hAnsiTheme="minorEastAsia" w:eastAsiaTheme="minorEastAsia" w:cstheme="minorEastAsia"/>
          <w:b/>
          <w:bCs w:val="0"/>
          <w:sz w:val="44"/>
          <w:szCs w:val="44"/>
        </w:rPr>
        <w:t>廉  政  协  议</w:t>
      </w:r>
      <w:bookmarkEnd w:id="21"/>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电话：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imes New Roman" w:hAnsi="Times New Roman" w:cs="Times New Roman" w:eastAsiaTheme="minorEastAsia"/>
          <w:sz w:val="24"/>
        </w:rPr>
      </w:pPr>
      <w:r>
        <w:rPr>
          <w:rFonts w:hint="eastAsia" w:asciiTheme="minorEastAsia" w:hAnsiTheme="minorEastAsia" w:eastAsiaTheme="minorEastAsia" w:cstheme="minorEastAsia"/>
          <w:sz w:val="21"/>
          <w:szCs w:val="21"/>
        </w:rPr>
        <w:t>日期：                            日期：</w:t>
      </w:r>
    </w:p>
    <w:p>
      <w:pPr>
        <w:widowControl/>
        <w:jc w:val="left"/>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1"/>
        <w:rPr>
          <w:rFonts w:ascii="Times New Roman" w:hAnsi="Times New Roman" w:cs="Times New Roman" w:eastAsiaTheme="minorEastAsia"/>
          <w:b/>
          <w:sz w:val="28"/>
        </w:rPr>
      </w:pPr>
      <w:bookmarkStart w:id="22" w:name="_Toc22226"/>
      <w:bookmarkStart w:id="23" w:name="_Toc10267"/>
      <w:r>
        <w:rPr>
          <w:rFonts w:ascii="Times New Roman" w:hAnsi="Times New Roman" w:cs="Times New Roman" w:eastAsiaTheme="minorEastAsia"/>
          <w:b/>
          <w:sz w:val="28"/>
        </w:rPr>
        <w:t>第六章  投标文件格式</w:t>
      </w:r>
      <w:bookmarkEnd w:id="22"/>
      <w:bookmarkEnd w:id="23"/>
    </w:p>
    <w:p>
      <w:pPr>
        <w:spacing w:line="500" w:lineRule="exact"/>
        <w:jc w:val="center"/>
        <w:rPr>
          <w:rFonts w:ascii="Times New Roman" w:hAnsi="Times New Roman" w:cs="Times New Roman" w:eastAsiaTheme="minorEastAsia"/>
          <w:b/>
          <w:sz w:val="32"/>
        </w:rPr>
      </w:pPr>
      <w:r>
        <w:rPr>
          <w:rFonts w:hint="eastAsia" w:ascii="Times New Roman" w:hAnsi="Times New Roman" w:cs="Times New Roman" w:eastAsiaTheme="minorEastAsia"/>
          <w:b/>
          <w:sz w:val="32"/>
          <w:lang w:eastAsia="zh-CN"/>
        </w:rPr>
        <w:t>合肥国际人才公寓闲置变压器及配电箱</w:t>
      </w:r>
      <w:r>
        <w:rPr>
          <w:rFonts w:hint="eastAsia" w:ascii="Times New Roman" w:hAnsi="Times New Roman" w:cs="Times New Roman" w:eastAsiaTheme="minorEastAsia"/>
          <w:b/>
          <w:sz w:val="32"/>
        </w:rPr>
        <w:t>资产评估服务</w:t>
      </w:r>
      <w:r>
        <w:rPr>
          <w:rFonts w:ascii="Times New Roman" w:hAnsi="Times New Roman" w:cs="Times New Roman" w:eastAsiaTheme="minorEastAsia"/>
          <w:b/>
          <w:sz w:val="32"/>
        </w:rPr>
        <w:t>项目</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pPr>
        <w:spacing w:line="900" w:lineRule="exact"/>
        <w:jc w:val="center"/>
        <w:rPr>
          <w:rFonts w:ascii="Times New Roman" w:hAnsi="Times New Roman" w:cs="Times New Roman" w:eastAsiaTheme="minorEastAsia"/>
          <w:b/>
          <w:sz w:val="72"/>
        </w:rPr>
      </w:pPr>
    </w:p>
    <w:p>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pPr>
        <w:spacing w:after="156" w:afterLines="50"/>
        <w:jc w:val="center"/>
        <w:rPr>
          <w:rFonts w:ascii="Times New Roman" w:hAnsi="Times New Roman" w:cs="Times New Roman" w:eastAsiaTheme="minorEastAsia"/>
          <w:b/>
          <w:sz w:val="72"/>
        </w:rPr>
      </w:pPr>
    </w:p>
    <w:p>
      <w:pPr>
        <w:spacing w:before="156" w:beforeLines="50" w:after="156" w:afterLines="50"/>
        <w:jc w:val="center"/>
        <w:rPr>
          <w:rFonts w:ascii="Times New Roman" w:hAnsi="Times New Roman" w:cs="Times New Roman" w:eastAsiaTheme="minorEastAsia"/>
          <w:b/>
          <w:sz w:val="32"/>
          <w:szCs w:val="32"/>
        </w:rPr>
      </w:pPr>
    </w:p>
    <w:p>
      <w:pPr>
        <w:spacing w:after="156" w:afterLines="50" w:line="500" w:lineRule="exact"/>
        <w:jc w:val="center"/>
        <w:rPr>
          <w:rFonts w:ascii="Times New Roman" w:hAnsi="Times New Roman" w:cs="Times New Roman" w:eastAsiaTheme="minorEastAsia"/>
          <w:b/>
          <w:sz w:val="28"/>
          <w:szCs w:val="28"/>
        </w:rPr>
      </w:pPr>
    </w:p>
    <w:p>
      <w:pPr>
        <w:spacing w:after="156" w:afterLines="50" w:line="500" w:lineRule="exact"/>
        <w:jc w:val="center"/>
        <w:rPr>
          <w:rFonts w:ascii="Times New Roman" w:hAnsi="Times New Roman" w:cs="Times New Roman" w:eastAsiaTheme="minorEastAsia"/>
          <w:b/>
          <w:sz w:val="72"/>
        </w:rPr>
      </w:pPr>
    </w:p>
    <w:p>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pPr>
        <w:numPr>
          <w:ilvl w:val="0"/>
          <w:numId w:val="2"/>
        </w:numPr>
        <w:spacing w:line="360" w:lineRule="auto"/>
        <w:jc w:val="center"/>
        <w:outlineLvl w:val="2"/>
        <w:rPr>
          <w:rFonts w:ascii="Times New Roman" w:hAnsi="Times New Roman" w:cs="Times New Roman" w:eastAsiaTheme="minorEastAsia"/>
          <w:b/>
          <w:sz w:val="24"/>
        </w:rPr>
      </w:pPr>
      <w:bookmarkStart w:id="24" w:name="_Hlk23205287"/>
      <w:r>
        <w:rPr>
          <w:rFonts w:ascii="Times New Roman" w:hAnsi="Times New Roman" w:cs="Times New Roman" w:eastAsiaTheme="minorEastAsia"/>
          <w:b/>
          <w:sz w:val="24"/>
        </w:rPr>
        <w:t>报价表</w:t>
      </w:r>
    </w:p>
    <w:p>
      <w:pPr>
        <w:snapToGrid w:val="0"/>
        <w:spacing w:line="360" w:lineRule="auto"/>
        <w:jc w:val="left"/>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b/>
          <w:sz w:val="24"/>
          <w:szCs w:val="24"/>
          <w:u w:val="single"/>
          <w:lang w:eastAsia="zh-CN"/>
        </w:rPr>
        <w:t>合肥国际人才公寓闲置变压器及配电箱</w:t>
      </w:r>
      <w:r>
        <w:rPr>
          <w:rFonts w:hint="eastAsia" w:ascii="Times New Roman" w:hAnsi="Times New Roman" w:cs="Times New Roman" w:eastAsiaTheme="minorEastAsia"/>
          <w:b/>
          <w:sz w:val="24"/>
          <w:szCs w:val="24"/>
          <w:u w:val="single"/>
        </w:rPr>
        <w:t>资产评估服务</w:t>
      </w:r>
      <w:r>
        <w:rPr>
          <w:rFonts w:hint="eastAsia" w:ascii="Times New Roman" w:hAnsi="Times New Roman" w:cs="Times New Roman"/>
          <w:b/>
          <w:bCs w:val="0"/>
          <w:color w:val="auto"/>
          <w:sz w:val="24"/>
          <w:szCs w:val="24"/>
          <w:u w:val="single"/>
          <w:lang w:val="en-US" w:eastAsia="zh-CN"/>
        </w:rPr>
        <w:t>（二次）</w:t>
      </w:r>
      <w:r>
        <w:rPr>
          <w:rFonts w:hint="eastAsia" w:ascii="Times New Roman" w:hAnsi="Times New Roman" w:cs="Times New Roman" w:eastAsiaTheme="minorEastAsia"/>
          <w:b/>
          <w:sz w:val="24"/>
          <w:szCs w:val="24"/>
          <w:u w:val="single"/>
          <w:lang w:val="en-US" w:eastAsia="zh-CN"/>
        </w:rPr>
        <w:t>项目</w:t>
      </w:r>
      <w:r>
        <w:rPr>
          <w:rFonts w:ascii="Times New Roman" w:hAnsi="Times New Roman" w:cs="Times New Roman" w:eastAsiaTheme="minorEastAsia"/>
          <w:b/>
          <w:sz w:val="24"/>
          <w:szCs w:val="24"/>
          <w:u w:val="single"/>
        </w:rPr>
        <w:t xml:space="preserve"> </w:t>
      </w:r>
    </w:p>
    <w:p>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b/>
          <w:sz w:val="24"/>
          <w:szCs w:val="24"/>
          <w:u w:val="single"/>
        </w:rPr>
        <w:t>2024WLBLZB00022号</w:t>
      </w:r>
      <w:r>
        <w:rPr>
          <w:rFonts w:ascii="Times New Roman" w:hAnsi="Times New Roman" w:cs="Times New Roman" w:eastAsiaTheme="minorEastAsia"/>
          <w:b/>
          <w:sz w:val="24"/>
          <w:szCs w:val="24"/>
          <w:u w:val="single"/>
        </w:rPr>
        <w:t xml:space="preserve"> </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3557" w:type="pct"/>
            <w:tcBorders>
              <w:left w:val="single" w:color="auto" w:sz="4" w:space="0"/>
            </w:tcBorders>
          </w:tcPr>
          <w:p>
            <w:pPr>
              <w:rPr>
                <w:rFonts w:ascii="Times New Roman" w:hAnsi="Times New Roman" w:cs="Times New Roman"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3557" w:type="pct"/>
            <w:tcBorders>
              <w:left w:val="single" w:color="auto" w:sz="4" w:space="0"/>
            </w:tcBorders>
            <w:vAlign w:val="center"/>
          </w:tcPr>
          <w:p>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3557" w:type="pct"/>
            <w:vAlign w:val="center"/>
          </w:tcPr>
          <w:p>
            <w:pPr>
              <w:snapToGrid w:val="0"/>
              <w:rPr>
                <w:rFonts w:ascii="Times New Roman" w:hAnsi="Times New Roman" w:cs="Times New Roman" w:eastAsiaTheme="minorEastAsia"/>
                <w:sz w:val="24"/>
                <w:szCs w:val="24"/>
              </w:rPr>
            </w:pPr>
          </w:p>
          <w:p>
            <w:pPr>
              <w:snapToGrid w:val="0"/>
              <w:rPr>
                <w:rFonts w:ascii="Times New Roman" w:hAnsi="Times New Roman" w:cs="Times New Roman" w:eastAsiaTheme="minorEastAsia"/>
                <w:bCs/>
                <w:sz w:val="24"/>
                <w:szCs w:val="24"/>
                <w:u w:val="single"/>
              </w:rPr>
            </w:pPr>
            <w:r>
              <w:rPr>
                <w:rFonts w:ascii="Times New Roman" w:hAnsi="Times New Roman" w:cs="Times New Roman" w:eastAsiaTheme="minorEastAsia"/>
                <w:bCs/>
                <w:sz w:val="24"/>
                <w:szCs w:val="24"/>
              </w:rPr>
              <w:t>人民币大写：</w:t>
            </w:r>
            <w:r>
              <w:rPr>
                <w:rFonts w:ascii="Times New Roman" w:hAnsi="Times New Roman" w:cs="Times New Roman" w:eastAsiaTheme="minorEastAsia"/>
                <w:bCs/>
                <w:sz w:val="24"/>
                <w:szCs w:val="24"/>
                <w:u w:val="single"/>
              </w:rPr>
              <w:t xml:space="preserve">                        </w:t>
            </w:r>
          </w:p>
          <w:p>
            <w:pPr>
              <w:snapToGrid w:val="0"/>
              <w:rPr>
                <w:rFonts w:hint="default" w:ascii="Times New Roman" w:hAnsi="Times New Roman" w:cs="Times New Roman"/>
                <w:b w:val="0"/>
                <w:bCs/>
                <w:sz w:val="24"/>
                <w:szCs w:val="24"/>
                <w:lang w:val="en-US" w:eastAsia="zh-CN"/>
              </w:rPr>
            </w:pPr>
          </w:p>
          <w:p>
            <w:pPr>
              <w:snapToGrid w:val="0"/>
              <w:rPr>
                <w:rFonts w:hint="default" w:ascii="Times New Roman" w:hAnsi="Times New Roman" w:cs="Times New Roman" w:eastAsiaTheme="minorEastAsia"/>
                <w:b/>
                <w:sz w:val="24"/>
                <w:szCs w:val="24"/>
                <w:lang w:val="en-US" w:eastAsia="zh-CN"/>
              </w:rPr>
            </w:pPr>
            <w:r>
              <w:rPr>
                <w:rFonts w:hint="default" w:ascii="Times New Roman" w:hAnsi="Times New Roman" w:cs="Times New Roman"/>
                <w:b w:val="0"/>
                <w:bCs/>
                <w:sz w:val="24"/>
                <w:szCs w:val="24"/>
                <w:lang w:val="en-US" w:eastAsia="zh-CN"/>
              </w:rPr>
              <w:t>人民币小写：</w:t>
            </w:r>
            <w:r>
              <w:rPr>
                <w:rFonts w:ascii="Times New Roman" w:hAnsi="Times New Roman" w:cs="Times New Roman" w:eastAsiaTheme="minorEastAsia"/>
                <w:bCs/>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442" w:type="pct"/>
            <w:tcBorders>
              <w:top w:val="single" w:color="auto" w:sz="4" w:space="0"/>
            </w:tcBorders>
            <w:vAlign w:val="center"/>
          </w:tcPr>
          <w:p>
            <w:pPr>
              <w:jc w:val="center"/>
              <w:rPr>
                <w:rFonts w:hint="eastAsia" w:ascii="Times New Roman" w:hAnsi="Times New Roman" w:cs="Times New Roman" w:eastAsiaTheme="minorEastAsia"/>
                <w:b/>
                <w:sz w:val="24"/>
                <w:szCs w:val="24"/>
                <w:lang w:val="en-US" w:eastAsia="zh-CN"/>
              </w:rPr>
            </w:pPr>
            <w:r>
              <w:rPr>
                <w:rFonts w:hint="eastAsia" w:ascii="Times New Roman" w:hAnsi="Times New Roman" w:cs="Times New Roman"/>
                <w:b/>
                <w:sz w:val="24"/>
                <w:szCs w:val="24"/>
                <w:lang w:val="en-US" w:eastAsia="zh-CN"/>
              </w:rPr>
              <w:t>服务期限</w:t>
            </w:r>
          </w:p>
        </w:tc>
        <w:tc>
          <w:tcPr>
            <w:tcW w:w="3557" w:type="pct"/>
            <w:vAlign w:val="center"/>
          </w:tcPr>
          <w:p>
            <w:pPr>
              <w:snapToGrid w:val="0"/>
              <w:rPr>
                <w:rFonts w:hint="default"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3557" w:type="pct"/>
          </w:tcPr>
          <w:p>
            <w:pPr>
              <w:rPr>
                <w:rFonts w:ascii="Times New Roman" w:hAnsi="Times New Roman" w:cs="Times New Roman" w:eastAsiaTheme="minorEastAsia"/>
                <w:b/>
                <w:sz w:val="24"/>
                <w:szCs w:val="24"/>
              </w:rPr>
            </w:pPr>
          </w:p>
        </w:tc>
      </w:tr>
    </w:tbl>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文件要求包括了</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文件要求提供的全部内容的所有费用。</w:t>
      </w:r>
    </w:p>
    <w:p>
      <w:pPr>
        <w:adjustRightInd w:val="0"/>
        <w:snapToGrid w:val="0"/>
        <w:spacing w:line="360" w:lineRule="auto"/>
        <w:ind w:firstLine="482" w:firstLineChars="200"/>
        <w:jc w:val="left"/>
        <w:rPr>
          <w:rFonts w:ascii="Times New Roman" w:hAnsi="Times New Roman" w:eastAsia="宋体" w:cs="Times New Roman"/>
          <w:b/>
          <w:sz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二、投标函</w:t>
      </w:r>
    </w:p>
    <w:p>
      <w:pPr>
        <w:pStyle w:val="13"/>
        <w:spacing w:line="360" w:lineRule="auto"/>
        <w:ind w:left="0" w:leftChars="0" w:firstLine="0" w:firstLineChars="0"/>
        <w:rPr>
          <w:rFonts w:ascii="Times New Roman" w:hAnsi="Times New Roman" w:cs="Times New Roman" w:eastAsiaTheme="minorEastAsia"/>
          <w:sz w:val="24"/>
        </w:rPr>
      </w:pPr>
      <w:r>
        <w:rPr>
          <w:rFonts w:ascii="Times New Roman" w:hAnsi="Times New Roman" w:cs="Times New Roman" w:eastAsiaTheme="minorEastAsia"/>
          <w:sz w:val="24"/>
        </w:rPr>
        <w:t>致：</w:t>
      </w:r>
      <w:r>
        <w:rPr>
          <w:rFonts w:hint="eastAsia" w:cs="宋体" w:asciiTheme="minorEastAsia" w:hAnsiTheme="minorEastAsia" w:eastAsiaTheme="minorEastAsia"/>
          <w:b/>
          <w:kern w:val="2"/>
          <w:sz w:val="24"/>
          <w:szCs w:val="24"/>
          <w:u w:val="single"/>
          <w:lang w:val="en-US" w:eastAsia="zh-CN"/>
        </w:rPr>
        <w:t>合肥文旅博览集团有限公司</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根据贵方的询价文件，我方承诺如下：</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r>
        <w:rPr>
          <w:rFonts w:hint="eastAsia" w:cs="宋体" w:asciiTheme="minorEastAsia" w:hAnsiTheme="minorEastAsia" w:eastAsiaTheme="minorEastAsia"/>
          <w:kern w:val="2"/>
          <w:sz w:val="24"/>
          <w:szCs w:val="24"/>
        </w:rPr>
        <w:t>经踏勘项目现场和研究上述</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文件的</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bCs/>
          <w:kern w:val="2"/>
          <w:sz w:val="24"/>
          <w:szCs w:val="24"/>
        </w:rPr>
        <w:t>文件、合同条款和招标人要求承担上述项目的全部内容。</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2.</w:t>
      </w:r>
      <w:r>
        <w:rPr>
          <w:rFonts w:ascii="Times New Roman" w:hAnsi="Times New Roman" w:cs="Times New Roman" w:eastAsiaTheme="minorEastAsia"/>
          <w:sz w:val="24"/>
          <w:szCs w:val="24"/>
        </w:rPr>
        <w:t>我方已详细审核全部询价文件，包括询价文件的补疑、澄清、变更或补充（如有），参考资料及有关附件，我方正式认可并遵守本次询价文件，并对询价文件各项条款（包括询价时间）、规定及要求均无异议。且我方自愿放弃</w:t>
      </w:r>
      <w:r>
        <w:rPr>
          <w:rFonts w:hint="eastAsia" w:ascii="Times New Roman" w:hAnsi="Times New Roman" w:cs="Times New Roman"/>
          <w:sz w:val="24"/>
          <w:szCs w:val="24"/>
          <w:lang w:eastAsia="zh-CN"/>
        </w:rPr>
        <w:t>针对</w:t>
      </w:r>
      <w:r>
        <w:rPr>
          <w:rFonts w:ascii="Times New Roman" w:hAnsi="Times New Roman" w:cs="Times New Roman" w:eastAsiaTheme="minorEastAsia"/>
          <w:sz w:val="24"/>
          <w:szCs w:val="24"/>
        </w:rPr>
        <w:t>上述各项条款提出异议的权利。</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3</w:t>
      </w:r>
      <w:r>
        <w:rPr>
          <w:rFonts w:ascii="Times New Roman" w:hAnsi="Times New Roman" w:cs="Times New Roman" w:eastAsiaTheme="minorEastAsia"/>
          <w:sz w:val="24"/>
          <w:szCs w:val="24"/>
        </w:rPr>
        <w:t>.如我方中标，我方承诺愿意按询价文件规定缴纳履约保证金。</w:t>
      </w:r>
      <w:r>
        <w:rPr>
          <w:rFonts w:hint="eastAsia"/>
          <w:sz w:val="24"/>
        </w:rPr>
        <w:t>按本次</w:t>
      </w:r>
      <w:r>
        <w:rPr>
          <w:rFonts w:hint="eastAsia"/>
          <w:sz w:val="24"/>
          <w:lang w:eastAsia="zh-CN"/>
        </w:rPr>
        <w:t>询价</w:t>
      </w:r>
      <w:r>
        <w:rPr>
          <w:rFonts w:hint="eastAsia"/>
          <w:sz w:val="24"/>
        </w:rPr>
        <w:t>文件规定及最终投标报价承诺提供</w:t>
      </w:r>
      <w:r>
        <w:rPr>
          <w:rFonts w:hint="eastAsia"/>
          <w:sz w:val="24"/>
          <w:lang w:eastAsia="zh-CN"/>
        </w:rPr>
        <w:t>服务</w:t>
      </w:r>
      <w:r>
        <w:rPr>
          <w:rFonts w:ascii="Times New Roman" w:hAnsi="Times New Roman" w:cs="Times New Roman" w:eastAsiaTheme="minorEastAsia"/>
          <w:sz w:val="24"/>
          <w:szCs w:val="24"/>
        </w:rPr>
        <w:t>。</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4</w:t>
      </w:r>
      <w:r>
        <w:rPr>
          <w:rFonts w:ascii="Times New Roman" w:hAnsi="Times New Roman" w:cs="Times New Roman" w:eastAsiaTheme="minorEastAsia"/>
          <w:sz w:val="24"/>
          <w:szCs w:val="24"/>
        </w:rPr>
        <w:t>.我方根据本次询价文件的规定，严格履行合同的责任和义务,并保证于你方要求的日期内完成服务</w:t>
      </w:r>
      <w:r>
        <w:rPr>
          <w:rFonts w:hint="eastAsia" w:ascii="Times New Roman" w:hAnsi="Times New Roman" w:cs="Times New Roman"/>
          <w:sz w:val="24"/>
          <w:szCs w:val="24"/>
          <w:lang w:val="en-US" w:eastAsia="zh-CN"/>
        </w:rPr>
        <w:t>要求</w:t>
      </w:r>
      <w:r>
        <w:rPr>
          <w:rFonts w:ascii="Times New Roman" w:hAnsi="Times New Roman" w:cs="Times New Roman" w:eastAsiaTheme="minorEastAsia"/>
          <w:sz w:val="24"/>
          <w:szCs w:val="24"/>
        </w:rPr>
        <w:t>，并通过你方验收。</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5</w:t>
      </w:r>
      <w:r>
        <w:rPr>
          <w:rFonts w:ascii="Times New Roman" w:hAnsi="Times New Roman" w:cs="Times New Roman" w:eastAsiaTheme="minorEastAsia"/>
          <w:sz w:val="24"/>
          <w:szCs w:val="24"/>
        </w:rPr>
        <w:t>.我方同意按你方要求在规定时间内向你方提供与其投标有关的任何证据或补充资料，否则，我方的投标文件可被你方拒绝。</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6</w:t>
      </w:r>
      <w:r>
        <w:rPr>
          <w:rFonts w:ascii="Times New Roman" w:hAnsi="Times New Roman" w:cs="Times New Roman" w:eastAsiaTheme="minorEastAsia"/>
          <w:sz w:val="24"/>
          <w:szCs w:val="24"/>
        </w:rPr>
        <w:t>.我方同意询价文件规定的付款方式、</w:t>
      </w:r>
      <w:r>
        <w:rPr>
          <w:rFonts w:hint="eastAsia" w:ascii="Times New Roman" w:hAnsi="Times New Roman" w:cs="Times New Roman"/>
          <w:sz w:val="24"/>
          <w:szCs w:val="24"/>
          <w:lang w:val="en-US" w:eastAsia="zh-CN"/>
        </w:rPr>
        <w:t>服务</w:t>
      </w:r>
      <w:r>
        <w:rPr>
          <w:rFonts w:ascii="Times New Roman" w:hAnsi="Times New Roman" w:cs="Times New Roman" w:eastAsiaTheme="minorEastAsia"/>
          <w:sz w:val="24"/>
          <w:szCs w:val="24"/>
        </w:rPr>
        <w:t>期限。</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7</w:t>
      </w:r>
      <w:r>
        <w:rPr>
          <w:rFonts w:ascii="Times New Roman" w:hAnsi="Times New Roman" w:cs="Times New Roman" w:eastAsiaTheme="minorEastAsia"/>
          <w:sz w:val="24"/>
          <w:szCs w:val="24"/>
        </w:rPr>
        <w:t>.我方对投标文件中所提供资料、文件、证书及证件的真实性和有效性负责。</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8</w:t>
      </w:r>
      <w:r>
        <w:rPr>
          <w:rFonts w:ascii="Times New Roman" w:hAnsi="Times New Roman" w:cs="Times New Roman" w:eastAsiaTheme="minorEastAsia"/>
          <w:sz w:val="24"/>
          <w:szCs w:val="24"/>
        </w:rPr>
        <w:t>.我方同意所提交的投标文件在询价文件规定的投标有效期内有效，在此期间内如果中标，我方将受此约束。</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9</w:t>
      </w:r>
      <w:r>
        <w:rPr>
          <w:rFonts w:ascii="Times New Roman" w:hAnsi="Times New Roman" w:cs="Times New Roman" w:eastAsiaTheme="minorEastAsia"/>
          <w:sz w:val="24"/>
          <w:szCs w:val="24"/>
        </w:rPr>
        <w:t>.除非另外达成协议并生效，你方的中标通知书和本投标文件以及询价文件、询价文件澄清、修改、补充将成为约束双方的合同文件的组成部分。</w:t>
      </w:r>
    </w:p>
    <w:p>
      <w:pPr>
        <w:spacing w:line="360" w:lineRule="auto"/>
        <w:ind w:firstLine="480" w:firstLineChars="200"/>
        <w:rPr>
          <w:rFonts w:ascii="Times New Roman" w:hAnsi="Times New Roman" w:cs="Times New Roman"/>
        </w:rPr>
      </w:pPr>
      <w:r>
        <w:rPr>
          <w:rFonts w:hint="eastAsia" w:ascii="Times New Roman" w:hAnsi="Times New Roman" w:cs="Times New Roman"/>
          <w:sz w:val="24"/>
          <w:szCs w:val="24"/>
          <w:lang w:val="en-US" w:eastAsia="zh-CN"/>
        </w:rPr>
        <w:t>10</w:t>
      </w:r>
      <w:r>
        <w:rPr>
          <w:rFonts w:ascii="Times New Roman" w:hAnsi="Times New Roman" w:cs="Times New Roman" w:eastAsiaTheme="minorEastAsia"/>
          <w:sz w:val="24"/>
          <w:szCs w:val="24"/>
        </w:rPr>
        <w:t>.其他补充说明：</w:t>
      </w:r>
      <w:r>
        <w:rPr>
          <w:rFonts w:ascii="Times New Roman" w:hAnsi="Times New Roman" w:cs="Times New Roman" w:eastAsiaTheme="minorEastAsia"/>
          <w:sz w:val="24"/>
          <w:szCs w:val="24"/>
          <w:u w:val="single"/>
        </w:rPr>
        <w:t xml:space="preserve">             补充说明事项（如有）       </w:t>
      </w:r>
    </w:p>
    <w:p>
      <w:pPr>
        <w:pStyle w:val="20"/>
        <w:ind w:firstLine="210"/>
        <w:rPr>
          <w:rFonts w:ascii="Times New Roman" w:hAnsi="Times New Roman" w:cs="Times New Roman"/>
        </w:rPr>
      </w:pPr>
    </w:p>
    <w:p>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pPr>
        <w:widowControl/>
        <w:spacing w:line="360" w:lineRule="auto"/>
        <w:jc w:val="left"/>
        <w:rPr>
          <w:rFonts w:ascii="Times New Roman" w:hAnsi="Times New Roman" w:cs="Times New Roman" w:eastAsiaTheme="minorEastAsia"/>
          <w:b w:val="0"/>
          <w:sz w:val="24"/>
        </w:rPr>
      </w:pPr>
      <w:r>
        <w:rPr>
          <w:rFonts w:ascii="Times New Roman" w:hAnsi="Times New Roman" w:cs="Times New Roman" w:eastAsiaTheme="minorEastAsia"/>
          <w:b w:val="0"/>
          <w:sz w:val="24"/>
        </w:rPr>
        <w:br w:type="page"/>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25" w:name="_Toc121626298"/>
      <w:bookmarkStart w:id="26" w:name="_Toc516969106"/>
      <w:bookmarkStart w:id="27" w:name="_Toc14493"/>
      <w:bookmarkStart w:id="28" w:name="_Toc520983594"/>
      <w:bookmarkStart w:id="29" w:name="_Toc204594911"/>
      <w:bookmarkStart w:id="30" w:name="_Toc3356"/>
      <w:r>
        <w:rPr>
          <w:rFonts w:hint="eastAsia" w:asciiTheme="minorEastAsia" w:hAnsiTheme="minorEastAsia"/>
          <w:b/>
          <w:sz w:val="24"/>
          <w:lang w:val="en-US" w:eastAsia="zh-CN"/>
        </w:rPr>
        <w:t>三</w:t>
      </w:r>
      <w:r>
        <w:rPr>
          <w:rFonts w:hint="eastAsia" w:asciiTheme="minorEastAsia" w:hAnsiTheme="minorEastAsia" w:eastAsiaTheme="minorEastAsia"/>
          <w:b/>
          <w:sz w:val="24"/>
        </w:rPr>
        <w:t>、授权书</w:t>
      </w:r>
      <w:bookmarkEnd w:id="25"/>
      <w:bookmarkEnd w:id="26"/>
      <w:bookmarkEnd w:id="27"/>
      <w:bookmarkEnd w:id="28"/>
      <w:bookmarkEnd w:id="29"/>
      <w:bookmarkEnd w:id="30"/>
    </w:p>
    <w:p>
      <w:pPr>
        <w:spacing w:line="360" w:lineRule="auto"/>
        <w:jc w:val="center"/>
        <w:rPr>
          <w:rFonts w:asciiTheme="minorEastAsia" w:hAnsiTheme="minorEastAsia" w:eastAsiaTheme="minorEastAsia"/>
          <w:b/>
          <w:sz w:val="24"/>
        </w:rPr>
      </w:pPr>
    </w:p>
    <w:p>
      <w:pPr>
        <w:pStyle w:val="12"/>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12"/>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pStyle w:val="12"/>
        <w:snapToGrid w:val="0"/>
        <w:spacing w:line="360" w:lineRule="auto"/>
        <w:ind w:firstLine="480" w:firstLineChars="200"/>
        <w:jc w:val="left"/>
        <w:rPr>
          <w:rFonts w:hAnsi="宋体" w:eastAsia="宋体"/>
          <w:sz w:val="24"/>
          <w:szCs w:val="28"/>
        </w:rPr>
      </w:pPr>
    </w:p>
    <w:p>
      <w:pPr>
        <w:pStyle w:val="12"/>
        <w:snapToGrid w:val="0"/>
        <w:spacing w:line="360" w:lineRule="auto"/>
        <w:ind w:firstLine="480" w:firstLineChars="200"/>
        <w:jc w:val="left"/>
        <w:rPr>
          <w:rFonts w:hAnsi="宋体" w:eastAsia="宋体"/>
          <w:sz w:val="24"/>
        </w:rPr>
      </w:pPr>
    </w:p>
    <w:p>
      <w:pPr>
        <w:pStyle w:val="12"/>
        <w:snapToGrid w:val="0"/>
        <w:spacing w:line="360" w:lineRule="auto"/>
        <w:ind w:firstLine="480" w:firstLineChars="200"/>
        <w:jc w:val="left"/>
        <w:rPr>
          <w:rFonts w:hAnsi="宋体" w:eastAsia="宋体"/>
          <w:sz w:val="24"/>
        </w:rPr>
      </w:pPr>
    </w:p>
    <w:p>
      <w:pPr>
        <w:pStyle w:val="12"/>
        <w:snapToGrid w:val="0"/>
        <w:spacing w:line="360" w:lineRule="auto"/>
        <w:ind w:firstLine="480" w:firstLineChars="200"/>
        <w:jc w:val="left"/>
        <w:rPr>
          <w:rFonts w:hAnsi="宋体" w:eastAsia="宋体"/>
          <w:sz w:val="24"/>
        </w:rPr>
      </w:pPr>
    </w:p>
    <w:p>
      <w:pPr>
        <w:pStyle w:val="12"/>
        <w:snapToGrid w:val="0"/>
        <w:spacing w:line="360" w:lineRule="auto"/>
        <w:ind w:firstLine="240" w:firstLineChars="1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12"/>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12"/>
        <w:snapToGrid w:val="0"/>
        <w:spacing w:line="360" w:lineRule="auto"/>
        <w:jc w:val="left"/>
        <w:rPr>
          <w:rFonts w:hAnsi="宋体" w:eastAsia="宋体"/>
          <w:sz w:val="24"/>
          <w:szCs w:val="28"/>
        </w:rPr>
      </w:pPr>
      <w:r>
        <w:rPr>
          <w:rFonts w:hint="eastAsia" w:hAnsi="宋体" w:eastAsia="宋体"/>
          <w:sz w:val="24"/>
          <w:szCs w:val="28"/>
        </w:rPr>
        <w:t>注：</w:t>
      </w:r>
    </w:p>
    <w:p>
      <w:pPr>
        <w:pStyle w:val="12"/>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w:t>
      </w:r>
      <w:r>
        <w:rPr>
          <w:rFonts w:hint="eastAsia"/>
          <w:sz w:val="24"/>
          <w:lang w:eastAsia="zh-CN"/>
        </w:rPr>
        <w:t>询价</w:t>
      </w:r>
      <w:r>
        <w:rPr>
          <w:rFonts w:hint="eastAsia"/>
          <w:sz w:val="24"/>
        </w:rPr>
        <w:t>的无需提供授权书，仅提供法定代表人身份证明书。</w:t>
      </w:r>
    </w:p>
    <w:p>
      <w:pPr>
        <w:rPr>
          <w:sz w:val="24"/>
          <w:szCs w:val="22"/>
        </w:rPr>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pPr>
    </w:p>
    <w:p>
      <w:pPr>
        <w:pStyle w:val="21"/>
      </w:pPr>
    </w:p>
    <w:p>
      <w:pPr>
        <w:pStyle w:val="21"/>
        <w:rPr>
          <w:sz w:val="24"/>
          <w:szCs w:val="22"/>
        </w:rPr>
      </w:pPr>
    </w:p>
    <w:p>
      <w:pPr>
        <w:spacing w:line="360" w:lineRule="auto"/>
        <w:jc w:val="center"/>
        <w:outlineLvl w:val="1"/>
        <w:rPr>
          <w:rFonts w:hint="eastAsia" w:asciiTheme="minorEastAsia" w:hAnsiTheme="minorEastAsia" w:eastAsiaTheme="minorEastAsia"/>
          <w:b/>
          <w:sz w:val="24"/>
          <w:szCs w:val="20"/>
        </w:rPr>
      </w:pPr>
      <w:bookmarkStart w:id="31" w:name="_Toc8004"/>
      <w:r>
        <w:rPr>
          <w:rFonts w:hint="eastAsia" w:asciiTheme="minorEastAsia" w:hAnsiTheme="minorEastAsia"/>
          <w:b/>
          <w:sz w:val="24"/>
          <w:szCs w:val="20"/>
          <w:lang w:val="en-US" w:eastAsia="zh-CN"/>
        </w:rPr>
        <w:t>四</w:t>
      </w:r>
      <w:r>
        <w:rPr>
          <w:rFonts w:hint="eastAsia" w:asciiTheme="minorEastAsia" w:hAnsiTheme="minorEastAsia" w:eastAsiaTheme="minorEastAsia"/>
          <w:b/>
          <w:sz w:val="24"/>
          <w:szCs w:val="20"/>
          <w:lang w:val="en-US" w:eastAsia="zh-CN"/>
        </w:rPr>
        <w:t>、</w:t>
      </w:r>
      <w:r>
        <w:rPr>
          <w:rFonts w:hint="eastAsia" w:asciiTheme="minorEastAsia" w:hAnsiTheme="minorEastAsia" w:eastAsiaTheme="minorEastAsia"/>
          <w:b/>
          <w:sz w:val="24"/>
          <w:szCs w:val="20"/>
        </w:rPr>
        <w:t>其他相关证明材料</w:t>
      </w:r>
      <w:bookmarkEnd w:id="31"/>
    </w:p>
    <w:p>
      <w:pPr>
        <w:pStyle w:val="21"/>
        <w:numPr>
          <w:ilvl w:val="-1"/>
          <w:numId w:val="0"/>
        </w:numPr>
        <w:ind w:left="400" w:firstLine="0"/>
        <w:rPr>
          <w:rFonts w:hint="eastAsia"/>
          <w:sz w:val="24"/>
          <w:szCs w:val="22"/>
        </w:rPr>
      </w:pPr>
      <w:r>
        <w:rPr>
          <w:rFonts w:hint="eastAsia"/>
          <w:sz w:val="24"/>
          <w:szCs w:val="22"/>
        </w:rPr>
        <w:t>提供符合询价公告、招标人要求及评审方法规定的相关证明文件。</w:t>
      </w:r>
    </w:p>
    <w:p>
      <w:pPr>
        <w:pStyle w:val="21"/>
        <w:numPr>
          <w:ilvl w:val="0"/>
          <w:numId w:val="0"/>
        </w:numPr>
        <w:spacing w:line="360" w:lineRule="auto"/>
        <w:ind w:left="400" w:firstLine="0"/>
        <w:rPr>
          <w:rFonts w:ascii="Times New Roman" w:hAnsi="Times New Roman" w:cs="Times New Roman" w:eastAsiaTheme="minorEastAsia"/>
          <w:sz w:val="24"/>
        </w:rPr>
      </w:pPr>
      <w:r>
        <w:rPr>
          <w:rFonts w:hint="eastAsia"/>
          <w:sz w:val="24"/>
          <w:szCs w:val="22"/>
          <w:lang w:eastAsia="zh-CN"/>
        </w:rPr>
        <w:t>（</w:t>
      </w:r>
      <w:r>
        <w:rPr>
          <w:rFonts w:hint="eastAsia"/>
          <w:sz w:val="24"/>
          <w:szCs w:val="22"/>
          <w:lang w:val="en-US" w:eastAsia="zh-CN"/>
        </w:rPr>
        <w:t>营业执照等</w:t>
      </w:r>
      <w:r>
        <w:rPr>
          <w:rFonts w:hint="eastAsia"/>
          <w:sz w:val="24"/>
          <w:szCs w:val="22"/>
          <w:lang w:eastAsia="zh-CN"/>
        </w:rPr>
        <w:t>）</w:t>
      </w:r>
      <w:bookmarkEnd w:id="24"/>
    </w:p>
    <w:sectPr>
      <w:footerReference r:id="rId8" w:type="default"/>
      <w:pgSz w:w="11906" w:h="16838"/>
      <w:pgMar w:top="1440" w:right="1800" w:bottom="1440" w:left="1800"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yl" w:date="2024-05-10T09:03:38Z" w:initials="">
    <w:p w14:paraId="7A6E798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cs="Times New Roman" w:eastAsiaTheme="minorEastAsia"/>
          <w:b w:val="0"/>
          <w:bCs/>
          <w:sz w:val="28"/>
          <w:lang w:val="en-US" w:eastAsia="zh-CN"/>
        </w:rPr>
      </w:pPr>
      <w:r>
        <w:rPr>
          <w:rFonts w:hint="eastAsia" w:ascii="Times New Roman" w:hAnsi="Times New Roman" w:cs="Times New Roman"/>
          <w:b w:val="0"/>
          <w:bCs/>
          <w:sz w:val="28"/>
          <w:lang w:val="en-US" w:eastAsia="zh-CN"/>
        </w:rPr>
        <w:t>根据</w:t>
      </w:r>
      <w:r>
        <w:rPr>
          <w:rFonts w:ascii="Times New Roman" w:hAnsi="Times New Roman" w:cs="Times New Roman" w:eastAsiaTheme="minorEastAsia"/>
          <w:b w:val="0"/>
          <w:bCs/>
          <w:sz w:val="28"/>
        </w:rPr>
        <w:t>第三章招标人要求</w:t>
      </w:r>
      <w:r>
        <w:rPr>
          <w:rFonts w:hint="eastAsia" w:ascii="Times New Roman" w:hAnsi="Times New Roman" w:cs="Times New Roman"/>
          <w:b w:val="0"/>
          <w:bCs/>
          <w:sz w:val="28"/>
          <w:lang w:val="en-US" w:eastAsia="zh-CN"/>
        </w:rPr>
        <w:t>第六条补充</w:t>
      </w:r>
    </w:p>
    <w:p w14:paraId="47720B11">
      <w:pPr>
        <w:pStyle w:val="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7720B1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1FD6194-4EC5-4FF5-86F8-211E402B4B7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B73609D-5612-4D3C-BB60-71AE3115E7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E0BCC78-2F7E-484B-BAEC-1C9A7C14F58F}"/>
  </w:font>
  <w:font w:name="@仿宋_GB2312">
    <w:panose1 w:val="02010609030101010101"/>
    <w:charset w:val="86"/>
    <w:family w:val="modern"/>
    <w:pitch w:val="default"/>
    <w:sig w:usb0="00000001" w:usb1="080E0000" w:usb2="00000000" w:usb3="00000000" w:csb0="00040000" w:csb1="00000000"/>
    <w:embedRegular r:id="rId4" w:fontKey="{712FBCE7-D60D-4401-B7E9-509CA40DFFE6}"/>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DotumChe">
    <w:altName w:val="Malgun Gothic"/>
    <w:panose1 w:val="00000000000000000000"/>
    <w:charset w:val="81"/>
    <w:family w:val="modern"/>
    <w:pitch w:val="default"/>
    <w:sig w:usb0="00000000" w:usb1="00000000" w:usb2="00000030" w:usb3="00000000" w:csb0="0008009F" w:csb1="00000000"/>
    <w:embedRegular r:id="rId5" w:fontKey="{456DD3C2-D527-4E1C-91CC-9CA071390DB2}"/>
  </w:font>
  <w:font w:name="Wingdings 2">
    <w:panose1 w:val="05020102010507070707"/>
    <w:charset w:val="02"/>
    <w:family w:val="roman"/>
    <w:pitch w:val="default"/>
    <w:sig w:usb0="00000000" w:usb1="00000000" w:usb2="00000000" w:usb3="00000000" w:csb0="80000000" w:csb1="00000000"/>
    <w:embedRegular r:id="rId6" w:fontKey="{16ADDCE4-8608-4981-A384-E7627B623254}"/>
  </w:font>
  <w:font w:name="Segoe UI Symbol">
    <w:panose1 w:val="020B0502040204020203"/>
    <w:charset w:val="00"/>
    <w:family w:val="swiss"/>
    <w:pitch w:val="default"/>
    <w:sig w:usb0="800001E3" w:usb1="1200FFEF" w:usb2="00040000" w:usb3="04000000" w:csb0="00000001" w:csb1="40000000"/>
    <w:embedRegular r:id="rId7" w:fontKey="{1FFC0DB3-1BBE-4E94-994C-492E83F9495A}"/>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rFonts w:asciiTheme="minorEastAsia" w:hAnsiTheme="minorEastAsia" w:eastAsia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rFonts w:asciiTheme="minorEastAsia" w:hAnsiTheme="minorEastAsia" w:eastAsiaTheme="minorEastAsia"/>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hint="eastAsia" w:ascii="Times New Roman" w:hAnsi="Times New Roman" w:eastAsia="宋体" w:cs="Times New Roman"/>
        <w:sz w:val="24"/>
        <w:szCs w:val="24"/>
        <w:lang w:eastAsia="zh-CN"/>
      </w:rPr>
    </w:pPr>
    <w:r>
      <w:rPr>
        <w:rFonts w:ascii="Times New Roman" w:hAnsi="Times New Roman" w:eastAsia="宋体" w:cs="Times New Roman"/>
        <w:color w:val="000000"/>
        <w:sz w:val="18"/>
        <w:szCs w:val="18"/>
        <w:u w:val="single"/>
      </w:rPr>
      <w:drawing>
        <wp:inline distT="0" distB="0" distL="114300" distR="114300">
          <wp:extent cx="457835" cy="443230"/>
          <wp:effectExtent l="0" t="0" r="1841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szCs w:val="24"/>
        <w:u w:val="single"/>
      </w:rPr>
      <w:t>合肥文旅博览集团有限公司</w:t>
    </w:r>
    <w:r>
      <w:rPr>
        <w:rFonts w:hint="eastAsia" w:ascii="Times New Roman" w:hAnsi="Times New Roman" w:eastAsia="宋体" w:cs="Times New Roman"/>
        <w:sz w:val="24"/>
        <w:szCs w:val="24"/>
        <w:u w:val="single"/>
        <w:lang w:val="en-US" w:eastAsia="zh-CN"/>
      </w:rPr>
      <w:t>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p>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orker">
    <w15:presenceInfo w15:providerId="WPS Office" w15:userId="1081483591"/>
  </w15:person>
  <w15:person w15:author="zyl">
    <w15:presenceInfo w15:providerId="WPS Office" w15:userId="31692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ZGVlYjU5N2FjN2M4YmRhYmI3NjE1MGM2YWVkYmY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220DDE"/>
    <w:rsid w:val="01EF4560"/>
    <w:rsid w:val="03AF0B69"/>
    <w:rsid w:val="04096F7B"/>
    <w:rsid w:val="04620439"/>
    <w:rsid w:val="05EC3108"/>
    <w:rsid w:val="06257970"/>
    <w:rsid w:val="063B171A"/>
    <w:rsid w:val="094A1BE5"/>
    <w:rsid w:val="097D52B6"/>
    <w:rsid w:val="09B554AF"/>
    <w:rsid w:val="0BEF5F39"/>
    <w:rsid w:val="0DAB22C6"/>
    <w:rsid w:val="11554019"/>
    <w:rsid w:val="129462CC"/>
    <w:rsid w:val="13397BCE"/>
    <w:rsid w:val="14717EAE"/>
    <w:rsid w:val="17356927"/>
    <w:rsid w:val="18B232E6"/>
    <w:rsid w:val="18F71640"/>
    <w:rsid w:val="19A4731C"/>
    <w:rsid w:val="1A357A52"/>
    <w:rsid w:val="1A6A3C67"/>
    <w:rsid w:val="1A6B5E42"/>
    <w:rsid w:val="1AF96A3E"/>
    <w:rsid w:val="1C1F6775"/>
    <w:rsid w:val="1C9D605B"/>
    <w:rsid w:val="1CDB6B83"/>
    <w:rsid w:val="1D1A5BC6"/>
    <w:rsid w:val="1D7719BD"/>
    <w:rsid w:val="1D944EF8"/>
    <w:rsid w:val="1DAA2521"/>
    <w:rsid w:val="20E74328"/>
    <w:rsid w:val="23B75C54"/>
    <w:rsid w:val="245F009A"/>
    <w:rsid w:val="25164BFC"/>
    <w:rsid w:val="26522036"/>
    <w:rsid w:val="2783171D"/>
    <w:rsid w:val="29E5020D"/>
    <w:rsid w:val="2C247DAC"/>
    <w:rsid w:val="2CC14B77"/>
    <w:rsid w:val="2DAC3BFD"/>
    <w:rsid w:val="2F733923"/>
    <w:rsid w:val="2F760751"/>
    <w:rsid w:val="30CC7E15"/>
    <w:rsid w:val="31EB11BF"/>
    <w:rsid w:val="32D57EA5"/>
    <w:rsid w:val="33075DFB"/>
    <w:rsid w:val="33263D6A"/>
    <w:rsid w:val="340773DC"/>
    <w:rsid w:val="35A43BDE"/>
    <w:rsid w:val="35CF4AD8"/>
    <w:rsid w:val="36251143"/>
    <w:rsid w:val="3729420C"/>
    <w:rsid w:val="379C71E3"/>
    <w:rsid w:val="39B74BDE"/>
    <w:rsid w:val="3A0D2667"/>
    <w:rsid w:val="3B3B6D13"/>
    <w:rsid w:val="3F53046B"/>
    <w:rsid w:val="3F6705F7"/>
    <w:rsid w:val="40780A59"/>
    <w:rsid w:val="42784CF1"/>
    <w:rsid w:val="46835828"/>
    <w:rsid w:val="4BDA4326"/>
    <w:rsid w:val="4DB311C4"/>
    <w:rsid w:val="4E920EE8"/>
    <w:rsid w:val="503B1382"/>
    <w:rsid w:val="52F82D96"/>
    <w:rsid w:val="547B4EA9"/>
    <w:rsid w:val="550F7B55"/>
    <w:rsid w:val="55122FD8"/>
    <w:rsid w:val="55926D29"/>
    <w:rsid w:val="57572CCF"/>
    <w:rsid w:val="587A4399"/>
    <w:rsid w:val="58E53EC8"/>
    <w:rsid w:val="599B1268"/>
    <w:rsid w:val="59E766FB"/>
    <w:rsid w:val="5AF2460E"/>
    <w:rsid w:val="5C3F2EED"/>
    <w:rsid w:val="5C8968EE"/>
    <w:rsid w:val="5CF62206"/>
    <w:rsid w:val="5F1C412F"/>
    <w:rsid w:val="5F596331"/>
    <w:rsid w:val="60B151FE"/>
    <w:rsid w:val="63716633"/>
    <w:rsid w:val="64586600"/>
    <w:rsid w:val="654B14AA"/>
    <w:rsid w:val="65B67155"/>
    <w:rsid w:val="6709554C"/>
    <w:rsid w:val="67B8418F"/>
    <w:rsid w:val="6AF723A7"/>
    <w:rsid w:val="6B486391"/>
    <w:rsid w:val="6BE566A3"/>
    <w:rsid w:val="6CC45353"/>
    <w:rsid w:val="6CC632BF"/>
    <w:rsid w:val="6CC67DF8"/>
    <w:rsid w:val="6CDE4879"/>
    <w:rsid w:val="6E1A0886"/>
    <w:rsid w:val="7016507D"/>
    <w:rsid w:val="71B0505E"/>
    <w:rsid w:val="73E35E45"/>
    <w:rsid w:val="74561EEC"/>
    <w:rsid w:val="74F80B83"/>
    <w:rsid w:val="75387844"/>
    <w:rsid w:val="76D50550"/>
    <w:rsid w:val="772F044F"/>
    <w:rsid w:val="77324D59"/>
    <w:rsid w:val="783A06B1"/>
    <w:rsid w:val="78435456"/>
    <w:rsid w:val="7A9D7D6A"/>
    <w:rsid w:val="7AAF0711"/>
    <w:rsid w:val="7ACD0A2E"/>
    <w:rsid w:val="7DB87774"/>
    <w:rsid w:val="7E5F4BF0"/>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6"/>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link w:val="4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3"/>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autoRedefine/>
    <w:semiHidden/>
    <w:qFormat/>
    <w:uiPriority w:val="0"/>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annotation text"/>
    <w:basedOn w:val="1"/>
    <w:link w:val="45"/>
    <w:autoRedefine/>
    <w:qFormat/>
    <w:uiPriority w:val="0"/>
    <w:pPr>
      <w:jc w:val="left"/>
    </w:pPr>
  </w:style>
  <w:style w:type="paragraph" w:styleId="8">
    <w:name w:val="Body Text"/>
    <w:basedOn w:val="1"/>
    <w:autoRedefine/>
    <w:qFormat/>
    <w:uiPriority w:val="0"/>
    <w:pPr>
      <w:spacing w:after="120" w:afterLines="0" w:afterAutospacing="0"/>
    </w:pPr>
  </w:style>
  <w:style w:type="paragraph" w:styleId="9">
    <w:name w:val="Body Text Indent"/>
    <w:basedOn w:val="1"/>
    <w:next w:val="10"/>
    <w:autoRedefine/>
    <w:semiHidden/>
    <w:unhideWhenUsed/>
    <w:qFormat/>
    <w:uiPriority w:val="0"/>
    <w:pPr>
      <w:spacing w:after="120"/>
      <w:ind w:left="420" w:leftChars="200"/>
    </w:pPr>
  </w:style>
  <w:style w:type="paragraph" w:styleId="10">
    <w:name w:val="envelope return"/>
    <w:basedOn w:val="1"/>
    <w:autoRedefine/>
    <w:qFormat/>
    <w:uiPriority w:val="0"/>
  </w:style>
  <w:style w:type="paragraph" w:styleId="11">
    <w:name w:val="toc 3"/>
    <w:basedOn w:val="1"/>
    <w:next w:val="1"/>
    <w:autoRedefine/>
    <w:qFormat/>
    <w:uiPriority w:val="0"/>
    <w:pPr>
      <w:ind w:left="840" w:leftChars="400"/>
    </w:pPr>
  </w:style>
  <w:style w:type="paragraph" w:styleId="12">
    <w:name w:val="Plain Text"/>
    <w:basedOn w:val="1"/>
    <w:link w:val="34"/>
    <w:autoRedefine/>
    <w:qFormat/>
    <w:uiPriority w:val="0"/>
    <w:rPr>
      <w:rFonts w:ascii="宋体" w:hAnsi="Courier New"/>
    </w:rPr>
  </w:style>
  <w:style w:type="paragraph" w:styleId="13">
    <w:name w:val="Date"/>
    <w:basedOn w:val="1"/>
    <w:next w:val="1"/>
    <w:link w:val="41"/>
    <w:autoRedefine/>
    <w:qFormat/>
    <w:uiPriority w:val="0"/>
    <w:pPr>
      <w:ind w:left="100" w:leftChars="2500"/>
    </w:pPr>
  </w:style>
  <w:style w:type="paragraph" w:styleId="14">
    <w:name w:val="Balloon Text"/>
    <w:basedOn w:val="1"/>
    <w:link w:val="28"/>
    <w:autoRedefine/>
    <w:qFormat/>
    <w:uiPriority w:val="0"/>
    <w:rPr>
      <w:sz w:val="18"/>
    </w:rPr>
  </w:style>
  <w:style w:type="paragraph" w:styleId="15">
    <w:name w:val="footer"/>
    <w:basedOn w:val="1"/>
    <w:link w:val="33"/>
    <w:autoRedefine/>
    <w:qFormat/>
    <w:uiPriority w:val="0"/>
    <w:pPr>
      <w:tabs>
        <w:tab w:val="center" w:pos="4153"/>
        <w:tab w:val="right" w:pos="8306"/>
      </w:tabs>
      <w:snapToGrid w:val="0"/>
      <w:jc w:val="left"/>
    </w:pPr>
    <w:rPr>
      <w:sz w:val="18"/>
    </w:rPr>
  </w:style>
  <w:style w:type="paragraph" w:styleId="16">
    <w:name w:val="header"/>
    <w:basedOn w:val="1"/>
    <w:link w:val="3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0"/>
  </w:style>
  <w:style w:type="paragraph" w:styleId="18">
    <w:name w:val="toc 2"/>
    <w:basedOn w:val="1"/>
    <w:next w:val="1"/>
    <w:autoRedefine/>
    <w:qFormat/>
    <w:uiPriority w:val="0"/>
    <w:pPr>
      <w:ind w:left="420" w:leftChars="200"/>
    </w:pPr>
  </w:style>
  <w:style w:type="paragraph" w:styleId="19">
    <w:name w:val="index 1"/>
    <w:basedOn w:val="1"/>
    <w:next w:val="1"/>
    <w:autoRedefine/>
    <w:qFormat/>
    <w:uiPriority w:val="0"/>
  </w:style>
  <w:style w:type="paragraph" w:styleId="20">
    <w:name w:val="Body Text First Indent"/>
    <w:basedOn w:val="8"/>
    <w:autoRedefine/>
    <w:qFormat/>
    <w:uiPriority w:val="0"/>
    <w:pPr>
      <w:ind w:firstLine="420" w:firstLineChars="100"/>
    </w:pPr>
  </w:style>
  <w:style w:type="paragraph" w:styleId="21">
    <w:name w:val="Body Text First Indent 2"/>
    <w:basedOn w:val="9"/>
    <w:autoRedefine/>
    <w:semiHidden/>
    <w:unhideWhenUsed/>
    <w:qFormat/>
    <w:uiPriority w:val="99"/>
    <w:pPr>
      <w:ind w:firstLine="420" w:firstLineChars="200"/>
    </w:pPr>
  </w:style>
  <w:style w:type="table" w:styleId="23">
    <w:name w:val="Table Grid"/>
    <w:basedOn w:val="22"/>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Emphasis"/>
    <w:basedOn w:val="24"/>
    <w:autoRedefine/>
    <w:qFormat/>
    <w:uiPriority w:val="0"/>
    <w:rPr>
      <w:i/>
    </w:rPr>
  </w:style>
  <w:style w:type="character" w:styleId="27">
    <w:name w:val="Hyperlink"/>
    <w:basedOn w:val="24"/>
    <w:autoRedefine/>
    <w:qFormat/>
    <w:uiPriority w:val="0"/>
    <w:rPr>
      <w:color w:val="0000FF"/>
      <w:u w:val="single"/>
    </w:rPr>
  </w:style>
  <w:style w:type="character" w:customStyle="1" w:styleId="28">
    <w:name w:val="批注框文本 字符"/>
    <w:link w:val="14"/>
    <w:autoRedefine/>
    <w:semiHidden/>
    <w:qFormat/>
    <w:uiPriority w:val="99"/>
    <w:rPr>
      <w:sz w:val="18"/>
    </w:rPr>
  </w:style>
  <w:style w:type="paragraph" w:customStyle="1" w:styleId="2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1">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字符"/>
    <w:link w:val="16"/>
    <w:autoRedefine/>
    <w:qFormat/>
    <w:uiPriority w:val="0"/>
    <w:rPr>
      <w:sz w:val="18"/>
    </w:rPr>
  </w:style>
  <w:style w:type="character" w:customStyle="1" w:styleId="33">
    <w:name w:val="页脚 字符"/>
    <w:link w:val="15"/>
    <w:autoRedefine/>
    <w:qFormat/>
    <w:uiPriority w:val="99"/>
    <w:rPr>
      <w:sz w:val="18"/>
    </w:rPr>
  </w:style>
  <w:style w:type="character" w:customStyle="1" w:styleId="34">
    <w:name w:val="纯文本 字符"/>
    <w:link w:val="12"/>
    <w:autoRedefine/>
    <w:qFormat/>
    <w:uiPriority w:val="0"/>
    <w:rPr>
      <w:rFonts w:ascii="宋体" w:hAnsi="Courier New"/>
    </w:rPr>
  </w:style>
  <w:style w:type="character" w:customStyle="1" w:styleId="35">
    <w:name w:val="纯文本 字符1"/>
    <w:basedOn w:val="24"/>
    <w:autoRedefine/>
    <w:semiHidden/>
    <w:qFormat/>
    <w:uiPriority w:val="99"/>
    <w:rPr>
      <w:rFonts w:hAnsi="Courier New" w:cs="Courier New" w:asciiTheme="minorEastAsia"/>
      <w:szCs w:val="20"/>
    </w:rPr>
  </w:style>
  <w:style w:type="character" w:customStyle="1" w:styleId="36">
    <w:name w:val="未处理的提及1"/>
    <w:basedOn w:val="24"/>
    <w:autoRedefine/>
    <w:semiHidden/>
    <w:unhideWhenUsed/>
    <w:qFormat/>
    <w:uiPriority w:val="99"/>
    <w:rPr>
      <w:color w:val="605E5C"/>
      <w:shd w:val="clear" w:color="auto" w:fill="E1DFDD"/>
    </w:rPr>
  </w:style>
  <w:style w:type="paragraph" w:styleId="37">
    <w:name w:val="List Paragraph"/>
    <w:basedOn w:val="1"/>
    <w:autoRedefine/>
    <w:qFormat/>
    <w:uiPriority w:val="34"/>
    <w:pPr>
      <w:ind w:firstLine="420" w:firstLineChars="200"/>
    </w:pPr>
  </w:style>
  <w:style w:type="paragraph" w:customStyle="1" w:styleId="38">
    <w:name w:val="Char Char Char Char Char Char Char1 Char"/>
    <w:basedOn w:val="1"/>
    <w:autoRedefine/>
    <w:qFormat/>
    <w:uiPriority w:val="0"/>
    <w:rPr>
      <w:rFonts w:ascii="Arial" w:hAnsi="Arial" w:eastAsia="宋体" w:cs="Arial"/>
      <w:sz w:val="24"/>
    </w:rPr>
  </w:style>
  <w:style w:type="table" w:customStyle="1" w:styleId="39">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autoRedefine/>
    <w:semiHidden/>
    <w:qFormat/>
    <w:uiPriority w:val="99"/>
    <w:rPr>
      <w:rFonts w:ascii="@仿宋_GB2312" w:hAnsi="@仿宋_GB2312" w:eastAsia="@仿宋_GB2312" w:cs="@仿宋_GB2312"/>
      <w:szCs w:val="20"/>
    </w:rPr>
  </w:style>
  <w:style w:type="character" w:customStyle="1" w:styleId="41">
    <w:name w:val="日期 字符1"/>
    <w:link w:val="13"/>
    <w:autoRedefine/>
    <w:qFormat/>
    <w:uiPriority w:val="0"/>
  </w:style>
  <w:style w:type="character" w:customStyle="1" w:styleId="42">
    <w:name w:val="纯文本 Char1"/>
    <w:link w:val="43"/>
    <w:autoRedefine/>
    <w:qFormat/>
    <w:locked/>
    <w:uiPriority w:val="0"/>
    <w:rPr>
      <w:rFonts w:ascii="Arial" w:hAnsi="Arial" w:eastAsia="Arial"/>
      <w:kern w:val="2"/>
      <w:sz w:val="21"/>
      <w:lang w:val="en-US" w:eastAsia="zh-CN" w:bidi="ar-SA"/>
    </w:rPr>
  </w:style>
  <w:style w:type="paragraph" w:customStyle="1" w:styleId="43">
    <w:name w:val="纯文本1"/>
    <w:basedOn w:val="1"/>
    <w:link w:val="42"/>
    <w:autoRedefine/>
    <w:qFormat/>
    <w:uiPriority w:val="0"/>
    <w:rPr>
      <w:rFonts w:ascii="Arial" w:hAnsi="Arial" w:eastAsia="Arial" w:cstheme="minorBidi"/>
      <w:szCs w:val="22"/>
    </w:rPr>
  </w:style>
  <w:style w:type="character" w:customStyle="1" w:styleId="44">
    <w:name w:val="批注文字 Char"/>
    <w:basedOn w:val="24"/>
    <w:autoRedefine/>
    <w:semiHidden/>
    <w:qFormat/>
    <w:uiPriority w:val="99"/>
    <w:rPr>
      <w:rFonts w:ascii="@仿宋_GB2312" w:hAnsi="@仿宋_GB2312" w:eastAsia="@仿宋_GB2312" w:cs="@仿宋_GB2312"/>
      <w:szCs w:val="20"/>
    </w:rPr>
  </w:style>
  <w:style w:type="character" w:customStyle="1" w:styleId="45">
    <w:name w:val="批注文字 字符"/>
    <w:link w:val="7"/>
    <w:autoRedefine/>
    <w:qFormat/>
    <w:uiPriority w:val="0"/>
  </w:style>
  <w:style w:type="character" w:customStyle="1" w:styleId="46">
    <w:name w:val="标题 1 字符"/>
    <w:link w:val="3"/>
    <w:autoRedefine/>
    <w:qFormat/>
    <w:uiPriority w:val="9"/>
    <w:rPr>
      <w:b/>
      <w:kern w:val="44"/>
      <w:sz w:val="44"/>
    </w:rPr>
  </w:style>
  <w:style w:type="paragraph" w:customStyle="1" w:styleId="4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字符"/>
    <w:link w:val="2"/>
    <w:autoRedefine/>
    <w:semiHidden/>
    <w:qFormat/>
    <w:uiPriority w:val="9"/>
    <w:rPr>
      <w:b/>
      <w:sz w:val="32"/>
    </w:rPr>
  </w:style>
  <w:style w:type="character" w:customStyle="1" w:styleId="49">
    <w:name w:val="fontstyle01"/>
    <w:basedOn w:val="24"/>
    <w:autoRedefine/>
    <w:qFormat/>
    <w:uiPriority w:val="0"/>
    <w:rPr>
      <w:rFonts w:hint="eastAsia" w:ascii="宋体" w:hAnsi="宋体" w:eastAsia="宋体"/>
      <w:color w:val="000000"/>
      <w:sz w:val="22"/>
      <w:szCs w:val="22"/>
    </w:rPr>
  </w:style>
  <w:style w:type="character" w:customStyle="1" w:styleId="50">
    <w:name w:val="fontstyle21"/>
    <w:basedOn w:val="24"/>
    <w:autoRedefine/>
    <w:qFormat/>
    <w:uiPriority w:val="0"/>
    <w:rPr>
      <w:rFonts w:hint="default" w:ascii="TimesNewRomanPSMT" w:hAnsi="TimesNewRomanPSMT"/>
      <w:color w:val="000000"/>
      <w:sz w:val="22"/>
      <w:szCs w:val="22"/>
    </w:rPr>
  </w:style>
  <w:style w:type="character" w:customStyle="1" w:styleId="5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3">
    <w:name w:val="标题 4 字符1"/>
    <w:link w:val="5"/>
    <w:autoRedefine/>
    <w:qFormat/>
    <w:uiPriority w:val="0"/>
    <w:rPr>
      <w:rFonts w:ascii="Arial" w:hAnsi="Arial" w:eastAsia="黑体"/>
      <w:b/>
      <w:sz w:val="28"/>
    </w:rPr>
  </w:style>
  <w:style w:type="paragraph" w:customStyle="1" w:styleId="54">
    <w:name w:val="普通 (Web)"/>
    <w:basedOn w:val="1"/>
    <w:autoRedefine/>
    <w:qFormat/>
    <w:uiPriority w:val="0"/>
    <w:pPr>
      <w:widowControl/>
      <w:spacing w:before="100" w:beforeAutospacing="1" w:after="100" w:afterAutospacing="1"/>
      <w:jc w:val="left"/>
    </w:pPr>
    <w:rPr>
      <w:rFonts w:cs="Times New Roman"/>
      <w:sz w:val="24"/>
      <w:szCs w:val="24"/>
    </w:rPr>
  </w:style>
  <w:style w:type="paragraph" w:customStyle="1" w:styleId="55">
    <w:name w:val="Body text|1"/>
    <w:autoRedefine/>
    <w:qFormat/>
    <w:uiPriority w:val="0"/>
    <w:pPr>
      <w:widowControl w:val="0"/>
      <w:spacing w:line="425" w:lineRule="auto"/>
      <w:ind w:firstLine="400"/>
    </w:pPr>
    <w:rPr>
      <w:rFonts w:ascii="宋体" w:hAnsi="宋体" w:eastAsia="宋体" w:cs="宋体"/>
      <w:color w:val="000000"/>
      <w:sz w:val="26"/>
      <w:szCs w:val="26"/>
      <w:lang w:val="zh-TW" w:eastAsia="zh-TW" w:bidi="zh-TW"/>
    </w:rPr>
  </w:style>
  <w:style w:type="paragraph" w:customStyle="1" w:styleId="56">
    <w:name w:val="首行缩进"/>
    <w:basedOn w:val="1"/>
    <w:autoRedefine/>
    <w:qFormat/>
    <w:uiPriority w:val="99"/>
    <w:pPr>
      <w:spacing w:line="360" w:lineRule="auto"/>
      <w:ind w:firstLine="480" w:firstLineChars="200"/>
    </w:pPr>
    <w:rPr>
      <w:rFonts w:ascii="Calibri" w:hAnsi="Calibri"/>
      <w:sz w:val="24"/>
      <w:lang w:val="zh-CN"/>
    </w:rPr>
  </w:style>
  <w:style w:type="paragraph" w:customStyle="1" w:styleId="57">
    <w:name w:val="列表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31</Pages>
  <Words>13538</Words>
  <Characters>13915</Characters>
  <Lines>180</Lines>
  <Paragraphs>50</Paragraphs>
  <TotalTime>2</TotalTime>
  <ScaleCrop>false</ScaleCrop>
  <LinksUpToDate>false</LinksUpToDate>
  <CharactersWithSpaces>14817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worker</cp:lastModifiedBy>
  <cp:lastPrinted>2022-06-23T01:57:00Z</cp:lastPrinted>
  <dcterms:modified xsi:type="dcterms:W3CDTF">2024-05-23T01:03:36Z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34F4236B69B0407E9B5D3B552FCB38ED_13</vt:lpwstr>
  </property>
</Properties>
</file>