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pPr>
        <w:rPr>
          <w:rFonts w:ascii="Times New Roman" w:hAnsi="Times New Roman" w:cs="Times New Roman"/>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drawing>
          <wp:inline distT="0" distB="0" distL="0" distR="0">
            <wp:extent cx="1381125" cy="1343025"/>
            <wp:effectExtent l="0" t="0" r="9525" b="9525"/>
            <wp:docPr id="1373742142" name="图片 137374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42142" name="图片 1373742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81125" cy="1343025"/>
                    </a:xfrm>
                    <a:prstGeom prst="rect">
                      <a:avLst/>
                    </a:prstGeom>
                    <a:noFill/>
                    <a:ln>
                      <a:noFill/>
                    </a:ln>
                  </pic:spPr>
                </pic:pic>
              </a:graphicData>
            </a:graphic>
          </wp:inline>
        </w:drawing>
      </w:r>
    </w:p>
    <w:p>
      <w:pPr>
        <w:pStyle w:val="2"/>
      </w:pPr>
    </w:p>
    <w:p/>
    <w:p>
      <w:pPr>
        <w:pStyle w:val="2"/>
        <w:spacing w:before="240" w:beforeLines="100" w:after="120" w:afterLines="50" w:line="360" w:lineRule="auto"/>
        <w:ind w:right="267" w:rightChars="127"/>
        <w:jc w:val="center"/>
        <w:rPr>
          <w:rFonts w:ascii="Times New Roman" w:hAnsi="Times New Roman" w:cs="Times New Roman"/>
          <w:bCs/>
          <w:sz w:val="44"/>
          <w:szCs w:val="44"/>
        </w:rPr>
      </w:pPr>
    </w:p>
    <w:p>
      <w:pPr>
        <w:tabs>
          <w:tab w:val="left" w:pos="315"/>
          <w:tab w:val="left" w:pos="8820"/>
        </w:tabs>
        <w:spacing w:before="240" w:beforeLines="100" w:after="120" w:afterLines="50" w:line="500" w:lineRule="exact"/>
        <w:ind w:right="267" w:rightChars="127"/>
        <w:rPr>
          <w:rFonts w:ascii="Times New Roman" w:hAnsi="Times New Roman" w:cs="Times New Roman"/>
          <w:b/>
          <w:bCs/>
          <w:sz w:val="44"/>
          <w:szCs w:val="44"/>
        </w:rPr>
      </w:pP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经纬公司文渊府办公场所待处置资产评估服务</w:t>
      </w: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2024JWZCZB006 </w:t>
      </w: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招 标 人：</w:t>
      </w:r>
      <w:bookmarkStart w:id="1" w:name="_Hlk168036481"/>
      <w:r>
        <w:rPr>
          <w:rFonts w:hint="eastAsia"/>
          <w:b/>
          <w:spacing w:val="20"/>
          <w:sz w:val="32"/>
          <w:szCs w:val="32"/>
          <w:u w:val="single"/>
        </w:rPr>
        <w:t>合肥经纬资产经营管理有限公司</w:t>
      </w:r>
    </w:p>
    <w:bookmarkEnd w:id="1"/>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pStyle w:val="22"/>
        <w:ind w:firstLine="0" w:firstLineChars="0"/>
        <w:jc w:val="center"/>
      </w:pPr>
      <w:r>
        <w:rPr>
          <w:rFonts w:eastAsiaTheme="majorEastAsia"/>
          <w:b/>
          <w:sz w:val="36"/>
          <w:u w:val="single"/>
        </w:rPr>
        <w:t xml:space="preserve"> </w:t>
      </w:r>
      <w:r>
        <w:rPr>
          <w:rFonts w:hint="eastAsia" w:eastAsiaTheme="majorEastAsia"/>
          <w:b/>
          <w:sz w:val="36"/>
          <w:u w:val="single"/>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6</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fldChar w:fldCharType="begin"/>
      </w:r>
      <w:r>
        <w:instrText xml:space="preserve"> HYPERLINK \l "_Toc31841" </w:instrText>
      </w:r>
      <w: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fldChar w:fldCharType="begin"/>
      </w:r>
      <w:r>
        <w:instrText xml:space="preserve"> HYPERLINK \l "_Toc22742" </w:instrText>
      </w:r>
      <w: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fldChar w:fldCharType="begin"/>
      </w:r>
      <w:r>
        <w:instrText xml:space="preserve"> HYPERLINK \l "_Toc11969" </w:instrText>
      </w:r>
      <w: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fldChar w:fldCharType="begin"/>
      </w:r>
      <w:r>
        <w:instrText xml:space="preserve"> HYPERLINK \l "_Toc17615" </w:instrText>
      </w:r>
      <w: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fldChar w:fldCharType="begin"/>
      </w:r>
      <w:r>
        <w:instrText xml:space="preserve"> HYPERLINK \l "_Toc28197" </w:instrText>
      </w:r>
      <w: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fldChar w:fldCharType="begin"/>
      </w:r>
      <w:r>
        <w:instrText xml:space="preserve"> HYPERLINK \l "_Toc22226" </w:instrText>
      </w:r>
      <w: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rPr>
      </w:pPr>
    </w:p>
    <w:p>
      <w:pPr>
        <w:spacing w:line="360" w:lineRule="auto"/>
        <w:rPr>
          <w:rFonts w:ascii="Times New Roman" w:hAnsi="Times New Roman" w:cs="Times New Roman"/>
          <w:b/>
          <w:sz w:val="32"/>
        </w:rPr>
      </w:pPr>
      <w:r>
        <w:rPr>
          <w:rFonts w:ascii="Times New Roman" w:hAnsi="Times New Roman" w:cs="Times New Roman"/>
        </w:rPr>
        <w:fldChar w:fldCharType="end"/>
      </w:r>
    </w:p>
    <w:p>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b/>
          <w:sz w:val="28"/>
        </w:rPr>
      </w:pPr>
      <w:bookmarkStart w:id="2" w:name="_Toc31841"/>
      <w:r>
        <w:rPr>
          <w:rFonts w:ascii="Times New Roman" w:hAnsi="Times New Roman" w:cs="Times New Roman"/>
          <w:b/>
          <w:sz w:val="28"/>
        </w:rPr>
        <w:t>第一章  询价</w:t>
      </w:r>
      <w:bookmarkEnd w:id="2"/>
      <w:r>
        <w:rPr>
          <w:rFonts w:ascii="Times New Roman" w:hAnsi="Times New Roman" w:cs="Times New Roman"/>
          <w:b/>
          <w:sz w:val="28"/>
        </w:rPr>
        <w:t>公告</w:t>
      </w:r>
    </w:p>
    <w:p>
      <w:pPr>
        <w:spacing w:line="360" w:lineRule="auto"/>
        <w:ind w:firstLine="435"/>
        <w:rPr>
          <w:rFonts w:ascii="Times New Roman" w:hAnsi="Times New Roman" w:cs="Times New Roman"/>
          <w:szCs w:val="21"/>
        </w:rPr>
      </w:pPr>
      <w:r>
        <w:rPr>
          <w:rFonts w:hint="eastAsia" w:ascii="Times New Roman" w:hAnsi="Times New Roman" w:cs="Times New Roman"/>
          <w:szCs w:val="21"/>
          <w:u w:val="single"/>
        </w:rPr>
        <w:t>合肥经纬资产经营管理有限公司</w:t>
      </w:r>
      <w:r>
        <w:rPr>
          <w:rFonts w:ascii="Times New Roman" w:hAnsi="Times New Roman" w:cs="Times New Roman"/>
          <w:szCs w:val="21"/>
          <w:u w:val="single"/>
        </w:rPr>
        <w:t xml:space="preserve"> </w:t>
      </w:r>
      <w:r>
        <w:rPr>
          <w:rFonts w:hint="eastAsia"/>
          <w:bCs/>
          <w:color w:val="000000"/>
        </w:rPr>
        <w:t>（简称“招标人”）</w:t>
      </w:r>
      <w:r>
        <w:rPr>
          <w:rFonts w:ascii="Times New Roman" w:hAnsi="Times New Roman" w:cs="Times New Roman"/>
          <w:szCs w:val="21"/>
        </w:rPr>
        <w:t>现对</w:t>
      </w:r>
      <w:r>
        <w:rPr>
          <w:rFonts w:ascii="Times New Roman" w:hAnsi="Times New Roman" w:cs="Times New Roman"/>
          <w:szCs w:val="21"/>
          <w:u w:val="single"/>
        </w:rPr>
        <w:t xml:space="preserve"> </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 xml:space="preserve">项目 </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rPr>
        <w:t xml:space="preserve"> </w:t>
      </w:r>
      <w:r>
        <w:rPr>
          <w:rFonts w:ascii="Times New Roman" w:hAnsi="Times New Roman" w:cs="Times New Roman"/>
          <w:szCs w:val="21"/>
          <w:u w:val="single"/>
        </w:rPr>
        <w:t xml:space="preserve">2024JWZCZB006 </w:t>
      </w:r>
      <w:r>
        <w:rPr>
          <w:rFonts w:hint="eastAsia" w:ascii="Times New Roman" w:hAnsi="Times New Roman" w:cs="Times New Roman"/>
          <w:szCs w:val="21"/>
          <w:u w:val="single"/>
        </w:rPr>
        <w:t>号</w:t>
      </w:r>
    </w:p>
    <w:p>
      <w:pPr>
        <w:autoSpaceDE w:val="0"/>
        <w:autoSpaceDN w:val="0"/>
        <w:adjustRightInd w:val="0"/>
        <w:spacing w:line="360" w:lineRule="auto"/>
        <w:ind w:firstLine="382" w:firstLineChars="182"/>
        <w:jc w:val="left"/>
        <w:rPr>
          <w:rFonts w:ascii="Times New Roman" w:hAnsi="Times New Roman" w:cs="Times New Roman"/>
          <w:bCs/>
          <w:color w:val="000000"/>
          <w:szCs w:val="21"/>
          <w:u w:val="single"/>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项目</w:t>
      </w:r>
    </w:p>
    <w:p>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szCs w:val="21"/>
          <w:u w:val="single"/>
        </w:rPr>
        <w:t>合肥市蜀山区汤池路与茗香路交口文渊府营销中心</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cs="Times New Roman"/>
          <w:szCs w:val="21"/>
          <w:u w:val="single"/>
        </w:rPr>
        <w:t>合肥经纬资产经营管理有限公司</w:t>
      </w:r>
    </w:p>
    <w:p>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szCs w:val="21"/>
          <w:u w:val="single"/>
        </w:rPr>
        <w:t>详见招标需求</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szCs w:val="21"/>
          <w:u w:val="single"/>
        </w:rPr>
        <w:t xml:space="preserve">  </w:t>
      </w:r>
      <w:r>
        <w:rPr>
          <w:rFonts w:hint="eastAsia" w:ascii="Times New Roman" w:hAnsi="Times New Roman" w:cs="Times New Roman"/>
          <w:szCs w:val="21"/>
          <w:u w:val="single"/>
        </w:rPr>
        <w:t>自筹</w:t>
      </w:r>
      <w:r>
        <w:rPr>
          <w:rFonts w:ascii="Times New Roman" w:hAnsi="Times New Roman" w:cs="Times New Roman"/>
          <w:szCs w:val="21"/>
          <w:u w:val="single"/>
        </w:rPr>
        <w:t xml:space="preserve">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ascii="Times New Roman" w:hAnsi="Times New Roman" w:cs="Times New Roman"/>
          <w:szCs w:val="21"/>
          <w:u w:val="single"/>
        </w:rPr>
        <w:t xml:space="preserve">  </w:t>
      </w:r>
      <w:r>
        <w:rPr>
          <w:rFonts w:hint="eastAsia" w:ascii="Times New Roman" w:hAnsi="Times New Roman" w:cs="Times New Roman"/>
          <w:szCs w:val="21"/>
          <w:u w:val="single"/>
        </w:rPr>
        <w:t>3000元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w:t>
      </w:r>
      <w:r>
        <w:rPr>
          <w:rFonts w:hint="eastAsia" w:ascii="Times New Roman" w:hAnsi="Times New Roman" w:cs="Times New Roman"/>
          <w:szCs w:val="21"/>
          <w:u w:val="single"/>
        </w:rPr>
        <w:t>服务</w:t>
      </w:r>
      <w:r>
        <w:rPr>
          <w:rFonts w:ascii="Times New Roman" w:hAnsi="Times New Roman" w:cs="Times New Roman"/>
          <w:szCs w:val="21"/>
          <w:u w:val="single"/>
        </w:rPr>
        <w:t xml:space="preserve">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
          <w:szCs w:val="21"/>
        </w:rPr>
        <w:t>.</w:t>
      </w:r>
      <w:r>
        <w:rPr>
          <w:rFonts w:ascii="Times New Roman" w:hAnsi="Times New Roman" w:cs="Times New Roman"/>
          <w:szCs w:val="21"/>
        </w:rPr>
        <w:t>标段（包别）划分：共分</w:t>
      </w:r>
      <w:r>
        <w:rPr>
          <w:rFonts w:ascii="Times New Roman" w:hAnsi="Times New Roman" w:cs="Times New Roman"/>
          <w:szCs w:val="21"/>
          <w:u w:val="single"/>
        </w:rPr>
        <w:t xml:space="preserve"> </w:t>
      </w:r>
      <w:r>
        <w:rPr>
          <w:rFonts w:hint="eastAsia" w:ascii="Times New Roman" w:hAnsi="Times New Roman" w:cs="Times New Roman"/>
          <w:szCs w:val="21"/>
          <w:u w:val="single"/>
        </w:rPr>
        <w:t>1</w:t>
      </w:r>
      <w:r>
        <w:rPr>
          <w:rFonts w:ascii="Times New Roman" w:hAnsi="Times New Roman" w:cs="Times New Roman"/>
          <w:szCs w:val="21"/>
          <w:u w:val="single"/>
        </w:rPr>
        <w:t xml:space="preserve">  </w:t>
      </w:r>
      <w:r>
        <w:rPr>
          <w:rFonts w:ascii="Times New Roman" w:hAnsi="Times New Roman" w:cs="Times New Roman"/>
          <w:szCs w:val="21"/>
        </w:rPr>
        <w:t>个包，本次采购第</w:t>
      </w:r>
      <w:r>
        <w:rPr>
          <w:rFonts w:ascii="Times New Roman" w:hAnsi="Times New Roman" w:cs="Times New Roman"/>
          <w:szCs w:val="21"/>
          <w:u w:val="single"/>
        </w:rPr>
        <w:t xml:space="preserve"> </w:t>
      </w:r>
      <w:r>
        <w:rPr>
          <w:rFonts w:hint="eastAsia" w:ascii="Times New Roman" w:hAnsi="Times New Roman" w:cs="Times New Roman"/>
          <w:szCs w:val="21"/>
          <w:u w:val="single"/>
        </w:rPr>
        <w:t>1</w:t>
      </w:r>
      <w:r>
        <w:rPr>
          <w:rFonts w:ascii="Times New Roman" w:hAnsi="Times New Roman" w:cs="Times New Roman"/>
          <w:szCs w:val="21"/>
          <w:u w:val="single"/>
        </w:rPr>
        <w:t xml:space="preserve">  </w:t>
      </w:r>
      <w:r>
        <w:rPr>
          <w:rFonts w:ascii="Times New Roman" w:hAnsi="Times New Roman" w:cs="Times New Roman"/>
          <w:szCs w:val="21"/>
        </w:rPr>
        <w:t>包</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heme="majorEastAsia" w:hAnsiTheme="majorEastAsia" w:eastAsiaTheme="majorEastAsia" w:cstheme="majorEastAsia"/>
          <w:szCs w:val="21"/>
        </w:rPr>
      </w:pPr>
      <w:r>
        <w:rPr>
          <w:rFonts w:ascii="Times New Roman" w:hAnsi="Times New Roman" w:cs="Times New Roman" w:eastAsiaTheme="majorEastAsia"/>
          <w:szCs w:val="21"/>
        </w:rPr>
        <w:t>2.投标人资质要求：</w:t>
      </w:r>
      <w:r>
        <w:rPr>
          <w:rFonts w:hint="eastAsia" w:asciiTheme="majorEastAsia" w:hAnsiTheme="majorEastAsia" w:eastAsiaTheme="majorEastAsia" w:cstheme="majorEastAsia"/>
          <w:szCs w:val="21"/>
        </w:rPr>
        <w:t>投标人为合肥市建设投资控股（集团）有限公司资产评估备选库且属于资产类评估单位。</w:t>
      </w:r>
    </w:p>
    <w:p>
      <w:pPr>
        <w:spacing w:line="360" w:lineRule="auto"/>
        <w:ind w:firstLine="420" w:firstLineChars="200"/>
      </w:pPr>
      <w:r>
        <w:rPr>
          <w:rFonts w:hint="eastAsia" w:asciiTheme="majorEastAsia" w:hAnsiTheme="majorEastAsia" w:eastAsiaTheme="majorEastAsia" w:cstheme="majorEastAsia"/>
          <w:szCs w:val="21"/>
        </w:rPr>
        <w:t>3.本项目不接受联合体投标。</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pPr>
        <w:widowControl/>
        <w:spacing w:line="500" w:lineRule="exact"/>
        <w:ind w:firstLine="420" w:firstLineChars="200"/>
        <w:jc w:val="left"/>
        <w:rPr>
          <w:rFonts w:ascii="Times New Roman" w:hAnsi="Times New Roman" w:eastAsia="宋体" w:cs="Times New Roman"/>
          <w:bCs/>
          <w:snapToGrid w:val="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2024  </w:t>
      </w:r>
      <w:r>
        <w:rPr>
          <w:rFonts w:hint="eastAsia" w:ascii="Times New Roman" w:hAnsi="Times New Roman" w:eastAsia="宋体" w:cs="Times New Roman"/>
          <w:bCs/>
          <w:snapToGrid w:val="0"/>
        </w:rPr>
        <w:t>年</w:t>
      </w:r>
      <w:r>
        <w:rPr>
          <w:rFonts w:ascii="Times New Roman" w:hAnsi="Times New Roman" w:eastAsia="宋体" w:cs="Times New Roman"/>
          <w:bCs/>
          <w:snapToGrid w:val="0"/>
          <w:kern w:val="0"/>
          <w:szCs w:val="21"/>
          <w:u w:val="single"/>
        </w:rPr>
        <w:t xml:space="preserve"> 6 </w:t>
      </w:r>
      <w:r>
        <w:rPr>
          <w:rFonts w:hint="eastAsia" w:ascii="Times New Roman" w:hAnsi="Times New Roman" w:eastAsia="宋体" w:cs="Times New Roman"/>
          <w:bCs/>
          <w:snapToGrid w:val="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7</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rPr>
        <w:t>日至</w:t>
      </w:r>
      <w:r>
        <w:rPr>
          <w:rFonts w:ascii="Times New Roman" w:hAnsi="Times New Roman" w:eastAsia="宋体" w:cs="Times New Roman"/>
          <w:bCs/>
          <w:snapToGrid w:val="0"/>
          <w:kern w:val="0"/>
          <w:szCs w:val="21"/>
          <w:u w:val="single"/>
        </w:rPr>
        <w:t xml:space="preserve"> 2024  </w:t>
      </w:r>
      <w:r>
        <w:rPr>
          <w:rFonts w:hint="eastAsia" w:ascii="Times New Roman" w:hAnsi="Times New Roman" w:eastAsia="宋体" w:cs="Times New Roman"/>
          <w:bCs/>
          <w:snapToGrid w:val="0"/>
        </w:rPr>
        <w:t>年</w:t>
      </w:r>
      <w:r>
        <w:rPr>
          <w:rFonts w:ascii="Times New Roman" w:hAnsi="Times New Roman" w:eastAsia="宋体" w:cs="Times New Roman"/>
          <w:bCs/>
          <w:snapToGrid w:val="0"/>
          <w:kern w:val="0"/>
          <w:szCs w:val="21"/>
          <w:u w:val="single"/>
        </w:rPr>
        <w:t xml:space="preserve"> 6 </w:t>
      </w:r>
      <w:r>
        <w:rPr>
          <w:rFonts w:hint="eastAsia" w:ascii="Times New Roman" w:hAnsi="Times New Roman" w:eastAsia="宋体" w:cs="Times New Roman"/>
          <w:bCs/>
          <w:snapToGrid w:val="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12</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rPr>
        <w:t>日</w:t>
      </w:r>
      <w:r>
        <w:rPr>
          <w:rFonts w:ascii="Times New Roman" w:hAnsi="Times New Roman" w:eastAsia="宋体" w:cs="Times New Roman"/>
          <w:bCs/>
          <w:snapToGrid w:val="0"/>
        </w:rPr>
        <w:t>(北京时间)</w:t>
      </w:r>
    </w:p>
    <w:p>
      <w:pPr>
        <w:widowControl/>
        <w:wordWrap w:val="0"/>
        <w:spacing w:line="500" w:lineRule="exact"/>
        <w:ind w:firstLine="420" w:firstLineChars="200"/>
        <w:jc w:val="left"/>
        <w:rPr>
          <w:rFonts w:ascii="Times New Roman" w:hAnsi="Times New Roman" w:eastAsia="宋体" w:cs="Times New Roman"/>
          <w:bCs/>
          <w:snapToGrid w:val="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szCs w:val="21"/>
        </w:rPr>
      </w:pPr>
      <w:r>
        <w:rPr>
          <w:rFonts w:ascii="Times New Roman" w:hAnsi="Times New Roman" w:cs="Times New Roman" w:eastAsiaTheme="majorEastAsia"/>
          <w:szCs w:val="21"/>
        </w:rPr>
        <w:t>3.报名方法：投标人下载附件《投标报名信息表》并完整填写信息后在规定的报名日期内发送至邮箱：</w:t>
      </w:r>
      <w:r>
        <w:fldChar w:fldCharType="begin"/>
      </w:r>
      <w:r>
        <w:instrText xml:space="preserve"> HYPERLINK "mailto:1018862861@qq.com" </w:instrText>
      </w:r>
      <w:r>
        <w:fldChar w:fldCharType="separate"/>
      </w:r>
      <w:r>
        <w:rPr>
          <w:rStyle w:val="28"/>
          <w:rFonts w:hint="eastAsia" w:ascii="Times New Roman" w:hAnsi="Times New Roman" w:cs="Times New Roman" w:eastAsiaTheme="majorEastAsia"/>
          <w:szCs w:val="21"/>
        </w:rPr>
        <w:t>1018862861</w:t>
      </w:r>
      <w:r>
        <w:rPr>
          <w:rStyle w:val="28"/>
          <w:rFonts w:ascii="Times New Roman" w:hAnsi="Times New Roman" w:cs="Times New Roman" w:eastAsiaTheme="majorEastAsia"/>
          <w:szCs w:val="21"/>
        </w:rPr>
        <w:t>@qq.com</w:t>
      </w:r>
      <w:r>
        <w:rPr>
          <w:rStyle w:val="28"/>
          <w:rFonts w:ascii="Times New Roman" w:hAnsi="Times New Roman" w:cs="Times New Roman" w:eastAsiaTheme="majorEastAsia"/>
          <w:szCs w:val="21"/>
        </w:rPr>
        <w:fldChar w:fldCharType="end"/>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pPr>
        <w:spacing w:line="360" w:lineRule="auto"/>
        <w:ind w:firstLine="435"/>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6</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13</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9</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分</w:t>
      </w:r>
    </w:p>
    <w:p>
      <w:pPr>
        <w:spacing w:line="360" w:lineRule="auto"/>
        <w:ind w:firstLine="435"/>
        <w:rPr>
          <w:rFonts w:ascii="Times New Roman" w:hAnsi="Times New Roman" w:cs="Times New Roman"/>
          <w:szCs w:val="21"/>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21"/>
          <w:u w:val="single"/>
        </w:rPr>
        <w:t xml:space="preserve"> </w:t>
      </w:r>
      <w:r>
        <w:rPr>
          <w:rFonts w:hint="eastAsia" w:ascii="宋体" w:hAnsi="宋体" w:cs="宋体"/>
          <w:kern w:val="0"/>
          <w:szCs w:val="21"/>
          <w:u w:val="single"/>
        </w:rPr>
        <w:t>合肥市汤池路与茗香路交口文渊府营销中心二楼</w:t>
      </w:r>
      <w:r>
        <w:rPr>
          <w:rFonts w:ascii="Times New Roman" w:hAnsi="Times New Roman" w:cs="Times New Roman"/>
          <w:szCs w:val="21"/>
          <w:u w:val="single"/>
        </w:rPr>
        <w:t xml:space="preserve"> </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pPr>
        <w:rPr>
          <w:rFonts w:ascii="Times New Roman" w:hAnsi="Times New Roman" w:cs="Times New Roman"/>
          <w:b/>
          <w:sz w:val="24"/>
          <w:szCs w:val="18"/>
        </w:rPr>
      </w:pP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kern w:val="0"/>
          <w:sz w:val="18"/>
          <w:szCs w:val="18"/>
        </w:rPr>
        <w:t xml:space="preserve">   </w:t>
      </w:r>
      <w:r>
        <w:rPr>
          <w:rFonts w:ascii="Times New Roman" w:hAnsi="Times New Roman" w:eastAsia="宋体" w:cs="Times New Roman"/>
          <w:bCs/>
          <w:snapToGrid w:val="0"/>
          <w:kern w:val="0"/>
          <w:sz w:val="18"/>
          <w:szCs w:val="18"/>
        </w:rPr>
        <w:t xml:space="preserve">2024 </w:t>
      </w:r>
      <w:r>
        <w:rPr>
          <w:rFonts w:ascii="Times New Roman" w:hAnsi="Times New Roman" w:eastAsia="宋体" w:cs="Times New Roman"/>
          <w:bCs/>
          <w:snapToGrid w:val="0"/>
          <w:sz w:val="18"/>
          <w:szCs w:val="16"/>
        </w:rPr>
        <w:t>年</w:t>
      </w:r>
      <w:r>
        <w:rPr>
          <w:rFonts w:ascii="Times New Roman" w:hAnsi="Times New Roman" w:eastAsia="宋体" w:cs="Times New Roman"/>
          <w:bCs/>
          <w:snapToGrid w:val="0"/>
          <w:kern w:val="0"/>
          <w:sz w:val="18"/>
          <w:szCs w:val="18"/>
        </w:rPr>
        <w:t xml:space="preserve"> 6 </w:t>
      </w:r>
      <w:r>
        <w:rPr>
          <w:rFonts w:ascii="Times New Roman" w:hAnsi="Times New Roman" w:eastAsia="宋体" w:cs="Times New Roman"/>
          <w:bCs/>
          <w:snapToGrid w:val="0"/>
          <w:sz w:val="18"/>
          <w:szCs w:val="16"/>
        </w:rPr>
        <w:t>月</w:t>
      </w:r>
      <w:r>
        <w:rPr>
          <w:rFonts w:ascii="Times New Roman" w:hAnsi="Times New Roman" w:eastAsia="宋体" w:cs="Times New Roman"/>
          <w:bCs/>
          <w:snapToGrid w:val="0"/>
          <w:kern w:val="0"/>
          <w:sz w:val="18"/>
          <w:szCs w:val="18"/>
        </w:rPr>
        <w:t xml:space="preserve"> 13 </w:t>
      </w:r>
      <w:r>
        <w:rPr>
          <w:rFonts w:ascii="Times New Roman" w:hAnsi="Times New Roman" w:eastAsia="宋体" w:cs="Times New Roman"/>
          <w:bCs/>
          <w:snapToGrid w:val="0"/>
          <w:sz w:val="18"/>
          <w:szCs w:val="16"/>
        </w:rPr>
        <w:t>日</w:t>
      </w:r>
      <w:r>
        <w:rPr>
          <w:rFonts w:ascii="Times New Roman" w:hAnsi="Times New Roman" w:eastAsia="宋体" w:cs="Times New Roman"/>
          <w:bCs/>
          <w:snapToGrid w:val="0"/>
          <w:kern w:val="0"/>
          <w:sz w:val="18"/>
          <w:szCs w:val="18"/>
        </w:rPr>
        <w:t xml:space="preserve"> 9 </w:t>
      </w:r>
      <w:r>
        <w:rPr>
          <w:rFonts w:ascii="Times New Roman" w:hAnsi="Times New Roman" w:cs="Times New Roman"/>
          <w:szCs w:val="15"/>
        </w:rPr>
        <w:t xml:space="preserve"> 时</w:t>
      </w:r>
      <w:r>
        <w:rPr>
          <w:rFonts w:ascii="Times New Roman" w:hAnsi="Times New Roman" w:eastAsia="宋体" w:cs="Times New Roman"/>
          <w:bCs/>
          <w:snapToGrid w:val="0"/>
          <w:kern w:val="0"/>
          <w:sz w:val="18"/>
          <w:szCs w:val="18"/>
        </w:rPr>
        <w:t xml:space="preserve"> 0 </w:t>
      </w:r>
      <w:r>
        <w:rPr>
          <w:rFonts w:ascii="Times New Roman" w:hAnsi="Times New Roman" w:cs="Times New Roman"/>
          <w:szCs w:val="15"/>
        </w:rPr>
        <w:t>分</w:t>
      </w:r>
    </w:p>
    <w:p>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pPr>
        <w:spacing w:line="360" w:lineRule="auto"/>
        <w:ind w:firstLine="435"/>
        <w:rPr>
          <w:rFonts w:ascii="Times New Roman" w:hAnsi="Times New Roman" w:cs="Times New Roman"/>
          <w:szCs w:val="15"/>
        </w:rPr>
      </w:pPr>
      <w:r>
        <w:rPr>
          <w:rFonts w:ascii="Times New Roman" w:hAnsi="Times New Roman" w:cs="Times New Roman"/>
          <w:szCs w:val="15"/>
        </w:rPr>
        <w:t>1.招标人</w:t>
      </w:r>
    </w:p>
    <w:p>
      <w:pPr>
        <w:spacing w:line="360" w:lineRule="auto"/>
        <w:ind w:firstLine="435"/>
        <w:rPr>
          <w:rFonts w:ascii="宋体" w:hAnsi="宋体" w:cs="宋体"/>
          <w:kern w:val="0"/>
          <w:sz w:val="24"/>
          <w:u w:val="single"/>
        </w:rPr>
      </w:pPr>
      <w:r>
        <w:rPr>
          <w:rFonts w:ascii="Times New Roman" w:hAnsi="Times New Roman" w:cs="Times New Roman"/>
          <w:szCs w:val="15"/>
        </w:rPr>
        <w:t>招标人：</w:t>
      </w:r>
      <w:r>
        <w:rPr>
          <w:rFonts w:hint="eastAsia" w:ascii="Times New Roman" w:hAnsi="Times New Roman" w:cs="Times New Roman"/>
          <w:szCs w:val="21"/>
          <w:u w:val="single"/>
        </w:rPr>
        <w:t>合肥经纬资产经营管理有限公司</w:t>
      </w:r>
    </w:p>
    <w:p>
      <w:pPr>
        <w:spacing w:line="360" w:lineRule="auto"/>
        <w:ind w:firstLine="435"/>
        <w:rPr>
          <w:rFonts w:ascii="宋体" w:hAnsi="宋体" w:cs="宋体"/>
          <w:kern w:val="0"/>
          <w:szCs w:val="21"/>
          <w:u w:val="single"/>
        </w:rPr>
      </w:pPr>
      <w:r>
        <w:rPr>
          <w:rFonts w:ascii="Times New Roman" w:hAnsi="Times New Roman" w:cs="Times New Roman"/>
          <w:szCs w:val="15"/>
        </w:rPr>
        <w:t>地  址：</w:t>
      </w:r>
      <w:r>
        <w:rPr>
          <w:rFonts w:ascii="Times New Roman" w:hAnsi="Times New Roman" w:cs="Times New Roman"/>
          <w:szCs w:val="15"/>
          <w:u w:val="single"/>
        </w:rPr>
        <w:t xml:space="preserve"> </w:t>
      </w:r>
      <w:r>
        <w:rPr>
          <w:rFonts w:hint="eastAsia" w:ascii="宋体" w:hAnsi="宋体" w:cs="宋体"/>
          <w:kern w:val="0"/>
          <w:szCs w:val="21"/>
          <w:u w:val="single"/>
        </w:rPr>
        <w:t xml:space="preserve">合肥市汤池路与茗香路交口文渊府营销中心 </w:t>
      </w:r>
    </w:p>
    <w:p>
      <w:pPr>
        <w:spacing w:line="360" w:lineRule="auto"/>
        <w:ind w:firstLine="435"/>
        <w:rPr>
          <w:rFonts w:ascii="Times New Roman" w:hAnsi="Times New Roman" w:cs="Times New Roman"/>
          <w:szCs w:val="15"/>
        </w:rPr>
      </w:pPr>
      <w:r>
        <w:rPr>
          <w:rFonts w:hint="eastAsia" w:ascii="Times New Roman" w:hAnsi="Times New Roman" w:cs="Times New Roman"/>
          <w:szCs w:val="15"/>
        </w:rPr>
        <w:t>项目</w:t>
      </w:r>
      <w:r>
        <w:rPr>
          <w:rFonts w:ascii="Times New Roman" w:hAnsi="Times New Roman" w:cs="Times New Roman"/>
          <w:szCs w:val="15"/>
        </w:rPr>
        <w:t>联系人：</w:t>
      </w:r>
      <w:r>
        <w:rPr>
          <w:rFonts w:ascii="Times New Roman" w:hAnsi="Times New Roman" w:cs="Times New Roman"/>
          <w:szCs w:val="15"/>
          <w:u w:val="single"/>
        </w:rPr>
        <w:t xml:space="preserve"> </w:t>
      </w:r>
      <w:r>
        <w:rPr>
          <w:rFonts w:hint="eastAsia" w:ascii="Times New Roman" w:hAnsi="Times New Roman" w:cs="Times New Roman"/>
          <w:szCs w:val="15"/>
          <w:u w:val="single"/>
        </w:rPr>
        <w:t>王工</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szCs w:val="15"/>
        </w:rPr>
      </w:pPr>
      <w:r>
        <w:rPr>
          <w:rFonts w:ascii="Times New Roman" w:hAnsi="Times New Roman" w:cs="Times New Roman"/>
          <w:szCs w:val="15"/>
        </w:rPr>
        <w:t>电  话：</w:t>
      </w:r>
      <w:r>
        <w:rPr>
          <w:rFonts w:hint="eastAsia" w:ascii="Times New Roman" w:hAnsi="Times New Roman" w:cs="Times New Roman"/>
          <w:szCs w:val="15"/>
          <w:u w:val="single"/>
        </w:rPr>
        <w:t xml:space="preserve"> 0551-63530270</w:t>
      </w:r>
    </w:p>
    <w:p>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szCs w:val="15"/>
          <w:u w:val="single"/>
        </w:rPr>
        <w:t xml:space="preserve"> </w:t>
      </w:r>
      <w:r>
        <w:rPr>
          <w:rFonts w:hint="eastAsia" w:ascii="Times New Roman" w:hAnsi="Times New Roman" w:cs="Times New Roman"/>
          <w:szCs w:val="21"/>
          <w:u w:val="single"/>
        </w:rPr>
        <w:t>合肥经纬资产经营管理有限公司党支部纪检委员</w:t>
      </w:r>
      <w:r>
        <w:rPr>
          <w:rFonts w:ascii="Times New Roman" w:hAnsi="Times New Roman" w:cs="Times New Roman"/>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szCs w:val="15"/>
          <w:u w:val="single"/>
        </w:rPr>
        <w:t xml:space="preserve"> </w:t>
      </w:r>
      <w:r>
        <w:rPr>
          <w:rFonts w:hint="eastAsia" w:ascii="宋体" w:hAnsi="宋体" w:cs="宋体"/>
          <w:kern w:val="0"/>
          <w:szCs w:val="21"/>
          <w:u w:val="single"/>
        </w:rPr>
        <w:t>合肥市汤池路与茗香路交口文渊府营销中心</w:t>
      </w:r>
      <w:r>
        <w:rPr>
          <w:rFonts w:ascii="Times New Roman" w:hAnsi="Times New Roman" w:cs="Times New Roman"/>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ascii="Times New Roman" w:hAnsi="Times New Roman" w:cs="Times New Roman"/>
          <w:szCs w:val="15"/>
          <w:u w:val="single"/>
        </w:rPr>
        <w:t xml:space="preserve"> </w:t>
      </w:r>
      <w:r>
        <w:rPr>
          <w:rFonts w:ascii="宋体" w:hAnsi="宋体" w:eastAsia="宋体" w:cs="Times New Roman"/>
          <w:bCs/>
          <w:szCs w:val="21"/>
          <w:u w:val="single"/>
          <w:lang w:bidi="ar"/>
        </w:rPr>
        <w:t>0551-63530731</w:t>
      </w:r>
      <w:r>
        <w:rPr>
          <w:rFonts w:ascii="Times New Roman" w:hAnsi="Times New Roman" w:cs="Times New Roman"/>
          <w:szCs w:val="21"/>
          <w:u w:val="single"/>
        </w:rPr>
        <w:t xml:space="preserve"> </w:t>
      </w:r>
    </w:p>
    <w:p>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sz w:val="24"/>
          <w:szCs w:val="18"/>
        </w:rPr>
      </w:pPr>
    </w:p>
    <w:p>
      <w:pPr>
        <w:widowControl/>
        <w:jc w:val="left"/>
        <w:rPr>
          <w:rFonts w:ascii="Times New Roman" w:hAnsi="Times New Roman" w:cs="Times New Roman"/>
          <w:sz w:val="24"/>
          <w:szCs w:val="18"/>
        </w:rPr>
      </w:pPr>
      <w:r>
        <w:rPr>
          <w:rFonts w:ascii="Times New Roman" w:hAnsi="Times New Roman" w:cs="Times New Roman"/>
          <w:sz w:val="24"/>
          <w:szCs w:val="18"/>
        </w:rPr>
        <w:br w:type="page"/>
      </w:r>
    </w:p>
    <w:p>
      <w:pPr>
        <w:spacing w:line="360" w:lineRule="auto"/>
        <w:jc w:val="center"/>
        <w:outlineLvl w:val="1"/>
        <w:rPr>
          <w:rFonts w:ascii="Times New Roman" w:hAnsi="Times New Roman" w:cs="Times New Roman"/>
          <w:b/>
          <w:sz w:val="28"/>
        </w:rPr>
      </w:pPr>
      <w:bookmarkStart w:id="3" w:name="_Toc22742"/>
      <w:r>
        <w:rPr>
          <w:rFonts w:ascii="Times New Roman" w:hAnsi="Times New Roman" w:cs="Times New Roman"/>
          <w:b/>
          <w:sz w:val="28"/>
        </w:rPr>
        <w:t>第二章  投标人须知</w:t>
      </w:r>
      <w:bookmarkEnd w:id="3"/>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072" w:type="pct"/>
            <w:vAlign w:val="center"/>
          </w:tcPr>
          <w:p>
            <w:pPr>
              <w:pStyle w:val="32"/>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pPr>
              <w:pStyle w:val="32"/>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072" w:type="pct"/>
            <w:vAlign w:val="center"/>
          </w:tcPr>
          <w:p>
            <w:pPr>
              <w:pStyle w:val="32"/>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pPr>
              <w:pStyle w:val="32"/>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90 </w:t>
            </w:r>
            <w:r>
              <w:rPr>
                <w:rFonts w:ascii="Times New Roman" w:hAnsi="Times New Roman" w:cs="Times New Roman"/>
                <w:b w:val="0"/>
                <w:sz w:val="21"/>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投标文件要求</w:t>
            </w:r>
          </w:p>
        </w:tc>
        <w:tc>
          <w:tcPr>
            <w:tcW w:w="3350"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2"/>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072" w:type="pct"/>
            <w:vAlign w:val="center"/>
          </w:tcPr>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072"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所投服务的人工费、保险费、福利费</w:t>
            </w:r>
            <w:r>
              <w:rPr>
                <w:rFonts w:hint="eastAsia" w:asciiTheme="minorEastAsia" w:hAnsiTheme="minorEastAsia" w:cstheme="minorEastAsia"/>
                <w:spacing w:val="6"/>
                <w:szCs w:val="21"/>
              </w:rPr>
              <w:t>、审计费、利润、税金及完成项目应有的全部费用</w:t>
            </w:r>
            <w:r>
              <w:rPr>
                <w:rFonts w:ascii="Times New Roman" w:hAnsi="Times New Roman" w:eastAsia="宋体" w:cs="Times New Roman"/>
                <w:szCs w:val="21"/>
              </w:rPr>
              <w:t>。</w:t>
            </w:r>
          </w:p>
          <w:p>
            <w:pPr>
              <w:spacing w:line="360" w:lineRule="auto"/>
              <w:rPr>
                <w:rFonts w:hint="eastAsia"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rPr>
              <w:t>☑</w:t>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pPr>
              <w:spacing w:line="360" w:lineRule="auto"/>
              <w:rPr>
                <w:rFonts w:ascii="Times New Roman" w:hAnsi="Times New Roman" w:cs="Times New Roman"/>
                <w:szCs w:val="21"/>
                <w:u w:val="single"/>
              </w:rPr>
            </w:pPr>
            <w:r>
              <w:rPr>
                <w:rFonts w:hint="eastAsia" w:ascii="Times New Roman" w:hAnsi="Times New Roman" w:cs="Times New Roman"/>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pPr>
              <w:spacing w:line="360" w:lineRule="auto"/>
              <w:rPr>
                <w:rFonts w:ascii="Times New Roman" w:hAnsi="Times New Roman" w:cs="Times New Roman"/>
                <w:bCs/>
                <w:szCs w:val="21"/>
              </w:rPr>
            </w:pPr>
            <w:r>
              <w:rPr>
                <w:rFonts w:ascii="Times New Roman" w:hAnsi="Times New Roman" w:cs="Times New Roman"/>
                <w:bCs/>
                <w:szCs w:val="21"/>
              </w:rPr>
              <w:t>获取方式：</w:t>
            </w:r>
          </w:p>
          <w:p>
            <w:pPr>
              <w:pStyle w:val="32"/>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w:t>
            </w:r>
            <w:r>
              <w:rPr>
                <w:rFonts w:hint="eastAsia" w:ascii="Times New Roman" w:hAnsi="Times New Roman" w:cs="Times New Roman"/>
                <w:sz w:val="21"/>
                <w:szCs w:val="21"/>
              </w:rPr>
              <w:t>在合肥</w:t>
            </w:r>
            <w:r>
              <w:rPr>
                <w:rFonts w:ascii="Times New Roman" w:hAnsi="Times New Roman" w:cs="Times New Roman"/>
                <w:sz w:val="21"/>
                <w:szCs w:val="21"/>
              </w:rPr>
              <w:t>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072"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w:t>
            </w:r>
            <w:r>
              <w:rPr>
                <w:rFonts w:hint="eastAsia" w:ascii="Times New Roman" w:hAnsi="Times New Roman" w:eastAsia="宋体" w:cs="Times New Roman"/>
                <w:szCs w:val="21"/>
              </w:rPr>
              <w:t>依据投标人须知前附表的要求</w:t>
            </w:r>
            <w:r>
              <w:rPr>
                <w:rFonts w:ascii="Times New Roman" w:hAnsi="Times New Roman" w:eastAsia="宋体" w:cs="Times New Roman"/>
                <w:szCs w:val="21"/>
              </w:rPr>
              <w:t>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2"/>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eastAsia="宋体" w:cs="Times New Roman"/>
                <w:bCs/>
                <w:kern w:val="2"/>
                <w:sz w:val="21"/>
                <w:szCs w:val="21"/>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3</w:t>
            </w:r>
          </w:p>
        </w:tc>
        <w:tc>
          <w:tcPr>
            <w:tcW w:w="1072" w:type="pct"/>
            <w:vAlign w:val="center"/>
          </w:tcPr>
          <w:p>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，投标人不足3家，</w:t>
            </w:r>
            <w:r>
              <w:rPr>
                <w:rFonts w:ascii="Times New Roman" w:hAnsi="Times New Roman" w:eastAsia="宋体" w:cs="Times New Roman"/>
                <w:szCs w:val="21"/>
              </w:rPr>
              <w:t>本项目做流标处理。</w:t>
            </w:r>
          </w:p>
        </w:tc>
      </w:tr>
    </w:tbl>
    <w:p>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服务</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rPr>
      </w:pPr>
      <w:bookmarkStart w:id="4" w:name="_Hlk16458980"/>
      <w:r>
        <w:rPr>
          <w:rFonts w:ascii="Times New Roman" w:hAnsi="Times New Roman" w:cs="Times New Roman"/>
          <w:szCs w:val="21"/>
        </w:rPr>
        <w:t>3.2无论询价文件中是否要求，投标人所提供的</w:t>
      </w:r>
      <w:r>
        <w:rPr>
          <w:rFonts w:hint="eastAsia" w:ascii="Times New Roman" w:hAnsi="Times New Roman" w:cs="Times New Roman"/>
          <w:szCs w:val="21"/>
        </w:rPr>
        <w:t>服务</w:t>
      </w:r>
      <w:r>
        <w:rPr>
          <w:rFonts w:ascii="Times New Roman" w:hAnsi="Times New Roman" w:cs="Times New Roman"/>
          <w:szCs w:val="21"/>
        </w:rPr>
        <w:t>应符合国家强制性标准。</w:t>
      </w:r>
    </w:p>
    <w:bookmarkEnd w:id="4"/>
    <w:p>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w:t>
      </w:r>
      <w:r>
        <w:rPr>
          <w:rFonts w:hint="eastAsia" w:ascii="Times New Roman" w:hAnsi="Times New Roman" w:cs="Times New Roman"/>
          <w:szCs w:val="21"/>
        </w:rPr>
        <w:t>服务</w:t>
      </w:r>
      <w:r>
        <w:rPr>
          <w:rFonts w:ascii="Times New Roman" w:hAnsi="Times New Roman" w:cs="Times New Roman"/>
          <w:szCs w:val="21"/>
        </w:rPr>
        <w:t>，以及伴随的服务和工程。</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w:t>
      </w:r>
      <w:r>
        <w:rPr>
          <w:rFonts w:hint="eastAsia" w:ascii="Times New Roman" w:hAnsi="Times New Roman" w:cs="Times New Roman"/>
          <w:szCs w:val="21"/>
        </w:rPr>
        <w:t>服务</w:t>
      </w:r>
      <w:r>
        <w:rPr>
          <w:rFonts w:ascii="Times New Roman" w:hAnsi="Times New Roman" w:cs="Times New Roman"/>
          <w:szCs w:val="21"/>
        </w:rPr>
        <w:t>及相关服务的单价（如适用）和总价。未标明的视同包含在报价中。</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w:t>
      </w:r>
      <w:r>
        <w:rPr>
          <w:rFonts w:hint="eastAsia" w:ascii="Times New Roman" w:hAnsi="Times New Roman" w:cs="Times New Roman"/>
          <w:szCs w:val="21"/>
        </w:rPr>
        <w:t>不满足询价有效期</w:t>
      </w:r>
      <w:r>
        <w:rPr>
          <w:rFonts w:ascii="Times New Roman" w:hAnsi="Times New Roman" w:cs="Times New Roman"/>
          <w:szCs w:val="21"/>
        </w:rPr>
        <w:t>要求的</w:t>
      </w:r>
      <w:r>
        <w:rPr>
          <w:rFonts w:hint="eastAsia" w:ascii="Times New Roman" w:hAnsi="Times New Roman" w:cs="Times New Roman"/>
          <w:szCs w:val="21"/>
        </w:rPr>
        <w:t>为</w:t>
      </w:r>
      <w:r>
        <w:rPr>
          <w:rFonts w:ascii="Times New Roman" w:hAnsi="Times New Roman" w:cs="Times New Roman"/>
          <w:szCs w:val="21"/>
        </w:rPr>
        <w:t>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5" w:name="_Hlk22476245"/>
      <w:r>
        <w:rPr>
          <w:rFonts w:ascii="Times New Roman" w:hAnsi="Times New Roman" w:cs="Times New Roman"/>
          <w:szCs w:val="21"/>
        </w:rPr>
        <w:t>投标文件提交截止时间</w:t>
      </w:r>
      <w:bookmarkEnd w:id="5"/>
      <w:r>
        <w:rPr>
          <w:rFonts w:ascii="Times New Roman" w:hAnsi="Times New Roman" w:cs="Times New Roman"/>
          <w:szCs w:val="21"/>
        </w:rPr>
        <w:t>前，将封装的投标文件送到指定开标地点。</w:t>
      </w:r>
    </w:p>
    <w:p>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w:t>
      </w:r>
      <w:r>
        <w:rPr>
          <w:rFonts w:hint="eastAsia" w:ascii="Times New Roman" w:hAnsi="Times New Roman" w:cs="Times New Roman"/>
          <w:szCs w:val="21"/>
        </w:rPr>
        <w:t>评分</w:t>
      </w:r>
      <w:r>
        <w:rPr>
          <w:rFonts w:ascii="Times New Roman" w:hAnsi="Times New Roman" w:cs="Times New Roman"/>
          <w:szCs w:val="21"/>
        </w:rPr>
        <w:t>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pPr>
        <w:spacing w:line="360" w:lineRule="auto"/>
        <w:jc w:val="center"/>
        <w:outlineLvl w:val="0"/>
        <w:rPr>
          <w:rFonts w:ascii="Times New Roman" w:hAnsi="Times New Roman" w:cs="Times New Roman"/>
          <w:b/>
          <w:sz w:val="28"/>
        </w:rPr>
      </w:pPr>
      <w:bookmarkStart w:id="6" w:name="_Toc11969"/>
      <w:r>
        <w:rPr>
          <w:rFonts w:ascii="Times New Roman" w:hAnsi="Times New Roman" w:cs="Times New Roman"/>
          <w:b/>
          <w:sz w:val="28"/>
        </w:rPr>
        <w:t xml:space="preserve">第三章  </w:t>
      </w:r>
      <w:bookmarkEnd w:id="6"/>
      <w:r>
        <w:rPr>
          <w:rFonts w:ascii="Times New Roman" w:hAnsi="Times New Roman" w:cs="Times New Roman"/>
          <w:b/>
          <w:sz w:val="28"/>
        </w:rPr>
        <w:t>招标人要求</w:t>
      </w:r>
    </w:p>
    <w:p>
      <w:pPr>
        <w:spacing w:line="360" w:lineRule="auto"/>
        <w:ind w:firstLine="420" w:firstLineChars="200"/>
        <w:rPr>
          <w:rFonts w:ascii="Times New Roman" w:hAnsi="Times New Roman"/>
          <w:szCs w:val="21"/>
        </w:rPr>
      </w:pPr>
      <w:r>
        <w:rPr>
          <w:rFonts w:hint="eastAsia" w:ascii="Times New Roman" w:hAnsi="Times New Roman"/>
          <w:szCs w:val="21"/>
        </w:rPr>
        <w:t>招标人</w:t>
      </w:r>
      <w:r>
        <w:rPr>
          <w:rFonts w:ascii="Times New Roman" w:hAnsi="Times New Roman"/>
          <w:szCs w:val="21"/>
        </w:rPr>
        <w:t>要求应尽可能清晰准确，对于可以进行定量评估的工作，</w:t>
      </w:r>
      <w:r>
        <w:rPr>
          <w:rFonts w:hint="eastAsia" w:ascii="Times New Roman" w:hAnsi="Times New Roman"/>
          <w:szCs w:val="21"/>
        </w:rPr>
        <w:t>招标人</w:t>
      </w:r>
      <w:r>
        <w:rPr>
          <w:rFonts w:ascii="Times New Roman" w:hAnsi="Times New Roman"/>
          <w:szCs w:val="21"/>
        </w:rPr>
        <w:t>要求不仅应明确规定其功能、用途、质量、环境、安全，并且要规定偏差的范围和计算方法，以及检验、试验、试运行的具体要求。对于</w:t>
      </w:r>
      <w:r>
        <w:rPr>
          <w:rFonts w:hint="eastAsia" w:ascii="Times New Roman" w:hAnsi="Times New Roman"/>
          <w:szCs w:val="21"/>
        </w:rPr>
        <w:t>投标人</w:t>
      </w:r>
      <w:r>
        <w:rPr>
          <w:rFonts w:ascii="Times New Roman" w:hAnsi="Times New Roman"/>
          <w:szCs w:val="21"/>
        </w:rPr>
        <w:t>负责提供的有关服务，在</w:t>
      </w:r>
      <w:r>
        <w:rPr>
          <w:rFonts w:hint="eastAsia" w:ascii="Times New Roman" w:hAnsi="Times New Roman"/>
          <w:szCs w:val="21"/>
        </w:rPr>
        <w:t>招标人</w:t>
      </w:r>
      <w:r>
        <w:rPr>
          <w:rFonts w:ascii="Times New Roman" w:hAnsi="Times New Roman"/>
          <w:szCs w:val="21"/>
        </w:rPr>
        <w:t>要求中应一并明确规定。</w:t>
      </w:r>
    </w:p>
    <w:p>
      <w:pPr>
        <w:spacing w:line="360" w:lineRule="auto"/>
        <w:ind w:firstLine="420" w:firstLineChars="200"/>
        <w:rPr>
          <w:rFonts w:ascii="Times New Roman" w:hAnsi="Times New Roman"/>
          <w:szCs w:val="21"/>
        </w:rPr>
      </w:pPr>
      <w:r>
        <w:rPr>
          <w:rFonts w:hint="eastAsia" w:ascii="Times New Roman" w:hAnsi="Times New Roman"/>
          <w:szCs w:val="21"/>
        </w:rPr>
        <w:t>招标人</w:t>
      </w:r>
      <w:r>
        <w:rPr>
          <w:rFonts w:ascii="Times New Roman" w:hAnsi="Times New Roman"/>
          <w:szCs w:val="21"/>
        </w:rPr>
        <w:t>要求通常包括但不限于以下内容：</w:t>
      </w:r>
    </w:p>
    <w:p>
      <w:pPr>
        <w:spacing w:line="360" w:lineRule="auto"/>
        <w:outlineLvl w:val="1"/>
        <w:rPr>
          <w:rFonts w:ascii="Times New Roman" w:hAnsi="Times New Roman"/>
          <w:b/>
          <w:sz w:val="24"/>
        </w:rPr>
      </w:pPr>
      <w:bookmarkStart w:id="7" w:name="_Toc482188637"/>
      <w:bookmarkStart w:id="8" w:name="_Toc19590"/>
      <w:r>
        <w:rPr>
          <w:rFonts w:ascii="Times New Roman" w:hAnsi="Times New Roman"/>
          <w:b/>
          <w:sz w:val="24"/>
        </w:rPr>
        <w:t>一、</w:t>
      </w:r>
      <w:bookmarkEnd w:id="7"/>
      <w:r>
        <w:rPr>
          <w:rFonts w:hint="eastAsia" w:ascii="Times New Roman" w:hAnsi="Times New Roman"/>
          <w:b/>
          <w:sz w:val="24"/>
        </w:rPr>
        <w:t>项目概况</w:t>
      </w:r>
      <w:bookmarkEnd w:id="8"/>
    </w:p>
    <w:p>
      <w:pPr>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、项目位置：</w:t>
      </w:r>
      <w:r>
        <w:rPr>
          <w:rFonts w:hint="eastAsia" w:ascii="Times New Roman" w:hAnsi="Times New Roman" w:cs="Times New Roman"/>
          <w:szCs w:val="21"/>
          <w:u w:val="single"/>
        </w:rPr>
        <w:t>合肥市蜀山区汤池路与茗香路交口文渊府营销中心</w:t>
      </w:r>
    </w:p>
    <w:p>
      <w:pPr>
        <w:pStyle w:val="22"/>
        <w:spacing w:line="360" w:lineRule="auto"/>
        <w:ind w:left="0" w:leftChars="0"/>
      </w:pPr>
      <w:r>
        <w:rPr>
          <w:rFonts w:hint="eastAsia" w:ascii="Times New Roman" w:hAnsi="Times New Roman"/>
          <w:szCs w:val="21"/>
        </w:rPr>
        <w:t>2</w:t>
      </w:r>
      <w:r>
        <w:rPr>
          <w:rFonts w:ascii="Times New Roman" w:hAnsi="Times New Roman"/>
          <w:szCs w:val="21"/>
        </w:rPr>
        <w:t>、</w:t>
      </w:r>
      <w:r>
        <w:rPr>
          <w:rFonts w:hint="eastAsia"/>
        </w:rPr>
        <w:t>资产明细：</w:t>
      </w:r>
    </w:p>
    <w:tbl>
      <w:tblPr>
        <w:tblStyle w:val="23"/>
        <w:tblW w:w="8931" w:type="dxa"/>
        <w:tblInd w:w="-318" w:type="dxa"/>
        <w:tblLayout w:type="autofit"/>
        <w:tblCellMar>
          <w:top w:w="0" w:type="dxa"/>
          <w:left w:w="108" w:type="dxa"/>
          <w:bottom w:w="0" w:type="dxa"/>
          <w:right w:w="108" w:type="dxa"/>
        </w:tblCellMar>
      </w:tblPr>
      <w:tblGrid>
        <w:gridCol w:w="685"/>
        <w:gridCol w:w="2336"/>
        <w:gridCol w:w="2016"/>
        <w:gridCol w:w="851"/>
        <w:gridCol w:w="1843"/>
        <w:gridCol w:w="1200"/>
      </w:tblGrid>
      <w:tr>
        <w:tblPrEx>
          <w:tblCellMar>
            <w:top w:w="0" w:type="dxa"/>
            <w:left w:w="108" w:type="dxa"/>
            <w:bottom w:w="0" w:type="dxa"/>
            <w:right w:w="108" w:type="dxa"/>
          </w:tblCellMar>
        </w:tblPrEx>
        <w:trPr>
          <w:trHeight w:val="600" w:hRule="atLeast"/>
        </w:trPr>
        <w:tc>
          <w:tcPr>
            <w:tcW w:w="8931" w:type="dxa"/>
            <w:gridSpan w:val="6"/>
            <w:vAlign w:val="center"/>
          </w:tcPr>
          <w:p>
            <w:pPr>
              <w:widowControl/>
              <w:rPr>
                <w:rFonts w:ascii="宋体" w:hAnsi="宋体" w:eastAsia="宋体" w:cs="宋体"/>
                <w:b/>
                <w:bCs/>
                <w:kern w:val="0"/>
                <w:sz w:val="13"/>
                <w:szCs w:val="13"/>
              </w:rPr>
            </w:pPr>
          </w:p>
        </w:tc>
      </w:tr>
      <w:tr>
        <w:tblPrEx>
          <w:tblCellMar>
            <w:top w:w="0" w:type="dxa"/>
            <w:left w:w="108" w:type="dxa"/>
            <w:bottom w:w="0" w:type="dxa"/>
            <w:right w:w="108" w:type="dxa"/>
          </w:tblCellMar>
        </w:tblPrEx>
        <w:trPr>
          <w:trHeight w:val="462"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233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szCs w:val="20"/>
              </w:rPr>
            </w:pPr>
            <w:bookmarkStart w:id="9" w:name="RANGE!B2:F15"/>
            <w:r>
              <w:rPr>
                <w:rFonts w:hint="eastAsia" w:ascii="宋体" w:hAnsi="宋体" w:eastAsia="宋体" w:cs="宋体"/>
                <w:b/>
                <w:bCs/>
                <w:kern w:val="0"/>
                <w:sz w:val="20"/>
                <w:szCs w:val="20"/>
              </w:rPr>
              <w:t>资产名称</w:t>
            </w:r>
            <w:bookmarkEnd w:id="9"/>
          </w:p>
        </w:tc>
        <w:tc>
          <w:tcPr>
            <w:tcW w:w="19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规格/型号</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数 量</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存放地点</w:t>
            </w:r>
          </w:p>
        </w:tc>
        <w:tc>
          <w:tcPr>
            <w:tcW w:w="1275" w:type="dxa"/>
            <w:tcBorders>
              <w:top w:val="single" w:color="000000"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备    注</w:t>
            </w: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康庭消毒柜</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皖宝床垫</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床</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台灯</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美的中央空调室外机</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MDVH-J140W-511(E1)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美的中央空调室内机</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MDVH-J36T3-A</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联想电脑</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佳能激光打印机</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LBP2900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336"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四人位皮沙发</w:t>
            </w:r>
          </w:p>
        </w:tc>
        <w:tc>
          <w:tcPr>
            <w:tcW w:w="1916"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2组</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三人位木沙发</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1把</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椅子</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31把</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小冰箱</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HOMESUN</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冠宙高压清洗机</w:t>
            </w:r>
          </w:p>
        </w:tc>
        <w:tc>
          <w:tcPr>
            <w:tcW w:w="191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QL-380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京瓷复印一体机</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3050ci</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停车场闸机</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传真机</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HP打印机</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540"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2336"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冠硕收银机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(含软件、激光枪)</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GS-6000H</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233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佳能照相机(I*US65)</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1部</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板式油汀</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夏季工作服</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46套</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冬季工作服</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3套</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领料单</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232本</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入库单</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271本</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双鱼1星乒乓球</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62" w:hRule="atLeast"/>
        </w:trPr>
        <w:tc>
          <w:tcPr>
            <w:tcW w:w="71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23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地托盆龙头</w:t>
            </w:r>
          </w:p>
        </w:tc>
        <w:tc>
          <w:tcPr>
            <w:tcW w:w="1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27个</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文渊府三楼</w:t>
            </w:r>
          </w:p>
        </w:tc>
        <w:tc>
          <w:tcPr>
            <w:tcW w:w="1275"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p>
        </w:tc>
      </w:tr>
    </w:tbl>
    <w:p>
      <w:pPr>
        <w:pStyle w:val="22"/>
        <w:rPr>
          <w:rFonts w:asciiTheme="minorEastAsia" w:hAnsiTheme="minorEastAsia" w:cstheme="minorEastAsia"/>
          <w:szCs w:val="21"/>
        </w:rPr>
      </w:pPr>
      <w:r>
        <w:rPr>
          <w:rFonts w:hint="eastAsia" w:asciiTheme="minorEastAsia" w:hAnsiTheme="minorEastAsia" w:cstheme="minorEastAsia"/>
          <w:color w:val="000000"/>
          <w:szCs w:val="21"/>
        </w:rPr>
        <w:t>（此表仅供参考，具体以现场实际为准）</w:t>
      </w:r>
    </w:p>
    <w:p>
      <w:pPr>
        <w:spacing w:line="360" w:lineRule="auto"/>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二、服务内容及要求</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1、投标人对</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pacing w:val="6"/>
          <w:szCs w:val="21"/>
        </w:rPr>
        <w:t>进行资产评估，并对应出具资产评估报告。</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2、根据国家有关法规和行业规定，能够独立客观地进行鉴定评估。在签订委托合同，并且委托方提供完整的评估资料后，在约定时间内将评估报告书初稿报委托人审核并获取意见后72小时内出具评估报告。</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3、投标人应当对被评估对象进行全面清查，根据委托方提供的资产清单，核实资产账面与实际是否相符，并据此作出鉴定。</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4、投标人应充分根据资产原值、净值、新旧程度、重置成本、获利能力等因素选用合适的资产评估方法；并优先在持续使用的假设前提下，进行评估。</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 xml:space="preserve">5、投标人出具的资产评估报告应当完整、齐全内容、格式符合《企业国有资产评估报告指南》（中评协[2017]42号）的规定。   </w:t>
      </w:r>
    </w:p>
    <w:p>
      <w:pPr>
        <w:spacing w:line="520" w:lineRule="exact"/>
        <w:rPr>
          <w:rFonts w:asciiTheme="minorEastAsia" w:hAnsiTheme="minorEastAsia" w:cstheme="minorEastAsia"/>
          <w:b/>
          <w:szCs w:val="21"/>
        </w:rPr>
      </w:pPr>
      <w:r>
        <w:rPr>
          <w:rFonts w:hint="eastAsia" w:asciiTheme="minorEastAsia" w:hAnsiTheme="minorEastAsia" w:cstheme="minorEastAsia"/>
          <w:spacing w:val="6"/>
          <w:szCs w:val="21"/>
        </w:rPr>
        <w:t>三、</w:t>
      </w:r>
      <w:r>
        <w:rPr>
          <w:rFonts w:hint="eastAsia" w:asciiTheme="minorEastAsia" w:hAnsiTheme="minorEastAsia" w:cstheme="minorEastAsia"/>
          <w:b/>
          <w:szCs w:val="21"/>
        </w:rPr>
        <w:t>服务期限要求：</w:t>
      </w:r>
    </w:p>
    <w:p>
      <w:pPr>
        <w:pStyle w:val="22"/>
        <w:numPr>
          <w:ilvl w:val="255"/>
          <w:numId w:val="0"/>
        </w:num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投标单位应自中标之日起7个工作日内完成资产评估工作，出具符合委托人要求的评估报告。</w:t>
      </w:r>
    </w:p>
    <w:p>
      <w:pPr>
        <w:spacing w:line="360" w:lineRule="auto"/>
        <w:outlineLvl w:val="1"/>
        <w:rPr>
          <w:rFonts w:asciiTheme="minorEastAsia" w:hAnsiTheme="minorEastAsia" w:cstheme="minorEastAsia"/>
          <w:b/>
          <w:szCs w:val="21"/>
        </w:rPr>
      </w:pPr>
      <w:r>
        <w:rPr>
          <w:rFonts w:hint="eastAsia" w:asciiTheme="minorEastAsia" w:hAnsiTheme="minorEastAsia" w:cstheme="minorEastAsia"/>
          <w:b/>
          <w:szCs w:val="21"/>
        </w:rPr>
        <w:t>四、报价要求</w:t>
      </w:r>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1、本项目采用总价报价，投标单位报投标总价不得高于项目概算金额，该总价包括但不限于投标单位的人工费、保险费、福利费、审计费、利润、税金及完成项目应有的全部费用。以投标总价作为评标依据，报价相同的，</w:t>
      </w:r>
      <w:bookmarkStart w:id="10" w:name="_Hlk514735510"/>
      <w:r>
        <w:rPr>
          <w:rFonts w:hint="eastAsia" w:asciiTheme="minorEastAsia" w:hAnsiTheme="minorEastAsia" w:cstheme="minorEastAsia"/>
          <w:spacing w:val="6"/>
          <w:szCs w:val="21"/>
        </w:rPr>
        <w:t>则采取评标委员会抽签方式确定中标单位。</w:t>
      </w:r>
      <w:bookmarkEnd w:id="10"/>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2、投标人需提前自行对项目现场和周围环境进行勘察，勘查现场所发生的费用由投标人自行承担。</w:t>
      </w:r>
    </w:p>
    <w:p>
      <w:pPr>
        <w:adjustRightInd w:val="0"/>
        <w:snapToGrid w:val="0"/>
        <w:spacing w:line="520" w:lineRule="exact"/>
        <w:ind w:firstLine="444" w:firstLineChars="200"/>
        <w:rPr>
          <w:rFonts w:asciiTheme="minorEastAsia" w:hAnsiTheme="minorEastAsia" w:cstheme="minorEastAsia"/>
          <w:b/>
          <w:szCs w:val="21"/>
        </w:rPr>
      </w:pPr>
      <w:r>
        <w:rPr>
          <w:rFonts w:hint="eastAsia" w:asciiTheme="minorEastAsia" w:hAnsiTheme="minorEastAsia" w:cstheme="minorEastAsia"/>
          <w:spacing w:val="6"/>
          <w:szCs w:val="21"/>
        </w:rPr>
        <w:t>3、投标总价包括本次评估全部内容及工期的成本、利润、税金、运输费、损耗等所有费用。</w:t>
      </w:r>
    </w:p>
    <w:p>
      <w:pPr>
        <w:spacing w:line="44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4、投标报价总价不得高于项目概算。</w:t>
      </w:r>
    </w:p>
    <w:p>
      <w:pPr>
        <w:spacing w:line="360" w:lineRule="auto"/>
        <w:outlineLvl w:val="1"/>
        <w:rPr>
          <w:rFonts w:asciiTheme="minorEastAsia" w:hAnsiTheme="minorEastAsia" w:cstheme="minorEastAsia"/>
          <w:b/>
          <w:szCs w:val="21"/>
        </w:rPr>
      </w:pPr>
      <w:r>
        <w:rPr>
          <w:rFonts w:hint="eastAsia" w:asciiTheme="minorEastAsia" w:hAnsiTheme="minorEastAsia" w:cstheme="minorEastAsia"/>
          <w:b/>
          <w:szCs w:val="21"/>
        </w:rPr>
        <w:t>六、付款方式</w:t>
      </w:r>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中标人与委托人签订合同，中标人完成全部评估并出具符合委托人要求的评估报告后30日内一次性支付评估费用。</w:t>
      </w:r>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注：（1）在招标人付款前，中标人需向招标人交付等额的增值税专用发票，否则招标人有权拒绝或者延迟付款，且不承担违约责任。</w:t>
      </w:r>
    </w:p>
    <w:p>
      <w:pPr>
        <w:adjustRightInd w:val="0"/>
        <w:snapToGrid w:val="0"/>
        <w:spacing w:line="520" w:lineRule="exact"/>
        <w:ind w:firstLine="444" w:firstLineChars="200"/>
        <w:rPr>
          <w:rFonts w:eastAsia="宋体"/>
          <w:spacing w:val="6"/>
          <w:sz w:val="28"/>
          <w:szCs w:val="28"/>
        </w:rPr>
      </w:pPr>
      <w:r>
        <w:rPr>
          <w:rFonts w:hint="eastAsia" w:asciiTheme="minorEastAsia" w:hAnsiTheme="minorEastAsia" w:cstheme="minorEastAsia"/>
          <w:spacing w:val="6"/>
          <w:szCs w:val="21"/>
        </w:rPr>
        <w:t>（2）投标人提交的投标文件中如有关于付款条件的表述与询价文件规定不符，投标无效。</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b/>
          <w:sz w:val="28"/>
        </w:rPr>
      </w:pPr>
      <w:bookmarkStart w:id="11" w:name="_Toc17615"/>
      <w:r>
        <w:rPr>
          <w:rFonts w:ascii="Times New Roman" w:hAnsi="Times New Roman" w:cs="Times New Roman"/>
          <w:b/>
          <w:sz w:val="28"/>
        </w:rPr>
        <w:t>第四章  评审方法和标准</w:t>
      </w:r>
      <w:bookmarkEnd w:id="11"/>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pPr>
        <w:spacing w:line="360" w:lineRule="auto"/>
        <w:ind w:firstLine="420" w:firstLineChars="200"/>
        <w:rPr>
          <w:rFonts w:ascii="Times New Roman" w:hAnsi="Times New Roman" w:cs="Times New Roman"/>
          <w:szCs w:val="16"/>
        </w:rPr>
      </w:pPr>
      <w:bookmarkStart w:id="12"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919"/>
        <w:gridCol w:w="5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516"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bookmarkStart w:id="13" w:name="_Hlk16461707"/>
            <w:r>
              <w:rPr>
                <w:rFonts w:ascii="Times New Roman" w:hAnsi="Times New Roman" w:cs="Times New Roman"/>
                <w:szCs w:val="21"/>
              </w:rPr>
              <w:t>序号</w:t>
            </w:r>
          </w:p>
        </w:tc>
        <w:tc>
          <w:tcPr>
            <w:tcW w:w="1159" w:type="pct"/>
            <w:tcBorders>
              <w:bottom w:val="single" w:color="auto" w:sz="4" w:space="0"/>
            </w:tcBorders>
            <w:vAlign w:val="center"/>
          </w:tcPr>
          <w:p>
            <w:pPr>
              <w:pStyle w:val="33"/>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4"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6"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59"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4"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6"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2</w:t>
            </w:r>
          </w:p>
        </w:tc>
        <w:tc>
          <w:tcPr>
            <w:tcW w:w="1159"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4"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6"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3</w:t>
            </w:r>
          </w:p>
        </w:tc>
        <w:tc>
          <w:tcPr>
            <w:tcW w:w="1159"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4"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6"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4</w:t>
            </w:r>
          </w:p>
        </w:tc>
        <w:tc>
          <w:tcPr>
            <w:tcW w:w="1159"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4"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5</w:t>
            </w:r>
          </w:p>
        </w:tc>
        <w:tc>
          <w:tcPr>
            <w:tcW w:w="1159" w:type="pct"/>
            <w:vAlign w:val="center"/>
          </w:tcPr>
          <w:p>
            <w:pPr>
              <w:adjustRightInd w:val="0"/>
              <w:snapToGrid w:val="0"/>
              <w:ind w:right="-10"/>
              <w:jc w:val="center"/>
              <w:rPr>
                <w:rFonts w:cs="Times New Roman"/>
                <w:szCs w:val="21"/>
              </w:rPr>
            </w:pPr>
            <w:r>
              <w:rPr>
                <w:rFonts w:hint="eastAsia" w:cs="Times New Roman"/>
                <w:szCs w:val="21"/>
              </w:rPr>
              <w:t>授权书</w:t>
            </w:r>
          </w:p>
        </w:tc>
        <w:tc>
          <w:tcPr>
            <w:tcW w:w="3324" w:type="pct"/>
            <w:vAlign w:val="center"/>
          </w:tcPr>
          <w:p>
            <w:pPr>
              <w:adjustRightInd w:val="0"/>
              <w:snapToGrid w:val="0"/>
              <w:ind w:right="-10"/>
              <w:jc w:val="left"/>
              <w:rPr>
                <w:rFonts w:ascii="Calibri" w:hAnsi="Calibri" w:cs="Times New Roman"/>
                <w:szCs w:val="21"/>
              </w:rPr>
            </w:pPr>
            <w:r>
              <w:rPr>
                <w:rFonts w:hint="eastAsia" w:cs="Times New Roman"/>
                <w:szCs w:val="21"/>
              </w:rPr>
              <w:t>符合</w:t>
            </w:r>
            <w:r>
              <w:rPr>
                <w:rFonts w:hint="eastAsia" w:ascii="Times New Roman" w:hAnsi="Times New Roman" w:cs="Times New Roman"/>
                <w:szCs w:val="21"/>
              </w:rPr>
              <w:t>询价</w:t>
            </w:r>
            <w:r>
              <w:rPr>
                <w:rFonts w:hint="eastAsia" w:cs="Times New Roman"/>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6</w:t>
            </w:r>
          </w:p>
        </w:tc>
        <w:tc>
          <w:tcPr>
            <w:tcW w:w="1159"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4" w:type="pct"/>
            <w:vAlign w:val="center"/>
          </w:tcPr>
          <w:p>
            <w:pPr>
              <w:spacing w:after="50" w:line="440" w:lineRule="exact"/>
              <w:ind w:right="-10"/>
              <w:jc w:val="left"/>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w:t>
            </w:r>
            <w:r>
              <w:rPr>
                <w:rFonts w:hint="eastAsia" w:ascii="Times New Roman" w:hAnsi="Times New Roman" w:cs="Times New Roman"/>
                <w:szCs w:val="21"/>
              </w:rPr>
              <w:t>效投</w:t>
            </w:r>
            <w:r>
              <w:rPr>
                <w:rFonts w:ascii="Times New Roman" w:hAnsi="Times New Roman" w:cs="Times New Roman"/>
                <w:szCs w:val="21"/>
              </w:rPr>
              <w:t>标进行评审，未列入上表中的指标不得作为否决投标依据。符合评审指标通过标准的，为有效投标。</w:t>
            </w:r>
          </w:p>
        </w:tc>
      </w:tr>
      <w:bookmarkEnd w:id="12"/>
      <w:bookmarkEnd w:id="13"/>
    </w:tbl>
    <w:p>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bCs/>
          <w:sz w:val="24"/>
        </w:rPr>
      </w:pPr>
      <w:r>
        <w:rPr>
          <w:rFonts w:ascii="Times New Roman" w:hAnsi="Times New Roman" w:cs="Times New Roman"/>
          <w:bCs/>
          <w:sz w:val="24"/>
        </w:rPr>
        <w:br w:type="page"/>
      </w:r>
    </w:p>
    <w:p>
      <w:pPr>
        <w:ind w:left="420"/>
        <w:jc w:val="center"/>
        <w:rPr>
          <w:b/>
          <w:color w:val="000000"/>
          <w:sz w:val="48"/>
          <w:szCs w:val="48"/>
        </w:rPr>
      </w:pPr>
      <w:bookmarkStart w:id="14" w:name="_Toc28197"/>
      <w:r>
        <w:rPr>
          <w:rFonts w:hint="eastAsia"/>
          <w:b/>
          <w:color w:val="000000"/>
          <w:sz w:val="48"/>
          <w:szCs w:val="48"/>
        </w:rPr>
        <w:t>经纬公司文渊府办公场所待处置资产评估服务项目</w:t>
      </w:r>
    </w:p>
    <w:p>
      <w:pPr>
        <w:ind w:left="420"/>
        <w:jc w:val="center"/>
        <w:rPr>
          <w:b/>
          <w:color w:val="000000"/>
          <w:sz w:val="48"/>
          <w:szCs w:val="48"/>
        </w:rPr>
      </w:pPr>
      <w:r>
        <w:rPr>
          <w:rFonts w:hint="eastAsia"/>
          <w:b/>
          <w:color w:val="000000"/>
          <w:sz w:val="48"/>
          <w:szCs w:val="48"/>
        </w:rPr>
        <w:t>资产评估服务合同</w:t>
      </w:r>
    </w:p>
    <w:p>
      <w:pPr>
        <w:ind w:left="420"/>
        <w:jc w:val="center"/>
        <w:rPr>
          <w:b/>
          <w:color w:val="000000"/>
          <w:sz w:val="48"/>
          <w:szCs w:val="48"/>
        </w:rPr>
      </w:pPr>
      <w:r>
        <w:rPr>
          <w:rFonts w:hint="eastAsia"/>
          <w:b/>
          <w:color w:val="000000"/>
          <w:sz w:val="48"/>
          <w:szCs w:val="48"/>
        </w:rPr>
        <w:t>（供参考）</w:t>
      </w:r>
    </w:p>
    <w:p>
      <w:pPr>
        <w:rPr>
          <w:b/>
          <w:color w:val="000000"/>
          <w:sz w:val="52"/>
          <w:szCs w:val="52"/>
        </w:rPr>
      </w:pPr>
    </w:p>
    <w:p>
      <w:pPr>
        <w:widowControl/>
        <w:spacing w:before="109" w:line="440" w:lineRule="atLeast"/>
        <w:ind w:firstLine="640"/>
        <w:rPr>
          <w:rFonts w:ascii="黑体" w:hAnsi="Times New Roman" w:eastAsia="黑体"/>
          <w:color w:val="000000"/>
          <w:kern w:val="0"/>
          <w:sz w:val="32"/>
          <w:szCs w:val="32"/>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pStyle w:val="2"/>
      </w:pPr>
    </w:p>
    <w:p/>
    <w:p>
      <w:pPr>
        <w:ind w:firstLine="199" w:firstLineChars="95"/>
        <w:rPr>
          <w:rFonts w:ascii="宋体" w:hAnsi="宋体"/>
          <w:color w:val="000000"/>
        </w:rPr>
      </w:pPr>
    </w:p>
    <w:p>
      <w:pPr>
        <w:pStyle w:val="8"/>
        <w:ind w:firstLine="199" w:firstLineChars="95"/>
        <w:rPr>
          <w:rFonts w:ascii="宋体" w:hAnsi="宋体"/>
          <w:color w:val="000000"/>
        </w:rPr>
      </w:pPr>
    </w:p>
    <w:p>
      <w:pPr>
        <w:pStyle w:val="8"/>
        <w:ind w:firstLine="199" w:firstLineChars="95"/>
        <w:rPr>
          <w:rFonts w:ascii="宋体" w:hAnsi="宋体"/>
          <w:color w:val="000000"/>
        </w:rPr>
      </w:pPr>
    </w:p>
    <w:p>
      <w:pPr>
        <w:pStyle w:val="8"/>
        <w:ind w:firstLine="199" w:firstLineChars="95"/>
        <w:rPr>
          <w:rFonts w:ascii="宋体" w:hAnsi="宋体"/>
          <w:color w:val="000000"/>
        </w:rPr>
      </w:pPr>
    </w:p>
    <w:p>
      <w:pPr>
        <w:pStyle w:val="8"/>
        <w:ind w:firstLine="199" w:firstLineChars="95"/>
        <w:rPr>
          <w:rFonts w:ascii="宋体" w:hAnsi="宋体"/>
          <w:color w:val="000000"/>
        </w:rPr>
      </w:pPr>
    </w:p>
    <w:p>
      <w:pPr>
        <w:pStyle w:val="8"/>
        <w:ind w:firstLine="199" w:firstLineChars="95"/>
        <w:rPr>
          <w:rFonts w:ascii="宋体" w:hAnsi="宋体"/>
          <w:color w:val="000000"/>
        </w:rPr>
      </w:pPr>
    </w:p>
    <w:p>
      <w:pPr>
        <w:jc w:val="left"/>
        <w:rPr>
          <w:rFonts w:ascii="宋体" w:hAnsi="宋体"/>
          <w:color w:val="000000"/>
        </w:rPr>
      </w:pPr>
    </w:p>
    <w:p>
      <w:pPr>
        <w:jc w:val="left"/>
        <w:rPr>
          <w:rFonts w:ascii="宋体" w:hAnsi="宋体"/>
          <w:color w:val="000000"/>
        </w:rPr>
      </w:pPr>
    </w:p>
    <w:p>
      <w:pPr>
        <w:ind w:firstLine="562" w:firstLineChars="200"/>
        <w:jc w:val="left"/>
        <w:rPr>
          <w:rFonts w:ascii="宋体" w:hAnsi="宋体"/>
          <w:b/>
          <w:color w:val="000000"/>
          <w:sz w:val="28"/>
          <w:szCs w:val="28"/>
        </w:rPr>
      </w:pPr>
      <w:r>
        <w:rPr>
          <w:rFonts w:hint="eastAsia" w:ascii="宋体" w:hAnsi="宋体"/>
          <w:b/>
          <w:color w:val="000000"/>
          <w:sz w:val="28"/>
          <w:szCs w:val="28"/>
        </w:rPr>
        <w:t>委托人：合肥经纬资产经营管理有限公司</w:t>
      </w:r>
    </w:p>
    <w:p>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p>
    <w:p>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p>
    <w:p>
      <w:pPr>
        <w:ind w:firstLine="562" w:firstLineChars="200"/>
        <w:rPr>
          <w:rFonts w:ascii="宋体" w:hAnsi="宋体"/>
          <w:b/>
          <w:color w:val="000000"/>
          <w:sz w:val="28"/>
          <w:szCs w:val="28"/>
          <w:u w:val="single"/>
        </w:rPr>
      </w:pPr>
    </w:p>
    <w:p>
      <w:pPr>
        <w:sectPr>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宋体" w:hAnsi="宋体"/>
          <w:color w:val="000000"/>
          <w:sz w:val="24"/>
        </w:rPr>
        <w:sectPr>
          <w:type w:val="continuous"/>
          <w:pgSz w:w="11906" w:h="16838"/>
          <w:pgMar w:top="1440" w:right="1800" w:bottom="1440" w:left="1800" w:header="851" w:footer="992" w:gutter="0"/>
          <w:cols w:space="425" w:num="1"/>
          <w:docGrid w:type="lines" w:linePitch="312" w:charSpace="0"/>
        </w:sectPr>
      </w:pPr>
    </w:p>
    <w:p>
      <w:pPr>
        <w:pStyle w:val="57"/>
        <w:spacing w:line="531" w:lineRule="exact"/>
        <w:ind w:firstLine="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评估</w:t>
      </w:r>
      <w:r>
        <w:rPr>
          <w:rFonts w:hint="eastAsia" w:asciiTheme="minorEastAsia" w:hAnsiTheme="minorEastAsia" w:eastAsiaTheme="minorEastAsia" w:cstheme="minorEastAsia"/>
          <w:b/>
          <w:sz w:val="28"/>
          <w:szCs w:val="28"/>
        </w:rPr>
        <w:t>业务约定书</w:t>
      </w:r>
    </w:p>
    <w:p>
      <w:pPr>
        <w:pStyle w:val="57"/>
        <w:spacing w:line="520" w:lineRule="atLeast"/>
        <w:ind w:firstLine="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委托方（甲方）：</w:t>
      </w:r>
      <w:r>
        <w:rPr>
          <w:rFonts w:hint="eastAsia"/>
          <w:sz w:val="24"/>
          <w:lang w:bidi="ar"/>
        </w:rPr>
        <w:t>合肥经纬资产经营管理有限公司</w:t>
      </w:r>
    </w:p>
    <w:p>
      <w:pPr>
        <w:pStyle w:val="57"/>
        <w:spacing w:line="520" w:lineRule="atLeast"/>
        <w:ind w:firstLine="0"/>
        <w:jc w:val="both"/>
        <w:rPr>
          <w:rFonts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受托方（乙方）：</w:t>
      </w:r>
      <w:r>
        <w:rPr>
          <w:rFonts w:hint="eastAsia" w:asciiTheme="minorEastAsia" w:hAnsiTheme="minorEastAsia" w:eastAsiaTheme="minorEastAsia" w:cstheme="minorEastAsia"/>
          <w:sz w:val="21"/>
          <w:szCs w:val="21"/>
          <w:lang w:val="en-US" w:eastAsia="zh-CN"/>
        </w:rPr>
        <w:t xml:space="preserve">    </w:t>
      </w:r>
    </w:p>
    <w:p>
      <w:pPr>
        <w:pStyle w:val="57"/>
        <w:spacing w:line="520" w:lineRule="atLeast"/>
        <w:ind w:firstLine="620"/>
        <w:jc w:val="both"/>
        <w:rPr>
          <w:rFonts w:asciiTheme="minorEastAsia" w:hAnsiTheme="minorEastAsia" w:eastAsiaTheme="minorEastAsia" w:cstheme="minorEastAsia"/>
          <w:sz w:val="21"/>
          <w:szCs w:val="21"/>
          <w:lang w:val="en-US" w:eastAsia="zh-CN"/>
        </w:rPr>
      </w:pP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甲乙双方根据《中华人民共和国民法典》及《资产评估执业准则——资产评估委托合同》的规定，为明确双方的权利和义务，经双方协商同意签订本合同。</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一、评估目的：</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zCs w:val="21"/>
        </w:rPr>
        <w:t>资产评估，对该经济行为所涉及的资产于评估基准日的市场价值进行评估，本次评估为上述经济行为提供价值参考依据。</w:t>
      </w:r>
    </w:p>
    <w:p>
      <w:pPr>
        <w:snapToGrid w:val="0"/>
        <w:spacing w:line="520" w:lineRule="atLeast"/>
        <w:ind w:firstLine="422" w:firstLineChars="200"/>
        <w:rPr>
          <w:rFonts w:asciiTheme="minorEastAsia" w:hAnsiTheme="minorEastAsia" w:cstheme="minorEastAsia"/>
          <w:szCs w:val="21"/>
        </w:rPr>
      </w:pPr>
      <w:r>
        <w:rPr>
          <w:rFonts w:hint="eastAsia" w:asciiTheme="minorEastAsia" w:hAnsiTheme="minorEastAsia" w:cstheme="minorEastAsia"/>
          <w:b/>
          <w:szCs w:val="21"/>
        </w:rPr>
        <w:t>二、评估对象和评估范围：</w:t>
      </w:r>
      <w:r>
        <w:rPr>
          <w:rFonts w:hint="eastAsia" w:asciiTheme="minorEastAsia" w:hAnsiTheme="minorEastAsia" w:cstheme="minorEastAsia"/>
          <w:szCs w:val="21"/>
        </w:rPr>
        <w:t>评估对象为</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zCs w:val="21"/>
        </w:rPr>
        <w:t>资产的市场价值；评估范围为</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zCs w:val="21"/>
        </w:rPr>
        <w:t>资产。</w:t>
      </w:r>
    </w:p>
    <w:p>
      <w:pPr>
        <w:snapToGrid w:val="0"/>
        <w:spacing w:line="520" w:lineRule="atLeast"/>
        <w:ind w:firstLine="422" w:firstLineChars="200"/>
        <w:rPr>
          <w:rFonts w:asciiTheme="minorEastAsia" w:hAnsiTheme="minorEastAsia" w:cstheme="minorEastAsia"/>
          <w:szCs w:val="21"/>
        </w:rPr>
      </w:pPr>
      <w:r>
        <w:rPr>
          <w:rFonts w:hint="eastAsia" w:asciiTheme="minorEastAsia" w:hAnsiTheme="minorEastAsia" w:cstheme="minorEastAsia"/>
          <w:b/>
          <w:szCs w:val="21"/>
        </w:rPr>
        <w:t>三、评估基准日：</w:t>
      </w:r>
      <w:r>
        <w:rPr>
          <w:rFonts w:hint="eastAsia" w:asciiTheme="minorEastAsia" w:hAnsiTheme="minorEastAsia" w:cstheme="minorEastAsia"/>
          <w:szCs w:val="21"/>
        </w:rPr>
        <w:t xml:space="preserve"> 2024年 月   日</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四、资产评估报告适用范围：</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1、资产评估报告仅供甲方和法律、行政法规规定的使用人使用，甲方可以授权其他第三方单位使用本资产评估报告，除此之外，其他任何机构和个人不能成为资产评估报告使用人。</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3、甲方及其他资产评估报告使用人应当在资产评估报告载明的评估结论使用有效期内使用资产评估报告。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4、未经甲方书面许可，乙方及其专业人员不得将资产评估报告的内容向第三方提供或公开，法律、行政法规另有规定的除外。</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5、未征得乙方同意，甲方及其他资产评估报告使用人不得将资产评估报告的内容摘抄、引用或者披露于公开媒体，法律、行政法规规定以及相关当事人另有约定的除外。</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五、资产评估报告提交期限和方式：</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提交期限：自甲方和其他相关当事人完全、如实地提供乙方评估所需所有资料后，在约定时间内将评估报告书初稿报甲方审核，在获取甲方意见后72小时内出具正式评估报告；但自受托之日起，正式评估报告出具时间不得超过7个工作日。</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2、提交方式：资产评估报告的电子版及纸质版一式  份，邮寄或直接送达给甲方。</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3、乙方应当对被评估对象进行全面清查，根据甲方提供的资产清单，核实资产账面与实际是否相符，并据此作出鉴定。</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4、乙方应充分根据资产原值、净值、新旧程度、重置成本、获利能力等因素选用合适的资产评估方法；并优先在被评估资产将被持续使用的假设前提下，进行评估。</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六、评估服务费：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1、本合同评估服务费：</w:t>
      </w:r>
      <w:r>
        <w:rPr>
          <w:rFonts w:hint="eastAsia" w:ascii="Times New Roman" w:hAnsi="Times New Roman" w:cs="Times New Roman"/>
          <w:szCs w:val="21"/>
          <w:u w:val="single"/>
        </w:rPr>
        <w:t>经纬公司文渊府办公场所待处置资产评估服务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zCs w:val="21"/>
        </w:rPr>
        <w:t>资产评估服务费为   元（大写：   ）。</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2、上述评估服务费包括本次评估全部内容及工期的成本、利润、税金、运输费、损耗等所有费用，除此之外，甲方无需就本合同项下服务向乙方或第三方支付任何其他费用。</w:t>
      </w:r>
    </w:p>
    <w:p>
      <w:pPr>
        <w:adjustRightInd w:val="0"/>
        <w:snapToGrid w:val="0"/>
        <w:spacing w:line="52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3、付款方式：</w:t>
      </w:r>
      <w:r>
        <w:rPr>
          <w:rFonts w:hint="eastAsia"/>
        </w:rPr>
        <w:t>乙方完成全部评估并出具符合甲方要求的评估报告后30日内一次性支付评估费用。</w:t>
      </w:r>
      <w:r>
        <w:rPr>
          <w:rFonts w:hint="eastAsia" w:asciiTheme="minorEastAsia" w:hAnsiTheme="minorEastAsia" w:cstheme="minorEastAsia"/>
          <w:spacing w:val="6"/>
          <w:szCs w:val="21"/>
        </w:rPr>
        <w:t>在甲方付款前，乙方需向甲方交付等额的增值税专用发票，否则甲方有权拒绝或者延迟付款，且不承担违约责任。</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4、若评估范围或评估基准日发生变化，双方应签订补充协议或重新签订资产评估委托合同，评估服务费另议。</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5、非乙方原因造成评估业务中止，甲方应按乙方已完成的评估工作量向乙方支付相应的评估服务费。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6、甲方所支付的评估服务费中包含乙方利用自主开发的云数据库系统、评估工具软件、底稿系统软件和项目管理系统等高技术手段提供高效服务的费用。</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7、评估服务费的支付方式为转账汇款，乙方不接受现金形式的支付方式。</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8、乙方可接受的支付币种为人民币。</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9、乙方收款账户信息如下：</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开户行：</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账户名称：</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账号：</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七、关于发票的特别约定：</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1、发票上的购买方应与评估服务费支付方一致，若评估服务费支付方、支付金额等发生变化的，应签订补充协议另行约定，并及时更换发票。</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八、双方权利和义务：</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2、甲方应当为乙方及其专业人员执行评估业务提供必要的工作条件和协助；甲方应当根据评估业务需要，负责乙方及其专业人员与相关当事人之间的协调。 </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3、甲方应当按照本合同第四条的约定恰当使用资产评估报告。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4、乙方有责任按照本合同的约定按时按质完成资产评估工作。</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5、乙方及其专业人员应当遵守相关法律、行政法规和资产评估准则，对评估对象在评估基准日特定目的下的价值进行分析和估算并出具资产评估报告。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6、乙方应当按照《国有资产评估管理办法》（国务院令第91号）等开展评估工作，并出具符合《企业国有资产评估报告指南》（中评协[2017]42号）的规定的资产评估报告。</w:t>
      </w:r>
    </w:p>
    <w:p>
      <w:pPr>
        <w:pStyle w:val="58"/>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7.乙方对甲方及相关当事人内部资料、商业秘密、估值结果及约定的保密事项有保守秘密的义务。</w:t>
      </w:r>
    </w:p>
    <w:p>
      <w:pPr>
        <w:pStyle w:val="58"/>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8.当甲方认定乙方委派的评估专业人员不足以妥善履行评估职责时，乙方应及时更换评估人员。</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双方如不履行上述义务，视为违约。</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九、双方违约责任：</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1、甲方拒绝向乙方支付评估服务费，乙方有权停止工作或不向甲方提供资产评估报告。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2、甲方未同乙方协商而擅自变更或解除本合同，不得索要已支付给乙方的款项，乙方有权要求甲方按照已完成的评估工作量支付相应的评估服务费。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3、乙方未同甲方协商擅自变更或解除本合同，应全额返回甲方已支付的评估服务费用，但本合同第十条第2款和第3款所列情形除外。</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4、甲方未及时向乙方提供资产评估所需的文件、资料，或提供的文件和资料不真实，因此产生的不良后果由甲方负责，乙方不承担责任。</w:t>
      </w:r>
    </w:p>
    <w:p>
      <w:pPr>
        <w:pStyle w:val="59"/>
        <w:adjustRightInd w:val="0"/>
        <w:snapToGrid w:val="0"/>
        <w:spacing w:line="520" w:lineRule="atLeast"/>
        <w:rPr>
          <w:rFonts w:asciiTheme="minorEastAsia" w:hAnsiTheme="minorEastAsia" w:cstheme="minorEastAsia"/>
          <w:szCs w:val="21"/>
        </w:rPr>
      </w:pPr>
      <w:r>
        <w:rPr>
          <w:rFonts w:hint="eastAsia"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2"/>
        <w:spacing w:line="520" w:lineRule="atLeast"/>
        <w:rPr>
          <w:rFonts w:asciiTheme="minorEastAsia" w:hAnsiTheme="minorEastAsia" w:cstheme="minorEastAsia"/>
          <w:szCs w:val="21"/>
        </w:rPr>
      </w:pPr>
      <w:r>
        <w:rPr>
          <w:rFonts w:hint="eastAsia" w:asciiTheme="minorEastAsia" w:hAnsiTheme="minorEastAsia" w:cstheme="minorEastAsia"/>
          <w:szCs w:val="21"/>
        </w:rPr>
        <w:t>6.乙方或其工作人员违反信息保密义务给甲方造成损失的，乙方应承担赔偿责任；乙方报告出现错误给甲方或合法使用报告的第三方造成损失的，乙方应承担赔偿责任。</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十、双方争议解决及其他：</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1、本合同经双方协商一致可以终止或解除。</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4、本合同未明确的内容或未尽事宜由双方协商，协商达成一致后以纸质形式作为本合同的附件与本合同有同等的法律效力。</w:t>
      </w:r>
    </w:p>
    <w:p>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5、因本合同</w:t>
      </w:r>
      <w:r>
        <w:rPr>
          <w:rFonts w:hint="eastAsia" w:asciiTheme="minorEastAsia" w:hAnsiTheme="minorEastAsia" w:cstheme="minorEastAsia"/>
          <w:szCs w:val="21"/>
        </w:rPr>
        <w:t>产生</w:t>
      </w:r>
      <w:r>
        <w:rPr>
          <w:rFonts w:hint="eastAsia" w:asciiTheme="minorEastAsia" w:hAnsiTheme="minorEastAsia" w:cstheme="minorEastAsia"/>
          <w:kern w:val="32"/>
          <w:szCs w:val="21"/>
        </w:rPr>
        <w:t>的争议由双方协商解决，协商不成时，任何一方可向甲方所在地有管辖权的人民法院起诉。</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6、本合同经双方代表签名，并加盖单位公章或合同专用章后，即发生法律效力。</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7、本合同正本一式贰份，甲乙双方各执壹份，具有同等法律效力。</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9、本合同中“甲方代表”“乙方代表”特指合同当事人双方企业法定代表人或法定代表人的授权人。</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10、下列询价文件及有关附件是本合同不可分割的组成部分，并构成一个整体，需综合解释、相互补充。如果下列文件内容出现不一致的情形，组成本合同的多个文件的优先适用及解释的顺序如下：</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（1）本合同及其补充合同、变更协议；</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（2）成交（中标）通知书；</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（3）经甲方确认的乙方承诺书；</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（4）询价文件（含澄清或者修改文件）；</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（5）投标文件；</w:t>
      </w:r>
    </w:p>
    <w:p>
      <w:pPr>
        <w:pStyle w:val="22"/>
        <w:ind w:left="0" w:leftChars="0"/>
        <w:rPr>
          <w:rFonts w:asciiTheme="minorEastAsia" w:hAnsiTheme="minorEastAsia" w:cstheme="minorEastAsia"/>
          <w:szCs w:val="21"/>
        </w:rPr>
      </w:pPr>
      <w:r>
        <w:rPr>
          <w:rFonts w:hint="eastAsia" w:asciiTheme="minorEastAsia" w:hAnsiTheme="minorEastAsia" w:cstheme="minorEastAsia"/>
          <w:szCs w:val="21"/>
        </w:rPr>
        <w:t>（6）其他相关询价文件。</w:t>
      </w:r>
    </w:p>
    <w:p>
      <w:pPr>
        <w:snapToGrid w:val="0"/>
        <w:spacing w:line="520" w:lineRule="atLeast"/>
        <w:ind w:firstLine="420" w:firstLineChars="200"/>
        <w:rPr>
          <w:rFonts w:asciiTheme="minorEastAsia" w:hAnsiTheme="minorEastAsia" w:cstheme="minorEastAsia"/>
          <w:szCs w:val="21"/>
        </w:rPr>
      </w:pPr>
    </w:p>
    <w:tbl>
      <w:tblPr>
        <w:tblStyle w:val="23"/>
        <w:tblW w:w="8718" w:type="dxa"/>
        <w:tblInd w:w="108" w:type="dxa"/>
        <w:tblLayout w:type="autofit"/>
        <w:tblCellMar>
          <w:top w:w="0" w:type="dxa"/>
          <w:left w:w="108" w:type="dxa"/>
          <w:bottom w:w="0" w:type="dxa"/>
          <w:right w:w="108" w:type="dxa"/>
        </w:tblCellMar>
      </w:tblPr>
      <w:tblGrid>
        <w:gridCol w:w="4536"/>
        <w:gridCol w:w="4182"/>
      </w:tblGrid>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甲方（盖章）： </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乙方（盖章）：</w:t>
            </w:r>
          </w:p>
        </w:tc>
      </w:tr>
      <w:tr>
        <w:tblPrEx>
          <w:tblCellMar>
            <w:top w:w="0" w:type="dxa"/>
            <w:left w:w="108" w:type="dxa"/>
            <w:bottom w:w="0" w:type="dxa"/>
            <w:right w:w="108" w:type="dxa"/>
          </w:tblCellMar>
        </w:tblPrEx>
        <w:trPr>
          <w:trHeight w:val="620" w:hRule="atLeast"/>
        </w:trPr>
        <w:tc>
          <w:tcPr>
            <w:tcW w:w="4536" w:type="dxa"/>
          </w:tcPr>
          <w:p>
            <w:pPr>
              <w:snapToGrid w:val="0"/>
              <w:spacing w:line="520" w:lineRule="atLeast"/>
              <w:rPr>
                <w:rFonts w:asciiTheme="minorEastAsia" w:hAnsiTheme="minorEastAsia" w:cstheme="minorEastAsia"/>
                <w:spacing w:val="10"/>
                <w:szCs w:val="21"/>
              </w:rPr>
            </w:pPr>
          </w:p>
        </w:tc>
        <w:tc>
          <w:tcPr>
            <w:tcW w:w="4182" w:type="dxa"/>
          </w:tcPr>
          <w:p>
            <w:pPr>
              <w:snapToGrid w:val="0"/>
              <w:spacing w:line="520" w:lineRule="atLeast"/>
              <w:rPr>
                <w:rFonts w:asciiTheme="minorEastAsia" w:hAnsiTheme="minorEastAsia" w:cstheme="minorEastAsia"/>
                <w:spacing w:val="10"/>
                <w:szCs w:val="21"/>
              </w:rPr>
            </w:pP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甲方代表（签名）：</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乙方代表（签名）：</w:t>
            </w:r>
          </w:p>
        </w:tc>
      </w:tr>
      <w:tr>
        <w:tblPrEx>
          <w:tblCellMar>
            <w:top w:w="0" w:type="dxa"/>
            <w:left w:w="108" w:type="dxa"/>
            <w:bottom w:w="0" w:type="dxa"/>
            <w:right w:w="108" w:type="dxa"/>
          </w:tblCellMar>
        </w:tblPrEx>
        <w:trPr>
          <w:trHeight w:val="593" w:hRule="atLeast"/>
        </w:trPr>
        <w:tc>
          <w:tcPr>
            <w:tcW w:w="4536" w:type="dxa"/>
          </w:tcPr>
          <w:p>
            <w:pPr>
              <w:snapToGrid w:val="0"/>
              <w:spacing w:line="520" w:lineRule="atLeast"/>
              <w:rPr>
                <w:rFonts w:asciiTheme="minorEastAsia" w:hAnsiTheme="minorEastAsia" w:cstheme="minorEastAsia"/>
                <w:spacing w:val="10"/>
                <w:szCs w:val="21"/>
              </w:rPr>
            </w:pPr>
          </w:p>
        </w:tc>
        <w:tc>
          <w:tcPr>
            <w:tcW w:w="4182" w:type="dxa"/>
          </w:tcPr>
          <w:p>
            <w:pPr>
              <w:snapToGrid w:val="0"/>
              <w:spacing w:line="520" w:lineRule="atLeast"/>
              <w:rPr>
                <w:rFonts w:asciiTheme="minorEastAsia" w:hAnsiTheme="minorEastAsia" w:cstheme="minorEastAsia"/>
                <w:spacing w:val="10"/>
                <w:szCs w:val="21"/>
              </w:rPr>
            </w:pP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地址： </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地址：</w:t>
            </w:r>
          </w:p>
        </w:tc>
      </w:tr>
      <w:tr>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r>
    </w:tbl>
    <w:p>
      <w:pPr>
        <w:spacing w:line="520" w:lineRule="atLeast"/>
        <w:rPr>
          <w:rFonts w:asciiTheme="minorEastAsia" w:hAnsiTheme="minorEastAsia" w:cstheme="minorEastAsia"/>
          <w:b/>
          <w:sz w:val="28"/>
          <w:szCs w:val="28"/>
        </w:rPr>
      </w:pPr>
    </w:p>
    <w:bookmarkEnd w:id="14"/>
    <w:p>
      <w:pPr>
        <w:adjustRightInd w:val="0"/>
        <w:snapToGrid w:val="0"/>
        <w:spacing w:line="500" w:lineRule="exact"/>
        <w:rPr>
          <w:rFonts w:asciiTheme="minorEastAsia" w:hAnsiTheme="minorEastAsia" w:cstheme="minorEastAsia"/>
          <w:color w:val="000000"/>
          <w:szCs w:val="21"/>
        </w:rPr>
      </w:pPr>
    </w:p>
    <w:p>
      <w:pPr>
        <w:spacing w:before="156" w:beforeLines="50" w:after="93" w:afterLines="30" w:line="360" w:lineRule="auto"/>
        <w:rPr>
          <w:rFonts w:asciiTheme="minorEastAsia" w:hAnsiTheme="minorEastAsia" w:cstheme="minorEastAsia"/>
          <w:color w:val="000000"/>
          <w:szCs w:val="21"/>
        </w:rPr>
      </w:pPr>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312" w:beforeLines="100" w:after="312" w:afterLines="100" w:line="500" w:lineRule="exact"/>
        <w:jc w:val="center"/>
        <w:outlineLvl w:val="0"/>
        <w:rPr>
          <w:rFonts w:asciiTheme="minorEastAsia" w:hAnsiTheme="minorEastAsia" w:cstheme="minorEastAsia"/>
          <w:b/>
          <w:sz w:val="44"/>
          <w:szCs w:val="44"/>
        </w:rPr>
      </w:pPr>
      <w:r>
        <w:rPr>
          <w:rFonts w:hint="eastAsia" w:asciiTheme="minorEastAsia" w:hAnsiTheme="minorEastAsia" w:cstheme="minorEastAsia"/>
          <w:b/>
          <w:sz w:val="44"/>
          <w:szCs w:val="44"/>
        </w:rPr>
        <w:t>廉  政  协  议</w:t>
      </w:r>
    </w:p>
    <w:p>
      <w:pPr>
        <w:spacing w:line="500" w:lineRule="exact"/>
        <w:ind w:firstLine="420" w:firstLineChars="200"/>
        <w:rPr>
          <w:rFonts w:asciiTheme="minorEastAsia" w:hAnsiTheme="minorEastAsia" w:cstheme="minorEastAsia"/>
          <w:szCs w:val="21"/>
        </w:rPr>
      </w:pP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乙方：</w:t>
      </w:r>
      <w:r>
        <w:rPr>
          <w:rFonts w:hint="eastAsia" w:asciiTheme="minorEastAsia" w:hAnsiTheme="minorEastAsia" w:cstheme="minorEastAsia"/>
          <w:szCs w:val="21"/>
          <w:u w:val="single"/>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第一条</w:t>
      </w:r>
      <w:r>
        <w:rPr>
          <w:rFonts w:hint="eastAsia" w:asciiTheme="minorEastAsia" w:hAnsiTheme="minorEastAsia" w:cstheme="minorEastAsia"/>
          <w:szCs w:val="21"/>
        </w:rPr>
        <w:t xml:space="preserve">  甲乙双方的权利和义务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（二）严格执行合同的要求，自觉履行合同约定的相关义务。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第二条</w:t>
      </w:r>
      <w:r>
        <w:rPr>
          <w:rFonts w:hint="eastAsia" w:asciiTheme="minorEastAsia" w:hAnsiTheme="minorEastAsia" w:cstheme="minorEastAsia"/>
          <w:szCs w:val="21"/>
        </w:rPr>
        <w:t xml:space="preserve">  甲方的义务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（七）甲方工作人员不得接受乙方给予或赠送的干股或红利。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第三条  </w:t>
      </w:r>
      <w:r>
        <w:rPr>
          <w:rFonts w:hint="eastAsia" w:asciiTheme="minorEastAsia" w:hAnsiTheme="minorEastAsia" w:cstheme="minorEastAsia"/>
          <w:szCs w:val="21"/>
        </w:rPr>
        <w:t>乙方的义务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(一)乙方不得以任何理由向甲方及其工作人员行贿或馈赠礼金、有价证券、贵重礼品。</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（七）乙方不得向甲方工作人员提供干股或红利。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（八）乙方须按公司纪委要求开展相关工作。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第四条</w:t>
      </w:r>
      <w:r>
        <w:rPr>
          <w:rFonts w:hint="eastAsia" w:asciiTheme="minorEastAsia" w:hAnsiTheme="minorEastAsia" w:cstheme="minorEastAsia"/>
          <w:szCs w:val="21"/>
        </w:rPr>
        <w:t xml:space="preserve">  违约责任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投诉联系部门：</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，联系电话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，举报邮箱：</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2．甲方有权扣除乙方履约保证金全部或部分（视情节严重性而定）；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4．终止或解除双方已签订的包括（不限于）本合同在内的所有合同。</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第五条</w:t>
      </w:r>
      <w:r>
        <w:rPr>
          <w:rFonts w:hint="eastAsia" w:asciiTheme="minorEastAsia" w:hAnsiTheme="minorEastAsia" w:cstheme="minorEastAsia"/>
          <w:szCs w:val="21"/>
        </w:rPr>
        <w:t xml:space="preserve">  双方约定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第六条  </w:t>
      </w:r>
      <w:r>
        <w:rPr>
          <w:rFonts w:hint="eastAsia" w:asciiTheme="minorEastAsia" w:hAnsiTheme="minorEastAsia" w:cstheme="minorEastAsia"/>
          <w:szCs w:val="21"/>
        </w:rPr>
        <w:t xml:space="preserve">本协议有效期为甲乙双方签署之日起至合同终止。  </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第七条 </w:t>
      </w:r>
      <w:r>
        <w:rPr>
          <w:rFonts w:hint="eastAsia" w:asciiTheme="minorEastAsia" w:hAnsiTheme="minorEastAsia" w:cstheme="minorEastAsia"/>
          <w:szCs w:val="21"/>
        </w:rPr>
        <w:t xml:space="preserve"> 本协议作为合同的附件，与本合同具有同等法律效力。</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甲方（盖章）：                   乙方（盖章）：</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法定代表人或</w:t>
      </w:r>
      <w:r>
        <w:rPr>
          <w:rFonts w:hint="eastAsia" w:asciiTheme="minorEastAsia" w:hAnsiTheme="minorEastAsia" w:cstheme="minorEastAsia"/>
          <w:szCs w:val="21"/>
        </w:rPr>
        <w:tab/>
      </w:r>
      <w:r>
        <w:rPr>
          <w:rFonts w:hint="eastAsia" w:asciiTheme="minorEastAsia" w:hAnsiTheme="minorEastAsia" w:cstheme="minorEastAsia"/>
          <w:szCs w:val="21"/>
        </w:rPr>
        <w:t xml:space="preserve">                    法定代表人或</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授权代表：   (职务)               授权代表：  （职务）</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姓名     </w:t>
      </w:r>
      <w:r>
        <w:rPr>
          <w:rFonts w:hint="eastAsia" w:asciiTheme="minorEastAsia" w:hAnsiTheme="minorEastAsia" w:cstheme="minorEastAsia"/>
          <w:szCs w:val="21"/>
        </w:rPr>
        <w:tab/>
      </w:r>
      <w:r>
        <w:rPr>
          <w:rFonts w:hint="eastAsia" w:asciiTheme="minorEastAsia" w:hAnsiTheme="minorEastAsia" w:cstheme="minorEastAsia"/>
          <w:szCs w:val="21"/>
        </w:rPr>
        <w:t xml:space="preserve">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廉政监督联系人                    廉政监督联系人</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姓名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电话：                            电话：</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地址：                            地址：         </w:t>
      </w:r>
    </w:p>
    <w:p>
      <w:pPr>
        <w:spacing w:line="420" w:lineRule="exact"/>
        <w:rPr>
          <w:rFonts w:ascii="Times New Roman" w:hAnsi="Times New Roman" w:cs="Times New Roman"/>
          <w:sz w:val="24"/>
        </w:rPr>
      </w:pPr>
      <w:r>
        <w:rPr>
          <w:rFonts w:hint="eastAsia" w:asciiTheme="minorEastAsia" w:hAnsiTheme="minorEastAsia" w:cstheme="minorEastAsia"/>
          <w:szCs w:val="21"/>
        </w:rPr>
        <w:t>日期：                            日期：</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b/>
          <w:sz w:val="28"/>
        </w:rPr>
      </w:pPr>
      <w:bookmarkStart w:id="15" w:name="_Toc22226"/>
      <w:r>
        <w:rPr>
          <w:rFonts w:ascii="Times New Roman" w:hAnsi="Times New Roman" w:cs="Times New Roman"/>
          <w:b/>
          <w:sz w:val="28"/>
        </w:rPr>
        <w:t>第六章  投标文件格式</w:t>
      </w:r>
      <w:bookmarkEnd w:id="15"/>
    </w:p>
    <w:p>
      <w:pPr>
        <w:spacing w:line="500" w:lineRule="exact"/>
        <w:jc w:val="center"/>
        <w:rPr>
          <w:rFonts w:ascii="Times New Roman" w:hAnsi="Times New Roman" w:cs="Times New Roman"/>
          <w:b/>
          <w:sz w:val="32"/>
        </w:rPr>
      </w:pPr>
      <w:r>
        <w:rPr>
          <w:rFonts w:hint="eastAsia" w:ascii="Times New Roman" w:hAnsi="Times New Roman" w:cs="Times New Roman"/>
          <w:b/>
          <w:sz w:val="32"/>
        </w:rPr>
        <w:t>经纬公司文渊府办公场所待处置资产评估服务项目</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投</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标</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文</w:t>
      </w:r>
    </w:p>
    <w:p>
      <w:pPr>
        <w:spacing w:line="900" w:lineRule="exact"/>
        <w:jc w:val="center"/>
        <w:rPr>
          <w:rFonts w:ascii="Times New Roman" w:hAnsi="Times New Roman" w:cs="Times New Roman"/>
          <w:b/>
          <w:sz w:val="72"/>
        </w:rPr>
      </w:pPr>
    </w:p>
    <w:p>
      <w:pPr>
        <w:jc w:val="center"/>
        <w:rPr>
          <w:rFonts w:ascii="Times New Roman" w:hAnsi="Times New Roman" w:cs="Times New Roman"/>
          <w:b/>
          <w:sz w:val="72"/>
        </w:rPr>
      </w:pPr>
      <w:r>
        <w:rPr>
          <w:rFonts w:ascii="Times New Roman" w:hAnsi="Times New Roman" w:cs="Times New Roman"/>
          <w:b/>
          <w:sz w:val="72"/>
        </w:rPr>
        <w:t>件</w:t>
      </w:r>
    </w:p>
    <w:p>
      <w:pPr>
        <w:spacing w:after="156" w:afterLines="50"/>
        <w:jc w:val="center"/>
        <w:rPr>
          <w:rFonts w:ascii="Times New Roman" w:hAnsi="Times New Roman" w:cs="Times New Roman"/>
          <w:b/>
          <w:sz w:val="72"/>
        </w:rPr>
      </w:pPr>
    </w:p>
    <w:p>
      <w:pPr>
        <w:spacing w:before="156" w:beforeLines="50" w:after="156" w:afterLines="50"/>
        <w:jc w:val="center"/>
        <w:rPr>
          <w:rFonts w:ascii="Times New Roman" w:hAnsi="Times New Roman" w:cs="Times New Roman"/>
          <w:b/>
          <w:sz w:val="32"/>
          <w:szCs w:val="32"/>
        </w:rPr>
      </w:pPr>
    </w:p>
    <w:p>
      <w:pPr>
        <w:spacing w:after="156" w:afterLines="50" w:line="500" w:lineRule="exact"/>
        <w:jc w:val="center"/>
        <w:rPr>
          <w:rFonts w:ascii="Times New Roman" w:hAnsi="Times New Roman" w:cs="Times New Roman"/>
          <w:b/>
          <w:sz w:val="28"/>
          <w:szCs w:val="28"/>
        </w:rPr>
      </w:pPr>
    </w:p>
    <w:p>
      <w:pPr>
        <w:spacing w:after="156" w:afterLines="50" w:line="500" w:lineRule="exact"/>
        <w:jc w:val="center"/>
        <w:rPr>
          <w:rFonts w:ascii="Times New Roman" w:hAnsi="Times New Roman" w:cs="Times New Roman"/>
          <w:b/>
          <w:sz w:val="72"/>
        </w:rPr>
      </w:pPr>
    </w:p>
    <w:p>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jc w:val="left"/>
        <w:rPr>
          <w:rFonts w:ascii="Times New Roman" w:hAnsi="Times New Roman" w:cs="Times New Roman"/>
          <w:b/>
          <w:sz w:val="28"/>
        </w:rPr>
      </w:pPr>
      <w:r>
        <w:rPr>
          <w:rFonts w:ascii="Times New Roman" w:hAnsi="Times New Roman" w:cs="Times New Roman"/>
          <w:b/>
          <w:sz w:val="28"/>
        </w:rPr>
        <w:br w:type="page"/>
      </w:r>
    </w:p>
    <w:p>
      <w:pPr>
        <w:numPr>
          <w:ilvl w:val="0"/>
          <w:numId w:val="2"/>
        </w:numPr>
        <w:spacing w:line="360" w:lineRule="auto"/>
        <w:jc w:val="center"/>
        <w:outlineLvl w:val="2"/>
        <w:rPr>
          <w:rFonts w:ascii="Times New Roman" w:hAnsi="Times New Roman" w:cs="Times New Roman"/>
          <w:b/>
          <w:sz w:val="24"/>
        </w:rPr>
      </w:pPr>
      <w:bookmarkStart w:id="16" w:name="_Hlk23205287"/>
      <w:r>
        <w:rPr>
          <w:rFonts w:ascii="Times New Roman" w:hAnsi="Times New Roman" w:cs="Times New Roman"/>
          <w:b/>
          <w:sz w:val="24"/>
        </w:rPr>
        <w:t>报价表</w:t>
      </w:r>
    </w:p>
    <w:p>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hint="eastAsia" w:ascii="Times New Roman" w:hAnsi="Times New Roman" w:cs="Times New Roman"/>
          <w:b/>
          <w:sz w:val="24"/>
        </w:rPr>
        <w:t>经纬公司文渊府办公场所待处置资产评估服务项目</w:t>
      </w:r>
      <w:r>
        <w:rPr>
          <w:rFonts w:ascii="Times New Roman" w:hAnsi="Times New Roman" w:cs="Times New Roman"/>
          <w:b/>
          <w:sz w:val="24"/>
          <w:u w:val="single"/>
        </w:rPr>
        <w:t xml:space="preserve"> </w:t>
      </w:r>
    </w:p>
    <w:p>
      <w:pPr>
        <w:snapToGrid w:val="0"/>
        <w:spacing w:after="156"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rPr>
        <w:t>2024JWZCZB006号</w:t>
      </w:r>
      <w:r>
        <w:rPr>
          <w:rFonts w:ascii="Times New Roman" w:hAnsi="Times New Roman" w:cs="Times New Roman"/>
          <w:b/>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pP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pPr>
              <w:widowControl/>
              <w:rPr>
                <w:rFonts w:ascii="Times New Roman" w:hAnsi="Times New Roman" w:cs="Times New Roman"/>
                <w:b/>
                <w:sz w:val="24"/>
              </w:rPr>
            </w:pPr>
            <w:r>
              <w:rPr>
                <w:rFonts w:ascii="Times New Roman" w:hAnsi="Times New Roman" w:cs="Times New Roman"/>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pPr>
              <w:snapToGrid w:val="0"/>
              <w:rPr>
                <w:rFonts w:ascii="Times New Roman" w:hAnsi="Times New Roman" w:cs="Times New Roman"/>
                <w:sz w:val="24"/>
              </w:rPr>
            </w:pPr>
          </w:p>
          <w:p>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pPr>
              <w:snapToGrid w:val="0"/>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b/>
                <w:strike/>
                <w:sz w:val="24"/>
                <w:highlight w:val="yellow"/>
              </w:rPr>
            </w:pPr>
            <w:r>
              <w:rPr>
                <w:rFonts w:hint="eastAsia" w:ascii="Times New Roman" w:hAnsi="Times New Roman" w:cs="Times New Roman"/>
                <w:b/>
                <w:sz w:val="24"/>
              </w:rPr>
              <w:t>服务期限</w:t>
            </w:r>
          </w:p>
        </w:tc>
        <w:tc>
          <w:tcPr>
            <w:tcW w:w="3557" w:type="pct"/>
            <w:vAlign w:val="center"/>
          </w:tcPr>
          <w:p>
            <w:pPr>
              <w:snapToGrid w:val="0"/>
              <w:rPr>
                <w:rFonts w:ascii="Times New Roman" w:hAnsi="Times New Roman" w:cs="Times New Roman"/>
                <w:b/>
                <w:strik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pPr>
              <w:rPr>
                <w:rFonts w:ascii="Times New Roman" w:hAnsi="Times New Roman" w:cs="Times New Roman"/>
                <w:b/>
                <w:sz w:val="24"/>
              </w:rPr>
            </w:pPr>
          </w:p>
        </w:tc>
      </w:tr>
    </w:tbl>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spacing w:line="440" w:lineRule="exact"/>
        <w:ind w:firstLine="435"/>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pPr>
        <w:pStyle w:val="13"/>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cs="宋体" w:asciiTheme="minorEastAsia" w:hAnsiTheme="minorEastAsia"/>
          <w:b/>
          <w:sz w:val="24"/>
          <w:u w:val="single"/>
        </w:rPr>
        <w:t>合肥经纬资产经营管理有限公司</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cs="宋体" w:asciiTheme="minorEastAsia" w:hAnsiTheme="minorEastAsia"/>
          <w:sz w:val="24"/>
        </w:rPr>
        <w:t>经踏勘项目现场和研究上述询价文件的询价须知、合同条款、招标人要求及其他有关文件后，我方接受上述文件要求。我方</w:t>
      </w:r>
      <w:r>
        <w:rPr>
          <w:rFonts w:hint="eastAsia" w:cs="宋体" w:asciiTheme="minorEastAsia" w:hAnsiTheme="minorEastAsia"/>
          <w:bCs/>
          <w:sz w:val="24"/>
        </w:rPr>
        <w:t>承诺按本</w:t>
      </w:r>
      <w:r>
        <w:rPr>
          <w:rFonts w:hint="eastAsia" w:cs="宋体" w:asciiTheme="minorEastAsia" w:hAnsiTheme="minorEastAsia"/>
          <w:sz w:val="24"/>
        </w:rPr>
        <w:t>询价</w:t>
      </w:r>
      <w:r>
        <w:rPr>
          <w:rFonts w:hint="eastAsia" w:cs="宋体" w:asciiTheme="minorEastAsia" w:hAnsiTheme="minorEastAsia"/>
          <w:bCs/>
          <w:sz w:val="24"/>
        </w:rPr>
        <w:t>文件、合同条款和招标人要求承担上述项目的全部内容。</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rPr>
        <w:t>针对</w:t>
      </w:r>
      <w:r>
        <w:rPr>
          <w:rFonts w:ascii="Times New Roman" w:hAnsi="Times New Roman" w:cs="Times New Roman"/>
          <w:sz w:val="24"/>
        </w:rPr>
        <w:t>上述各项条款提出异议的权利。</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.如我方中标，我方承诺愿意按询价文件规定缴纳履约保证金。</w:t>
      </w:r>
      <w:r>
        <w:rPr>
          <w:rFonts w:hint="eastAsia"/>
          <w:sz w:val="24"/>
        </w:rPr>
        <w:t>按本次询价文件规定及最终投标报价承诺提供服务</w:t>
      </w:r>
      <w:r>
        <w:rPr>
          <w:rFonts w:ascii="Times New Roman" w:hAnsi="Times New Roman" w:cs="Times New Roman"/>
          <w:sz w:val="24"/>
        </w:rPr>
        <w:t>。</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.我方同意询价文件规定的付款方式、供货（安装）期限。</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.我方对投标文件中所提供资料、文件、证书及证件的真实性和有效性负责。</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hint="eastAsia" w:ascii="Times New Roman" w:hAnsi="Times New Roman" w:cs="Times New Roman"/>
          <w:sz w:val="24"/>
        </w:rPr>
        <w:t>10</w:t>
      </w:r>
      <w:r>
        <w:rPr>
          <w:rFonts w:ascii="Times New Roman" w:hAnsi="Times New Roman" w:cs="Times New Roman"/>
          <w:sz w:val="24"/>
        </w:rPr>
        <w:t>.其他补充说明：</w:t>
      </w:r>
      <w:r>
        <w:rPr>
          <w:rFonts w:ascii="Times New Roman" w:hAnsi="Times New Roman" w:cs="Times New Roman"/>
          <w:sz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pPr>
        <w:widowControl/>
        <w:spacing w:line="360" w:lineRule="auto"/>
        <w:jc w:val="left"/>
        <w:rPr>
          <w:rFonts w:ascii="Times New Roman" w:hAnsi="Times New Roman" w:cs="Times New Roman"/>
          <w:sz w:val="24"/>
        </w:rPr>
      </w:pPr>
      <w:r>
        <w:rPr>
          <w:rFonts w:ascii="Times New Roman" w:hAnsi="Times New Roman" w:cs="Times New Roman"/>
          <w:sz w:val="24"/>
        </w:rPr>
        <w:br w:type="page"/>
      </w:r>
    </w:p>
    <w:p>
      <w:pPr>
        <w:pageBreakBefore/>
        <w:spacing w:line="360" w:lineRule="auto"/>
        <w:jc w:val="center"/>
        <w:outlineLvl w:val="1"/>
        <w:rPr>
          <w:rFonts w:asciiTheme="minorEastAsia" w:hAnsiTheme="minorEastAsia"/>
          <w:b/>
          <w:sz w:val="24"/>
        </w:rPr>
      </w:pPr>
      <w:bookmarkStart w:id="17" w:name="_Toc3356"/>
      <w:bookmarkStart w:id="18" w:name="_Toc520983594"/>
      <w:bookmarkStart w:id="19" w:name="_Toc204594911"/>
      <w:bookmarkStart w:id="20" w:name="_Toc121626298"/>
      <w:bookmarkStart w:id="21" w:name="_Toc516969106"/>
      <w:r>
        <w:rPr>
          <w:rFonts w:hint="eastAsia" w:asciiTheme="minorEastAsia" w:hAnsiTheme="minorEastAsia"/>
          <w:b/>
          <w:sz w:val="24"/>
        </w:rPr>
        <w:t>三、授权书</w:t>
      </w:r>
      <w:bookmarkEnd w:id="17"/>
      <w:bookmarkEnd w:id="18"/>
      <w:bookmarkEnd w:id="19"/>
      <w:bookmarkEnd w:id="20"/>
      <w:bookmarkEnd w:id="21"/>
      <w:bookmarkStart w:id="22" w:name="_GoBack"/>
      <w:bookmarkEnd w:id="22"/>
    </w:p>
    <w:p>
      <w:pPr>
        <w:spacing w:line="360" w:lineRule="auto"/>
        <w:jc w:val="center"/>
        <w:rPr>
          <w:rFonts w:asciiTheme="minorEastAsia" w:hAnsiTheme="minorEastAsia"/>
          <w:b/>
          <w:sz w:val="24"/>
        </w:rPr>
      </w:pPr>
    </w:p>
    <w:p>
      <w:pPr>
        <w:pStyle w:val="12"/>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（投标人授权代表姓名），身份证号：</w:t>
      </w:r>
      <w:r>
        <w:rPr>
          <w:rFonts w:hAnsi="宋体" w:eastAsia="宋体"/>
          <w:sz w:val="24"/>
          <w:szCs w:val="28"/>
          <w:u w:val="single"/>
        </w:rPr>
        <w:t xml:space="preserve">                   </w:t>
      </w:r>
      <w:r>
        <w:rPr>
          <w:rFonts w:hint="eastAsia" w:hAnsi="宋体" w:eastAsia="宋体"/>
          <w:sz w:val="24"/>
          <w:szCs w:val="28"/>
        </w:rPr>
        <w:t>。代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r>
        <w:rPr>
          <w:rFonts w:hint="eastAsia" w:ascii="Times New Roman" w:hAnsi="Times New Roman" w:eastAsia="宋体" w:cs="Times New Roman"/>
          <w:sz w:val="24"/>
          <w:szCs w:val="28"/>
        </w:rPr>
        <w:t>，授权有效期至：</w:t>
      </w:r>
      <w:r>
        <w:rPr>
          <w:rFonts w:hint="eastAsia" w:ascii="Times New Roman" w:hAnsi="Times New Roman" w:eastAsia="宋体" w:cs="Times New Roman"/>
          <w:sz w:val="24"/>
          <w:szCs w:val="28"/>
          <w:u w:val="single"/>
        </w:rPr>
        <w:t xml:space="preserve">                       </w:t>
      </w:r>
      <w:r>
        <w:rPr>
          <w:rFonts w:hint="eastAsia" w:ascii="Times New Roman" w:hAnsi="Times New Roman" w:eastAsia="宋体" w:cs="Times New Roman"/>
          <w:sz w:val="24"/>
          <w:szCs w:val="28"/>
        </w:rPr>
        <w:t>。</w:t>
      </w:r>
    </w:p>
    <w:p>
      <w:pPr>
        <w:pStyle w:val="12"/>
        <w:snapToGrid w:val="0"/>
        <w:spacing w:line="360" w:lineRule="auto"/>
        <w:ind w:firstLine="480" w:firstLineChars="200"/>
        <w:jc w:val="left"/>
        <w:rPr>
          <w:rFonts w:hAnsi="宋体" w:eastAsia="宋体"/>
          <w:sz w:val="24"/>
          <w:szCs w:val="28"/>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r>
        <w:rPr>
          <w:rFonts w:hint="eastAsia" w:hAnsi="宋体" w:eastAsia="宋体"/>
          <w:sz w:val="24"/>
        </w:rPr>
        <w:t>（身份证复印件）</w:t>
      </w: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2"/>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pStyle w:val="2"/>
      </w:pPr>
    </w:p>
    <w:p>
      <w:pPr>
        <w:pStyle w:val="2"/>
      </w:pPr>
    </w:p>
    <w:p>
      <w:pPr>
        <w:spacing w:line="360" w:lineRule="auto"/>
        <w:rPr>
          <w:bCs/>
          <w:sz w:val="24"/>
          <w:szCs w:val="28"/>
        </w:rPr>
      </w:pPr>
      <w:r>
        <w:rPr>
          <w:rFonts w:hint="eastAsia" w:cs="@仿宋_GB2312"/>
          <w:sz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2"/>
        <w:snapToGrid w:val="0"/>
        <w:spacing w:line="360" w:lineRule="auto"/>
        <w:jc w:val="left"/>
        <w:rPr>
          <w:rFonts w:hAnsi="宋体" w:eastAsia="宋体"/>
          <w:sz w:val="24"/>
          <w:szCs w:val="28"/>
        </w:rPr>
      </w:pPr>
      <w:r>
        <w:rPr>
          <w:rFonts w:hint="eastAsia" w:hAnsi="宋体" w:eastAsia="宋体"/>
          <w:sz w:val="24"/>
          <w:szCs w:val="28"/>
        </w:rPr>
        <w:t>注：</w:t>
      </w:r>
    </w:p>
    <w:p>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2.法定代表人参加询价的无需提供授权书，仅提供法定代表人身份证明书。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pStyle w:val="22"/>
      </w:pPr>
    </w:p>
    <w:p>
      <w:pPr>
        <w:pStyle w:val="22"/>
        <w:ind w:firstLine="480"/>
        <w:rPr>
          <w:sz w:val="24"/>
          <w:szCs w:val="22"/>
        </w:rPr>
      </w:pPr>
    </w:p>
    <w:p>
      <w:pPr>
        <w:spacing w:line="360" w:lineRule="auto"/>
        <w:jc w:val="center"/>
        <w:outlineLvl w:val="1"/>
        <w:rPr>
          <w:rFonts w:asciiTheme="minorEastAsia" w:hAnsiTheme="minorEastAsia"/>
          <w:b/>
          <w:sz w:val="24"/>
          <w:szCs w:val="20"/>
        </w:rPr>
      </w:pPr>
      <w:r>
        <w:rPr>
          <w:rFonts w:hint="eastAsia" w:asciiTheme="minorEastAsia" w:hAnsiTheme="minorEastAsia"/>
          <w:b/>
          <w:sz w:val="24"/>
          <w:szCs w:val="20"/>
        </w:rPr>
        <w:t>四、其他相关证明材料</w:t>
      </w:r>
    </w:p>
    <w:p>
      <w:pPr>
        <w:pStyle w:val="22"/>
        <w:numPr>
          <w:ilvl w:val="255"/>
          <w:numId w:val="0"/>
        </w:numPr>
        <w:ind w:left="400"/>
        <w:rPr>
          <w:sz w:val="24"/>
          <w:szCs w:val="22"/>
        </w:rPr>
      </w:pPr>
      <w:r>
        <w:rPr>
          <w:rFonts w:hint="eastAsia"/>
          <w:sz w:val="24"/>
          <w:szCs w:val="22"/>
        </w:rPr>
        <w:t>提供符合询价公告、招标人要求及评审方法规定的相关证明文件。</w:t>
      </w:r>
    </w:p>
    <w:p>
      <w:pPr>
        <w:pStyle w:val="22"/>
        <w:spacing w:line="360" w:lineRule="auto"/>
        <w:ind w:left="400" w:leftChars="0" w:firstLine="0" w:firstLineChars="0"/>
        <w:rPr>
          <w:rFonts w:ascii="Times New Roman" w:hAnsi="Times New Roman" w:cs="Times New Roman"/>
          <w:sz w:val="24"/>
        </w:rPr>
      </w:pPr>
      <w:r>
        <w:rPr>
          <w:rFonts w:hint="eastAsia"/>
          <w:sz w:val="24"/>
          <w:szCs w:val="22"/>
        </w:rPr>
        <w:t>（营业执照等）</w:t>
      </w:r>
      <w:bookmarkEnd w:id="16"/>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5FAC26F-503C-4E21-9E9C-5B4DDE6F4C7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63B0FDA-CDE4-46C2-925E-7A64AD0F20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376328B-B417-4ECD-9A2A-7CFDB6374947}"/>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4" w:fontKey="{BEA31186-63EF-43CF-A7EA-373A4F3BFDFF}"/>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5" w:fontKey="{EBE5053C-8A3B-4818-A4E4-4E74F29889C8}"/>
  </w:font>
  <w:font w:name="Segoe UI Symbol">
    <w:panose1 w:val="020B0502040204020203"/>
    <w:charset w:val="00"/>
    <w:family w:val="swiss"/>
    <w:pitch w:val="default"/>
    <w:sig w:usb0="800001E3" w:usb1="1200FFEF" w:usb2="00040000" w:usb3="04000000" w:csb0="00000001" w:csb1="40000000"/>
    <w:embedRegular r:id="rId6" w:fontKey="{142E6D9D-B1BC-49E7-909E-E1432CB070DB}"/>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Theme="minorEastAsia" w:hAnsi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Theme="minorEastAsia" w:hAnsi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p>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2JiMDliOThmNzRmZDhjNzliMzIzNDk4MTZiMGQifQ=="/>
    <w:docVar w:name="KSO_WPS_MARK_KEY" w:val="a5c2203d-0164-404d-b5ca-3814ab25ab43"/>
  </w:docVars>
  <w:rsids>
    <w:rsidRoot w:val="00276BA1"/>
    <w:rsid w:val="0000043F"/>
    <w:rsid w:val="000020D0"/>
    <w:rsid w:val="00002178"/>
    <w:rsid w:val="00003B1C"/>
    <w:rsid w:val="000049DA"/>
    <w:rsid w:val="000056B7"/>
    <w:rsid w:val="00005DDD"/>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1350"/>
    <w:rsid w:val="000530EC"/>
    <w:rsid w:val="000544DE"/>
    <w:rsid w:val="00057E76"/>
    <w:rsid w:val="00061134"/>
    <w:rsid w:val="0006210F"/>
    <w:rsid w:val="0006460A"/>
    <w:rsid w:val="000648D2"/>
    <w:rsid w:val="0006565F"/>
    <w:rsid w:val="0006758C"/>
    <w:rsid w:val="00070E0E"/>
    <w:rsid w:val="00073C57"/>
    <w:rsid w:val="00076DB7"/>
    <w:rsid w:val="00080FEB"/>
    <w:rsid w:val="000871CC"/>
    <w:rsid w:val="00094D41"/>
    <w:rsid w:val="00097CB9"/>
    <w:rsid w:val="000A458A"/>
    <w:rsid w:val="000A6693"/>
    <w:rsid w:val="000A6B73"/>
    <w:rsid w:val="000A7D94"/>
    <w:rsid w:val="000B1511"/>
    <w:rsid w:val="000B54F4"/>
    <w:rsid w:val="000C1DB1"/>
    <w:rsid w:val="000D1414"/>
    <w:rsid w:val="000D2188"/>
    <w:rsid w:val="000D3222"/>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540B"/>
    <w:rsid w:val="001770B6"/>
    <w:rsid w:val="0018119B"/>
    <w:rsid w:val="001844AB"/>
    <w:rsid w:val="00191C9B"/>
    <w:rsid w:val="001944B8"/>
    <w:rsid w:val="00195E11"/>
    <w:rsid w:val="00196DA3"/>
    <w:rsid w:val="00197AC4"/>
    <w:rsid w:val="001A03E3"/>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2256"/>
    <w:rsid w:val="00264F2E"/>
    <w:rsid w:val="00271245"/>
    <w:rsid w:val="00274A9E"/>
    <w:rsid w:val="00276292"/>
    <w:rsid w:val="00276BA1"/>
    <w:rsid w:val="00276F29"/>
    <w:rsid w:val="00277094"/>
    <w:rsid w:val="00277264"/>
    <w:rsid w:val="00280838"/>
    <w:rsid w:val="00286D62"/>
    <w:rsid w:val="002872DE"/>
    <w:rsid w:val="00287EF5"/>
    <w:rsid w:val="002927A3"/>
    <w:rsid w:val="00295AF5"/>
    <w:rsid w:val="002A1A1D"/>
    <w:rsid w:val="002A1B15"/>
    <w:rsid w:val="002A210D"/>
    <w:rsid w:val="002A28AD"/>
    <w:rsid w:val="002B5318"/>
    <w:rsid w:val="002B6D27"/>
    <w:rsid w:val="002C140E"/>
    <w:rsid w:val="002C372A"/>
    <w:rsid w:val="002D2965"/>
    <w:rsid w:val="002D3D02"/>
    <w:rsid w:val="002D4CB5"/>
    <w:rsid w:val="002D684B"/>
    <w:rsid w:val="002E3857"/>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45FB"/>
    <w:rsid w:val="003473D7"/>
    <w:rsid w:val="00351AC8"/>
    <w:rsid w:val="00353075"/>
    <w:rsid w:val="00360BB3"/>
    <w:rsid w:val="00360EE8"/>
    <w:rsid w:val="00362A66"/>
    <w:rsid w:val="00363ACD"/>
    <w:rsid w:val="00363E02"/>
    <w:rsid w:val="00365AFF"/>
    <w:rsid w:val="00365CC2"/>
    <w:rsid w:val="00373A96"/>
    <w:rsid w:val="00381860"/>
    <w:rsid w:val="00382059"/>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20110"/>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1D5E"/>
    <w:rsid w:val="004E7C2E"/>
    <w:rsid w:val="004F0396"/>
    <w:rsid w:val="004F03CE"/>
    <w:rsid w:val="00501382"/>
    <w:rsid w:val="00510798"/>
    <w:rsid w:val="00524168"/>
    <w:rsid w:val="005244D2"/>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6C3"/>
    <w:rsid w:val="00590CA2"/>
    <w:rsid w:val="00591629"/>
    <w:rsid w:val="005940F8"/>
    <w:rsid w:val="00597B15"/>
    <w:rsid w:val="005A044C"/>
    <w:rsid w:val="005A3C56"/>
    <w:rsid w:val="005A5487"/>
    <w:rsid w:val="005B06FD"/>
    <w:rsid w:val="005B5C95"/>
    <w:rsid w:val="005B7713"/>
    <w:rsid w:val="005D0200"/>
    <w:rsid w:val="005D0D6E"/>
    <w:rsid w:val="005D44EF"/>
    <w:rsid w:val="005D4814"/>
    <w:rsid w:val="005D5112"/>
    <w:rsid w:val="005E0EC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D4DBC"/>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87E9D"/>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368FA"/>
    <w:rsid w:val="0094257D"/>
    <w:rsid w:val="00942D9A"/>
    <w:rsid w:val="009435AB"/>
    <w:rsid w:val="009445D0"/>
    <w:rsid w:val="009542A5"/>
    <w:rsid w:val="0095467C"/>
    <w:rsid w:val="00954A61"/>
    <w:rsid w:val="00955C6F"/>
    <w:rsid w:val="00966C7B"/>
    <w:rsid w:val="009701DC"/>
    <w:rsid w:val="009715D8"/>
    <w:rsid w:val="00973D62"/>
    <w:rsid w:val="00977C5D"/>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9F60BA"/>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0816"/>
    <w:rsid w:val="00AE2149"/>
    <w:rsid w:val="00AE33AE"/>
    <w:rsid w:val="00AE3785"/>
    <w:rsid w:val="00AE3F91"/>
    <w:rsid w:val="00AE452F"/>
    <w:rsid w:val="00AE76E6"/>
    <w:rsid w:val="00AF2B21"/>
    <w:rsid w:val="00AF6F73"/>
    <w:rsid w:val="00B00983"/>
    <w:rsid w:val="00B0267C"/>
    <w:rsid w:val="00B039E3"/>
    <w:rsid w:val="00B22838"/>
    <w:rsid w:val="00B24255"/>
    <w:rsid w:val="00B32905"/>
    <w:rsid w:val="00B33E95"/>
    <w:rsid w:val="00B3720B"/>
    <w:rsid w:val="00B37358"/>
    <w:rsid w:val="00B46EFD"/>
    <w:rsid w:val="00B4730C"/>
    <w:rsid w:val="00B53729"/>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E0895"/>
    <w:rsid w:val="00BE48E9"/>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7701B"/>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3EB"/>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3A52"/>
    <w:rsid w:val="00DD43F0"/>
    <w:rsid w:val="00DD44DE"/>
    <w:rsid w:val="00DE09AB"/>
    <w:rsid w:val="00DE4A3F"/>
    <w:rsid w:val="00DE6121"/>
    <w:rsid w:val="00DF4367"/>
    <w:rsid w:val="00E04DF4"/>
    <w:rsid w:val="00E0574A"/>
    <w:rsid w:val="00E07412"/>
    <w:rsid w:val="00E10E23"/>
    <w:rsid w:val="00E1117D"/>
    <w:rsid w:val="00E11F17"/>
    <w:rsid w:val="00E1243D"/>
    <w:rsid w:val="00E12742"/>
    <w:rsid w:val="00E146D4"/>
    <w:rsid w:val="00E20976"/>
    <w:rsid w:val="00E22B44"/>
    <w:rsid w:val="00E30ACD"/>
    <w:rsid w:val="00E32735"/>
    <w:rsid w:val="00E6053E"/>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0B1E"/>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77E3F"/>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E693B"/>
    <w:rsid w:val="00FF0DA7"/>
    <w:rsid w:val="00FF1022"/>
    <w:rsid w:val="00FF44E0"/>
    <w:rsid w:val="00FF6C72"/>
    <w:rsid w:val="00FF783A"/>
    <w:rsid w:val="01EF4560"/>
    <w:rsid w:val="03AF0B69"/>
    <w:rsid w:val="04096F7B"/>
    <w:rsid w:val="04620439"/>
    <w:rsid w:val="05EC3108"/>
    <w:rsid w:val="06257970"/>
    <w:rsid w:val="075653D9"/>
    <w:rsid w:val="094A1BE5"/>
    <w:rsid w:val="097D52B6"/>
    <w:rsid w:val="09B554AF"/>
    <w:rsid w:val="0BEF5F39"/>
    <w:rsid w:val="0DAB22C6"/>
    <w:rsid w:val="11554019"/>
    <w:rsid w:val="129462CC"/>
    <w:rsid w:val="13397BCE"/>
    <w:rsid w:val="14717EAE"/>
    <w:rsid w:val="14880ED0"/>
    <w:rsid w:val="17356927"/>
    <w:rsid w:val="18B232E6"/>
    <w:rsid w:val="18F71640"/>
    <w:rsid w:val="19A4731C"/>
    <w:rsid w:val="1A357A52"/>
    <w:rsid w:val="1A6A3C67"/>
    <w:rsid w:val="1A6B5E42"/>
    <w:rsid w:val="1AF96A3E"/>
    <w:rsid w:val="1C1F6775"/>
    <w:rsid w:val="1C8546DE"/>
    <w:rsid w:val="1C9D605B"/>
    <w:rsid w:val="1CDB6B83"/>
    <w:rsid w:val="1D1A5BC6"/>
    <w:rsid w:val="1D755F36"/>
    <w:rsid w:val="1D7719BD"/>
    <w:rsid w:val="1DAA2521"/>
    <w:rsid w:val="20E74328"/>
    <w:rsid w:val="23B75C54"/>
    <w:rsid w:val="245F009A"/>
    <w:rsid w:val="25164BFC"/>
    <w:rsid w:val="26522036"/>
    <w:rsid w:val="2783171D"/>
    <w:rsid w:val="29E5020D"/>
    <w:rsid w:val="2C247DAC"/>
    <w:rsid w:val="2CC14B77"/>
    <w:rsid w:val="2DAC3BFD"/>
    <w:rsid w:val="2F733923"/>
    <w:rsid w:val="2F760751"/>
    <w:rsid w:val="31EB11BF"/>
    <w:rsid w:val="32D57EA5"/>
    <w:rsid w:val="33075DFB"/>
    <w:rsid w:val="33263D6A"/>
    <w:rsid w:val="354A3D37"/>
    <w:rsid w:val="35A43BDE"/>
    <w:rsid w:val="35CF4AD8"/>
    <w:rsid w:val="36251143"/>
    <w:rsid w:val="379C71E3"/>
    <w:rsid w:val="380A75D6"/>
    <w:rsid w:val="39B74BDE"/>
    <w:rsid w:val="3A0D2667"/>
    <w:rsid w:val="3B3B6D13"/>
    <w:rsid w:val="3F53046B"/>
    <w:rsid w:val="3F6705F7"/>
    <w:rsid w:val="40780A59"/>
    <w:rsid w:val="42784CF1"/>
    <w:rsid w:val="46835828"/>
    <w:rsid w:val="4BDA4326"/>
    <w:rsid w:val="4DB311C4"/>
    <w:rsid w:val="4E920EE8"/>
    <w:rsid w:val="4EFA0F67"/>
    <w:rsid w:val="503B1382"/>
    <w:rsid w:val="52F82D96"/>
    <w:rsid w:val="547B4EA9"/>
    <w:rsid w:val="550F7B55"/>
    <w:rsid w:val="55122FD8"/>
    <w:rsid w:val="55926D29"/>
    <w:rsid w:val="57572CCF"/>
    <w:rsid w:val="58E53EC8"/>
    <w:rsid w:val="599B1268"/>
    <w:rsid w:val="59E766FB"/>
    <w:rsid w:val="5AF2460E"/>
    <w:rsid w:val="5C3F2EED"/>
    <w:rsid w:val="5C8968EE"/>
    <w:rsid w:val="5CF62206"/>
    <w:rsid w:val="5F1C412F"/>
    <w:rsid w:val="5F596331"/>
    <w:rsid w:val="60B151FE"/>
    <w:rsid w:val="63716633"/>
    <w:rsid w:val="64586600"/>
    <w:rsid w:val="654B14AA"/>
    <w:rsid w:val="65B67155"/>
    <w:rsid w:val="66B27F22"/>
    <w:rsid w:val="6709554C"/>
    <w:rsid w:val="6732696D"/>
    <w:rsid w:val="67B8418F"/>
    <w:rsid w:val="6AF723A7"/>
    <w:rsid w:val="6B486391"/>
    <w:rsid w:val="6BE566A3"/>
    <w:rsid w:val="6CC45353"/>
    <w:rsid w:val="6CC632BF"/>
    <w:rsid w:val="6CDE4879"/>
    <w:rsid w:val="6E1A0886"/>
    <w:rsid w:val="7016507D"/>
    <w:rsid w:val="71B0505E"/>
    <w:rsid w:val="73D7D205"/>
    <w:rsid w:val="73E35E45"/>
    <w:rsid w:val="74561EEC"/>
    <w:rsid w:val="74F80B83"/>
    <w:rsid w:val="75387844"/>
    <w:rsid w:val="76D50550"/>
    <w:rsid w:val="772F044F"/>
    <w:rsid w:val="77324D59"/>
    <w:rsid w:val="783A06B1"/>
    <w:rsid w:val="78435456"/>
    <w:rsid w:val="7A9D7D6A"/>
    <w:rsid w:val="7AAF0711"/>
    <w:rsid w:val="7ACD0A2E"/>
    <w:rsid w:val="7DB87774"/>
    <w:rsid w:val="7FA77AA0"/>
    <w:rsid w:val="7FCFD1C3"/>
    <w:rsid w:val="B1FF6424"/>
    <w:rsid w:val="FFB38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8"/>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50"/>
    <w:semiHidden/>
    <w:unhideWhenUsed/>
    <w:qFormat/>
    <w:uiPriority w:val="0"/>
    <w:pPr>
      <w:keepNext/>
      <w:keepLines/>
      <w:spacing w:before="260" w:after="260" w:line="413" w:lineRule="auto"/>
      <w:outlineLvl w:val="2"/>
    </w:pPr>
    <w:rPr>
      <w:b/>
      <w:sz w:val="32"/>
    </w:rPr>
  </w:style>
  <w:style w:type="paragraph" w:styleId="5">
    <w:name w:val="heading 4"/>
    <w:basedOn w:val="1"/>
    <w:next w:val="1"/>
    <w:link w:val="55"/>
    <w:semiHidden/>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7"/>
    <w:qFormat/>
    <w:uiPriority w:val="0"/>
    <w:pPr>
      <w:jc w:val="left"/>
    </w:pPr>
  </w:style>
  <w:style w:type="paragraph" w:styleId="8">
    <w:name w:val="Body Text"/>
    <w:basedOn w:val="1"/>
    <w:qFormat/>
    <w:uiPriority w:val="0"/>
    <w:pPr>
      <w:spacing w:after="12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qFormat/>
    <w:uiPriority w:val="0"/>
  </w:style>
  <w:style w:type="paragraph" w:styleId="11">
    <w:name w:val="toc 3"/>
    <w:basedOn w:val="1"/>
    <w:next w:val="1"/>
    <w:qFormat/>
    <w:uiPriority w:val="0"/>
    <w:pPr>
      <w:ind w:left="840" w:leftChars="400"/>
    </w:pPr>
  </w:style>
  <w:style w:type="paragraph" w:styleId="12">
    <w:name w:val="Plain Text"/>
    <w:basedOn w:val="1"/>
    <w:link w:val="36"/>
    <w:qFormat/>
    <w:uiPriority w:val="0"/>
    <w:rPr>
      <w:rFonts w:ascii="宋体" w:hAnsi="Courier New"/>
    </w:rPr>
  </w:style>
  <w:style w:type="paragraph" w:styleId="13">
    <w:name w:val="Date"/>
    <w:basedOn w:val="1"/>
    <w:next w:val="1"/>
    <w:link w:val="43"/>
    <w:qFormat/>
    <w:uiPriority w:val="0"/>
    <w:pPr>
      <w:ind w:left="100" w:leftChars="2500"/>
    </w:pPr>
  </w:style>
  <w:style w:type="paragraph" w:styleId="14">
    <w:name w:val="Balloon Text"/>
    <w:basedOn w:val="1"/>
    <w:link w:val="30"/>
    <w:qFormat/>
    <w:uiPriority w:val="0"/>
    <w:rPr>
      <w:sz w:val="18"/>
    </w:rPr>
  </w:style>
  <w:style w:type="paragraph" w:styleId="15">
    <w:name w:val="footer"/>
    <w:basedOn w:val="1"/>
    <w:link w:val="35"/>
    <w:qFormat/>
    <w:uiPriority w:val="0"/>
    <w:pPr>
      <w:tabs>
        <w:tab w:val="center" w:pos="4153"/>
        <w:tab w:val="right" w:pos="8306"/>
      </w:tabs>
      <w:snapToGrid w:val="0"/>
      <w:jc w:val="left"/>
    </w:pPr>
    <w:rPr>
      <w:sz w:val="18"/>
    </w:rPr>
  </w:style>
  <w:style w:type="paragraph" w:styleId="16">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index 1"/>
    <w:basedOn w:val="1"/>
    <w:next w:val="1"/>
    <w:qFormat/>
    <w:uiPriority w:val="0"/>
  </w:style>
  <w:style w:type="paragraph" w:styleId="20">
    <w:name w:val="annotation subject"/>
    <w:basedOn w:val="7"/>
    <w:next w:val="7"/>
    <w:link w:val="63"/>
    <w:semiHidden/>
    <w:unhideWhenUsed/>
    <w:qFormat/>
    <w:uiPriority w:val="99"/>
    <w:rPr>
      <w:b/>
      <w:bCs/>
    </w:rPr>
  </w:style>
  <w:style w:type="paragraph" w:styleId="21">
    <w:name w:val="Body Text First Indent"/>
    <w:basedOn w:val="8"/>
    <w:qFormat/>
    <w:uiPriority w:val="0"/>
    <w:pPr>
      <w:ind w:firstLine="420" w:firstLineChars="100"/>
    </w:pPr>
  </w:style>
  <w:style w:type="paragraph" w:styleId="22">
    <w:name w:val="Body Text First Indent 2"/>
    <w:basedOn w:val="9"/>
    <w:unhideWhenUsed/>
    <w:qFormat/>
    <w:uiPriority w:val="99"/>
    <w:pPr>
      <w:ind w:firstLine="420" w:firstLineChars="200"/>
    </w:pPr>
  </w:style>
  <w:style w:type="table" w:styleId="24">
    <w:name w:val="Table Grid"/>
    <w:basedOn w:val="2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qFormat/>
    <w:uiPriority w:val="0"/>
    <w:rPr>
      <w:color w:val="0000FF"/>
      <w:u w:val="single"/>
    </w:rPr>
  </w:style>
  <w:style w:type="character" w:styleId="29">
    <w:name w:val="annotation reference"/>
    <w:basedOn w:val="25"/>
    <w:semiHidden/>
    <w:unhideWhenUsed/>
    <w:qFormat/>
    <w:uiPriority w:val="99"/>
    <w:rPr>
      <w:sz w:val="21"/>
      <w:szCs w:val="21"/>
    </w:rPr>
  </w:style>
  <w:style w:type="character" w:customStyle="1" w:styleId="30">
    <w:name w:val="批注框文本 字符"/>
    <w:link w:val="14"/>
    <w:semiHidden/>
    <w:qFormat/>
    <w:uiPriority w:val="99"/>
    <w:rPr>
      <w:sz w:val="18"/>
    </w:rPr>
  </w:style>
  <w:style w:type="paragraph" w:customStyle="1" w:styleId="31">
    <w:name w:val="正文（缩进）"/>
    <w:basedOn w:val="1"/>
    <w:qFormat/>
    <w:uiPriority w:val="0"/>
    <w:pPr>
      <w:widowControl/>
      <w:spacing w:before="156" w:after="156"/>
      <w:ind w:firstLine="480" w:firstLineChars="200"/>
      <w:jc w:val="left"/>
    </w:pPr>
    <w:rPr>
      <w:kern w:val="0"/>
      <w:sz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link w:val="16"/>
    <w:qFormat/>
    <w:uiPriority w:val="0"/>
    <w:rPr>
      <w:sz w:val="18"/>
    </w:rPr>
  </w:style>
  <w:style w:type="character" w:customStyle="1" w:styleId="35">
    <w:name w:val="页脚 字符"/>
    <w:link w:val="15"/>
    <w:qFormat/>
    <w:uiPriority w:val="99"/>
    <w:rPr>
      <w:sz w:val="18"/>
    </w:rPr>
  </w:style>
  <w:style w:type="character" w:customStyle="1" w:styleId="36">
    <w:name w:val="纯文本 字符"/>
    <w:link w:val="12"/>
    <w:qFormat/>
    <w:uiPriority w:val="0"/>
    <w:rPr>
      <w:rFonts w:ascii="宋体" w:hAnsi="Courier New"/>
    </w:rPr>
  </w:style>
  <w:style w:type="character" w:customStyle="1" w:styleId="37">
    <w:name w:val="纯文本 字符1"/>
    <w:basedOn w:val="25"/>
    <w:semiHidden/>
    <w:qFormat/>
    <w:uiPriority w:val="99"/>
    <w:rPr>
      <w:rFonts w:hAnsi="Courier New" w:cs="Courier New" w:asciiTheme="minorEastAsia"/>
      <w:szCs w:val="20"/>
    </w:rPr>
  </w:style>
  <w:style w:type="character" w:customStyle="1" w:styleId="38">
    <w:name w:val="未处理的提及1"/>
    <w:basedOn w:val="25"/>
    <w:semiHidden/>
    <w:unhideWhenUsed/>
    <w:qFormat/>
    <w:uiPriority w:val="99"/>
    <w:rPr>
      <w:color w:val="605E5C"/>
      <w:shd w:val="clear" w:color="auto" w:fill="E1DFDD"/>
    </w:rPr>
  </w:style>
  <w:style w:type="paragraph" w:styleId="39">
    <w:name w:val="List Paragraph"/>
    <w:basedOn w:val="1"/>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5"/>
    <w:semiHidden/>
    <w:qFormat/>
    <w:uiPriority w:val="99"/>
    <w:rPr>
      <w:rFonts w:ascii="@仿宋_GB2312" w:hAnsi="@仿宋_GB2312" w:eastAsia="@仿宋_GB2312" w:cs="@仿宋_GB2312"/>
      <w:szCs w:val="20"/>
    </w:rPr>
  </w:style>
  <w:style w:type="character" w:customStyle="1" w:styleId="43">
    <w:name w:val="日期 字符1"/>
    <w:link w:val="13"/>
    <w:qFormat/>
    <w:uiPriority w:val="0"/>
  </w:style>
  <w:style w:type="character" w:customStyle="1" w:styleId="44">
    <w:name w:val="纯文本 Char1"/>
    <w:link w:val="45"/>
    <w:qFormat/>
    <w:locked/>
    <w:uiPriority w:val="0"/>
    <w:rPr>
      <w:rFonts w:ascii="Arial" w:hAnsi="Arial" w:eastAsia="Arial"/>
      <w:kern w:val="2"/>
      <w:sz w:val="21"/>
      <w:lang w:val="en-US" w:eastAsia="zh-CN" w:bidi="ar-SA"/>
    </w:rPr>
  </w:style>
  <w:style w:type="paragraph" w:customStyle="1" w:styleId="45">
    <w:name w:val="纯文本1"/>
    <w:basedOn w:val="1"/>
    <w:link w:val="44"/>
    <w:qFormat/>
    <w:uiPriority w:val="0"/>
    <w:rPr>
      <w:rFonts w:ascii="Arial" w:hAnsi="Arial" w:eastAsia="Arial"/>
      <w:szCs w:val="22"/>
    </w:rPr>
  </w:style>
  <w:style w:type="character" w:customStyle="1" w:styleId="46">
    <w:name w:val="批注文字 Char"/>
    <w:basedOn w:val="25"/>
    <w:semiHidden/>
    <w:qFormat/>
    <w:uiPriority w:val="99"/>
    <w:rPr>
      <w:rFonts w:ascii="@仿宋_GB2312" w:hAnsi="@仿宋_GB2312" w:eastAsia="@仿宋_GB2312" w:cs="@仿宋_GB2312"/>
      <w:szCs w:val="20"/>
    </w:rPr>
  </w:style>
  <w:style w:type="character" w:customStyle="1" w:styleId="47">
    <w:name w:val="批注文字 字符"/>
    <w:link w:val="7"/>
    <w:qFormat/>
    <w:uiPriority w:val="0"/>
  </w:style>
  <w:style w:type="character" w:customStyle="1" w:styleId="48">
    <w:name w:val="标题 1 字符"/>
    <w:link w:val="3"/>
    <w:qFormat/>
    <w:uiPriority w:val="9"/>
    <w:rPr>
      <w:b/>
      <w:kern w:val="44"/>
      <w:sz w:val="44"/>
    </w:rPr>
  </w:style>
  <w:style w:type="paragraph" w:customStyle="1" w:styleId="4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link w:val="2"/>
    <w:semiHidden/>
    <w:qFormat/>
    <w:uiPriority w:val="9"/>
    <w:rPr>
      <w:b/>
      <w:sz w:val="32"/>
    </w:rPr>
  </w:style>
  <w:style w:type="character" w:customStyle="1" w:styleId="51">
    <w:name w:val="fontstyle01"/>
    <w:basedOn w:val="25"/>
    <w:qFormat/>
    <w:uiPriority w:val="0"/>
    <w:rPr>
      <w:rFonts w:hint="eastAsia" w:ascii="宋体" w:hAnsi="宋体" w:eastAsia="宋体"/>
      <w:color w:val="000000"/>
      <w:sz w:val="22"/>
      <w:szCs w:val="22"/>
    </w:rPr>
  </w:style>
  <w:style w:type="character" w:customStyle="1" w:styleId="52">
    <w:name w:val="fontstyle21"/>
    <w:basedOn w:val="25"/>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5"/>
    <w:semiHidden/>
    <w:qFormat/>
    <w:uiPriority w:val="9"/>
    <w:rPr>
      <w:rFonts w:asciiTheme="majorHAnsi" w:hAnsiTheme="majorHAnsi" w:eastAsiaTheme="majorEastAsia" w:cstheme="majorBidi"/>
      <w:b/>
      <w:bCs/>
      <w:sz w:val="28"/>
      <w:szCs w:val="28"/>
    </w:rPr>
  </w:style>
  <w:style w:type="character" w:customStyle="1" w:styleId="55">
    <w:name w:val="标题 4 字符1"/>
    <w:link w:val="5"/>
    <w:qFormat/>
    <w:uiPriority w:val="0"/>
    <w:rPr>
      <w:rFonts w:ascii="Arial" w:hAnsi="Arial" w:eastAsia="黑体"/>
      <w:b/>
      <w:sz w:val="28"/>
    </w:rPr>
  </w:style>
  <w:style w:type="paragraph" w:customStyle="1" w:styleId="56">
    <w:name w:val="普通 (Web)"/>
    <w:basedOn w:val="1"/>
    <w:qFormat/>
    <w:uiPriority w:val="0"/>
    <w:pPr>
      <w:widowControl/>
      <w:spacing w:before="100" w:beforeAutospacing="1" w:after="100" w:afterAutospacing="1"/>
      <w:jc w:val="left"/>
    </w:pPr>
    <w:rPr>
      <w:rFonts w:cs="Times New Roman"/>
      <w:sz w:val="24"/>
    </w:rPr>
  </w:style>
  <w:style w:type="paragraph" w:customStyle="1" w:styleId="57">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8">
    <w:name w:val="首行缩进"/>
    <w:basedOn w:val="1"/>
    <w:qFormat/>
    <w:uiPriority w:val="99"/>
    <w:pPr>
      <w:spacing w:line="360" w:lineRule="auto"/>
      <w:ind w:firstLine="480" w:firstLineChars="200"/>
    </w:pPr>
    <w:rPr>
      <w:rFonts w:ascii="Calibri" w:hAnsi="Calibri"/>
      <w:sz w:val="24"/>
      <w:lang w:val="zh-CN"/>
    </w:rPr>
  </w:style>
  <w:style w:type="paragraph" w:customStyle="1" w:styleId="59">
    <w:name w:val="列表段落1"/>
    <w:basedOn w:val="1"/>
    <w:qFormat/>
    <w:uiPriority w:val="34"/>
    <w:pPr>
      <w:ind w:firstLine="420" w:firstLineChars="200"/>
    </w:pPr>
  </w:style>
  <w:style w:type="paragraph" w:customStyle="1" w:styleId="6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1">
    <w:name w:val="未处理的提及2"/>
    <w:basedOn w:val="25"/>
    <w:semiHidden/>
    <w:unhideWhenUsed/>
    <w:qFormat/>
    <w:uiPriority w:val="99"/>
    <w:rPr>
      <w:color w:val="605E5C"/>
      <w:shd w:val="clear" w:color="auto" w:fill="E1DFDD"/>
    </w:rPr>
  </w:style>
  <w:style w:type="paragraph" w:customStyle="1" w:styleId="6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3">
    <w:name w:val="批注主题 字符"/>
    <w:basedOn w:val="47"/>
    <w:link w:val="20"/>
    <w:semiHidden/>
    <w:qFormat/>
    <w:uiPriority w:val="99"/>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31</Pages>
  <Words>13840</Words>
  <Characters>14265</Characters>
  <Lines>115</Lines>
  <Paragraphs>32</Paragraphs>
  <TotalTime>84</TotalTime>
  <ScaleCrop>false</ScaleCrop>
  <LinksUpToDate>false</LinksUpToDate>
  <CharactersWithSpaces>15154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WPS_1678171852</cp:lastModifiedBy>
  <cp:lastPrinted>2022-06-23T09:57:00Z</cp:lastPrinted>
  <dcterms:modified xsi:type="dcterms:W3CDTF">2024-06-07T01:45:37Z</dcterms:modified>
  <cp:revision>924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34F4236B69B0407E9B5D3B552FCB38ED_13</vt:lpwstr>
  </property>
</Properties>
</file>