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竞价文件</w:t>
      </w:r>
    </w:p>
    <w:p>
      <w:pPr>
        <w:spacing w:line="560" w:lineRule="exact"/>
        <w:jc w:val="left"/>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各服务单位：</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2024全国夏季游泳锦标赛用车服务采购项目，现通过竞价方式（费率）择优选择一家服务单位，本次竞价采用有效最低价法（费率）中标方式，欢迎具备条件的单位参与。</w:t>
      </w:r>
    </w:p>
    <w:p>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1.项目名称：2024全国夏季游泳锦标赛用车服务采购</w:t>
      </w:r>
    </w:p>
    <w:p>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2.项目编号：2024TYGSCG30</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3.项目概算：28万元</w:t>
      </w:r>
    </w:p>
    <w:p>
      <w:pPr>
        <w:pStyle w:val="2"/>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pPr>
        <w:pStyle w:val="2"/>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pPr>
        <w:spacing w:line="560" w:lineRule="exact"/>
        <w:ind w:firstLine="640" w:firstLineChars="200"/>
        <w:jc w:val="both"/>
        <w:rPr>
          <w:rFonts w:hint="default" w:ascii="仿宋_GB2312" w:hAnsi="仿宋_GB2312" w:eastAsia="仿宋_GB2312" w:cs="仿宋_GB2312"/>
          <w:sz w:val="32"/>
          <w:szCs w:val="32"/>
          <w:lang w:val="en-US"/>
        </w:rPr>
      </w:pPr>
      <w:r>
        <w:rPr>
          <w:rFonts w:hint="eastAsia" w:ascii="仿宋_GB2312" w:hAnsi="宋体" w:eastAsia="仿宋_GB2312" w:cs="宋体"/>
          <w:bCs/>
          <w:color w:val="000000"/>
          <w:sz w:val="32"/>
          <w:szCs w:val="32"/>
          <w:lang w:val="en-US" w:eastAsia="zh-CN"/>
        </w:rPr>
        <w:t>6.项目地址：合肥体育中心</w:t>
      </w:r>
    </w:p>
    <w:p>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pPr>
        <w:spacing w:line="560" w:lineRule="exact"/>
        <w:ind w:firstLine="640"/>
        <w:jc w:val="both"/>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1.投标人须具备独立承担民事责任能力；</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仿宋_GB2312" w:eastAsia="仿宋_GB2312" w:cs="仿宋_GB2312"/>
          <w:color w:val="000000"/>
          <w:kern w:val="0"/>
          <w:sz w:val="31"/>
          <w:szCs w:val="31"/>
          <w:lang w:val="en-US" w:eastAsia="zh-CN" w:bidi="ar"/>
        </w:rPr>
        <w:t>2.</w:t>
      </w:r>
      <w:r>
        <w:rPr>
          <w:rFonts w:hint="eastAsia" w:ascii="仿宋_GB2312" w:hAnsi="宋体" w:eastAsia="仿宋_GB2312" w:cs="宋体"/>
          <w:bCs/>
          <w:color w:val="000000"/>
          <w:sz w:val="32"/>
          <w:szCs w:val="32"/>
          <w:lang w:val="en-US" w:eastAsia="zh-CN"/>
        </w:rPr>
        <w:t>公司具有合法有效的营业执照；</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w:t>
      </w:r>
      <w:r>
        <w:rPr>
          <w:rFonts w:hint="eastAsia" w:ascii="仿宋_GB2312" w:hAnsi="仿宋_GB2312" w:eastAsia="仿宋_GB2312" w:cs="仿宋_GB2312"/>
          <w:color w:val="000000"/>
          <w:kern w:val="0"/>
          <w:sz w:val="31"/>
          <w:szCs w:val="31"/>
          <w:lang w:val="en-US" w:eastAsia="zh-CN" w:bidi="ar"/>
        </w:rPr>
        <w:t>.</w:t>
      </w:r>
      <w:r>
        <w:rPr>
          <w:rFonts w:hint="eastAsia" w:ascii="仿宋_GB2312" w:hAnsi="宋体" w:eastAsia="仿宋_GB2312" w:cs="宋体"/>
          <w:bCs/>
          <w:color w:val="000000"/>
          <w:sz w:val="32"/>
          <w:szCs w:val="32"/>
          <w:lang w:val="en-US" w:eastAsia="zh-CN"/>
        </w:rPr>
        <w:t>本项目不接受联合体投标；</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4.投标人须为“合肥市2022-2025年度社会化车辆租赁定点单位”名单内的汽车租赁公司；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5.投标人存在以下不良信用记录情形之一的，不得推荐为中标候选人，不得确定为中标人：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3" w:firstLineChars="200"/>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三、服务要求</w:t>
      </w:r>
    </w:p>
    <w:p>
      <w:pPr>
        <w:spacing w:line="560" w:lineRule="exact"/>
        <w:ind w:firstLine="64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 xml:space="preserve">1.本次服务均为包车租赁（含驾驶员），包含接送站（机）、赛场和酒店间接驳等赛事保障用车服务，除过路过桥费、泊车费外，日常保养费、燃油费、维修费、年审费、随车驾驶员工资劳务费、餐费、保险、相关税金等所有费用由投标人自行承担。如有漏项或缺项，服务商承担全部责任。车辆分配以赛事组委会最终安排为准，具体数量据实结算。 </w:t>
      </w:r>
    </w:p>
    <w:p>
      <w:pPr>
        <w:spacing w:line="560" w:lineRule="exact"/>
        <w:ind w:firstLine="64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 xml:space="preserve">2.每日的工作时间及工作内容以需求单位实际通知为准。 </w:t>
      </w:r>
    </w:p>
    <w:p>
      <w:pPr>
        <w:spacing w:line="560" w:lineRule="exact"/>
        <w:ind w:firstLine="64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 xml:space="preserve">3.车辆在出车前需要完成保养、车况保持良好、车内保持清洁卫生、车内不得放置多余私人物品及货物、驾驶员服装统一、佩戴手套、仪表得体。 </w:t>
      </w:r>
    </w:p>
    <w:p>
      <w:pPr>
        <w:spacing w:line="560" w:lineRule="exact"/>
        <w:ind w:firstLine="64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 xml:space="preserve">4.服务单位需指定专人驻点酒店对接并提前制定用车计划，并发送给我司车辆对接人，用车期间前一天确认第二天接待任务。 </w:t>
      </w:r>
    </w:p>
    <w:p>
      <w:pPr>
        <w:spacing w:line="560" w:lineRule="exact"/>
        <w:ind w:firstLine="64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5.用车期间每天汇总用车信息，并且三方签字确认。 用车期间做好行车记录，包括司机姓名、电话、车牌号、车型、具体行程、公里数、超公里数或超时等，过路过桥费、泊车费等应保留相关票据，并在结算单据时完整提供。</w:t>
      </w:r>
    </w:p>
    <w:p>
      <w:p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四、报价时间</w:t>
      </w:r>
    </w:p>
    <w:p>
      <w:pPr>
        <w:spacing w:line="560" w:lineRule="exact"/>
        <w:ind w:firstLine="64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2024年8月19日12：00前将报价单连同营业执照和相关资质证明全部盖章后密封送至合肥体育产业投资有限公司综合管理部。未按要求盖章和密封的报价文件视为废标，无效报价。</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、报价</w:t>
      </w:r>
      <w:r>
        <w:rPr>
          <w:rFonts w:hint="eastAsia" w:ascii="仿宋_GB2312" w:hAnsi="仿宋_GB2312" w:eastAsia="仿宋_GB2312" w:cs="仿宋_GB2312"/>
          <w:b/>
          <w:bCs/>
          <w:sz w:val="32"/>
          <w:szCs w:val="32"/>
          <w:lang w:val="en-US" w:eastAsia="zh-CN"/>
        </w:rPr>
        <w:t>方式</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1.本项目采用费率报价，最终投标费率作为评标和定标的依据，请投标人根据“控制单价表”中控制单价报费率并标注增值税专用发票开票税率。</w:t>
      </w:r>
      <w:bookmarkStart w:id="0" w:name="_GoBack"/>
      <w:bookmarkEnd w:id="0"/>
      <w:r>
        <w:rPr>
          <w:rFonts w:hint="eastAsia" w:ascii="仿宋_GB2312" w:hAnsi="宋体" w:eastAsia="仿宋_GB2312" w:cs="宋体"/>
          <w:bCs/>
          <w:color w:val="000000"/>
          <w:sz w:val="32"/>
          <w:szCs w:val="32"/>
          <w:lang w:val="en-US" w:eastAsia="zh-CN"/>
        </w:rPr>
        <w:t xml:space="preserve"> </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2.在《控制单价表》中，如某项单价限价为300元，中标费率为80%，则该项结算价为240元。报价费率精确至小数点后两位，如超过两位的直接舍去，如 80.147%按80.14%计；若不足两位，末位默认为零，如 80%按80.00%计。 </w:t>
      </w:r>
    </w:p>
    <w:p>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3.投标报价费率不得高于100%，否则报价无效。</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结算方式</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1.综合单价=控制单价*最终投标费率。最终结算时按综合单价并根据实际使用量，据实结算。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宋体" w:eastAsia="仿宋_GB2312" w:cs="宋体"/>
          <w:b w:val="0"/>
          <w:bCs/>
          <w:color w:val="000000"/>
          <w:sz w:val="32"/>
          <w:szCs w:val="32"/>
          <w:lang w:val="en-US" w:eastAsia="zh-CN"/>
        </w:rPr>
        <w:t>2.</w:t>
      </w:r>
      <w:r>
        <w:rPr>
          <w:rFonts w:hint="eastAsia" w:ascii="仿宋_GB2312" w:hAnsi="仿宋_GB2312" w:eastAsia="仿宋_GB2312" w:cs="仿宋_GB2312"/>
          <w:b w:val="0"/>
          <w:bCs/>
          <w:sz w:val="32"/>
          <w:szCs w:val="32"/>
          <w:lang w:val="en-US" w:eastAsia="zh-CN"/>
        </w:rPr>
        <w:t>当日用车一趟则按单趟结算，一趟以上则按包天结算。</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3.派车不冲突情况下，不允许另派车辆，否则不予结算。</w:t>
      </w:r>
    </w:p>
    <w:p>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七、联系方式</w:t>
      </w:r>
    </w:p>
    <w:p>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pPr>
        <w:keepNext w:val="0"/>
        <w:keepLines w:val="0"/>
        <w:widowControl/>
        <w:suppressLineNumbers w:val="0"/>
        <w:ind w:firstLine="640" w:firstLineChars="200"/>
        <w:jc w:val="left"/>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技术咨询联系人：盛工 18019859770</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pPr>
        <w:spacing w:line="560" w:lineRule="exact"/>
        <w:jc w:val="right"/>
        <w:rPr>
          <w:rFonts w:hint="eastAsia" w:ascii="仿宋_GB2312" w:hAnsi="宋体" w:eastAsia="仿宋_GB2312" w:cs="宋体"/>
          <w:b w:val="0"/>
          <w:bCs/>
          <w:color w:val="000000"/>
          <w:sz w:val="32"/>
          <w:szCs w:val="32"/>
          <w:lang w:val="en-US" w:eastAsia="zh-CN"/>
        </w:rPr>
      </w:pPr>
    </w:p>
    <w:p>
      <w:pPr>
        <w:spacing w:line="560" w:lineRule="exact"/>
        <w:jc w:val="right"/>
        <w:rPr>
          <w:rFonts w:hint="eastAsia" w:ascii="仿宋_GB2312" w:hAnsi="宋体" w:eastAsia="仿宋_GB2312" w:cs="宋体"/>
          <w:b w:val="0"/>
          <w:bCs/>
          <w:color w:val="000000"/>
          <w:sz w:val="32"/>
          <w:szCs w:val="32"/>
          <w:lang w:val="en-US" w:eastAsia="zh-CN"/>
        </w:rPr>
      </w:pPr>
    </w:p>
    <w:p>
      <w:pPr>
        <w:spacing w:line="560" w:lineRule="exact"/>
        <w:jc w:val="right"/>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 xml:space="preserve">                      2024年8月16日</w:t>
      </w: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p>
    <w:p>
      <w:pPr>
        <w:spacing w:line="560" w:lineRule="exact"/>
        <w:ind w:firstLine="640" w:firstLineChars="200"/>
        <w:jc w:val="center"/>
        <w:rPr>
          <w:rFonts w:hint="eastAsia" w:ascii="仿宋_GB2312" w:hAnsi="宋体" w:eastAsia="仿宋_GB2312" w:cs="宋体"/>
          <w:b w:val="0"/>
          <w:bCs/>
          <w:color w:val="000000"/>
          <w:sz w:val="32"/>
          <w:szCs w:val="32"/>
          <w:lang w:val="en-US" w:eastAsia="zh-CN"/>
        </w:rPr>
      </w:pPr>
    </w:p>
    <w:p/>
    <w:p/>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spacing w:line="560" w:lineRule="exact"/>
        <w:jc w:val="both"/>
        <w:rPr>
          <w:rFonts w:hint="default" w:ascii="仿宋_GB2312" w:hAnsi="宋体" w:eastAsia="仿宋_GB2312" w:cs="宋体"/>
          <w:b/>
          <w:bCs w:val="0"/>
          <w:color w:val="000000"/>
          <w:sz w:val="36"/>
          <w:szCs w:val="36"/>
          <w:lang w:val="en-US" w:eastAsia="zh-CN"/>
        </w:rPr>
      </w:pPr>
      <w:r>
        <w:rPr>
          <w:rFonts w:hint="eastAsia" w:ascii="仿宋_GB2312" w:hAnsi="宋体" w:eastAsia="仿宋_GB2312" w:cs="宋体"/>
          <w:b/>
          <w:bCs w:val="0"/>
          <w:color w:val="000000"/>
          <w:sz w:val="36"/>
          <w:szCs w:val="36"/>
          <w:lang w:val="en-US" w:eastAsia="zh-CN"/>
        </w:rPr>
        <w:t>附件</w:t>
      </w:r>
    </w:p>
    <w:p>
      <w:pPr>
        <w:jc w:val="left"/>
        <w:sectPr>
          <w:pgSz w:w="11906" w:h="16838"/>
          <w:pgMar w:top="1440" w:right="1800" w:bottom="1440" w:left="1800" w:header="851" w:footer="992" w:gutter="0"/>
          <w:cols w:space="425" w:num="1"/>
          <w:docGrid w:type="lines" w:linePitch="312" w:charSpace="0"/>
        </w:sectPr>
      </w:pPr>
    </w:p>
    <w:p>
      <w:pPr>
        <w:jc w:val="left"/>
      </w:pPr>
    </w:p>
    <w:p>
      <w:pPr>
        <w:jc w:val="center"/>
        <w:rPr>
          <w:rFonts w:hint="eastAsia"/>
          <w:lang w:eastAsia="zh-CN"/>
        </w:rPr>
        <w:sectPr>
          <w:pgSz w:w="16838" w:h="11906" w:orient="landscape"/>
          <w:pgMar w:top="1800" w:right="1440" w:bottom="1800" w:left="1440" w:header="851" w:footer="992" w:gutter="0"/>
          <w:cols w:space="425" w:num="1"/>
          <w:docGrid w:type="lines" w:linePitch="312" w:charSpace="0"/>
        </w:sectPr>
      </w:pPr>
      <w:r>
        <w:rPr>
          <w:rFonts w:hint="eastAsia"/>
          <w:lang w:eastAsia="zh-CN"/>
        </w:rPr>
        <w:drawing>
          <wp:inline distT="0" distB="0" distL="114300" distR="114300">
            <wp:extent cx="8334375" cy="4895850"/>
            <wp:effectExtent l="0" t="0" r="9525" b="0"/>
            <wp:docPr id="1" name="图片 1" descr="0ba21ecdbbeff40d1100a709f2692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ba21ecdbbeff40d1100a709f26924e"/>
                    <pic:cNvPicPr>
                      <a:picLocks noChangeAspect="1"/>
                    </pic:cNvPicPr>
                  </pic:nvPicPr>
                  <pic:blipFill>
                    <a:blip r:embed="rId4"/>
                    <a:stretch>
                      <a:fillRect/>
                    </a:stretch>
                  </pic:blipFill>
                  <pic:spPr>
                    <a:xfrm>
                      <a:off x="0" y="0"/>
                      <a:ext cx="8334375" cy="4895850"/>
                    </a:xfrm>
                    <a:prstGeom prst="rect">
                      <a:avLst/>
                    </a:prstGeom>
                  </pic:spPr>
                </pic:pic>
              </a:graphicData>
            </a:graphic>
          </wp:inline>
        </w:drawing>
      </w:r>
    </w:p>
    <w:tbl>
      <w:tblPr>
        <w:tblStyle w:val="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716"/>
        <w:gridCol w:w="2256"/>
        <w:gridCol w:w="2016"/>
        <w:gridCol w:w="1776"/>
        <w:gridCol w:w="3216"/>
        <w:gridCol w:w="1536"/>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960" w:type="dxa"/>
            <w:gridSpan w:val="7"/>
            <w:shd w:val="clear" w:color="auto" w:fill="auto"/>
            <w:noWrap/>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bCs/>
                <w:i w:val="0"/>
                <w:iCs w:val="0"/>
                <w:color w:val="000000"/>
                <w:sz w:val="40"/>
                <w:szCs w:val="40"/>
                <w:u w:val="none"/>
                <w:lang w:val="en-US"/>
              </w:rPr>
            </w:pPr>
            <w:r>
              <w:rPr>
                <w:rFonts w:hint="eastAsia" w:ascii="方正小标宋简体" w:hAnsi="方正小标宋简体" w:eastAsia="方正小标宋简体" w:cs="方正小标宋简体"/>
                <w:b w:val="0"/>
                <w:bCs w:val="0"/>
                <w:i w:val="0"/>
                <w:iCs w:val="0"/>
                <w:color w:val="000000"/>
                <w:kern w:val="0"/>
                <w:sz w:val="40"/>
                <w:szCs w:val="40"/>
                <w:u w:val="none"/>
                <w:lang w:val="en-US" w:eastAsia="zh-CN" w:bidi="ar"/>
              </w:rPr>
              <w:t>控制单价表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0" w:type="auto"/>
            <w:shd w:val="clear" w:color="auto" w:fill="auto"/>
            <w:noWrap/>
            <w:vAlign w:val="center"/>
          </w:tcPr>
          <w:p>
            <w:pPr>
              <w:jc w:val="center"/>
              <w:rPr>
                <w:rFonts w:hint="eastAsia" w:ascii="仿宋_GB2312" w:hAnsi="宋体" w:eastAsia="仿宋_GB2312" w:cs="仿宋_GB2312"/>
                <w:i w:val="0"/>
                <w:iCs w:val="0"/>
                <w:color w:val="000000"/>
                <w:sz w:val="24"/>
                <w:szCs w:val="24"/>
                <w:u w:val="none"/>
              </w:rPr>
            </w:pP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合肥南站/趟（元）</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合肥站/趟（元）</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机场/趟（元）</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包天/8小时/100公里（元）</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超时费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（元/小时）</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超公里费</w:t>
            </w:r>
          </w:p>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（元/公里）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5座小车</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7座商务车</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16-22座中巴</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20-39座大巴</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40-51座大巴</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51座以上大巴</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0" w:type="auto"/>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0" w:type="auto"/>
            <w:gridSpan w:val="7"/>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费率：（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22EB3"/>
    <w:multiLevelType w:val="singleLevel"/>
    <w:tmpl w:val="15A22E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YmQ2MmY2ZGFiMGI4OTRkNDg5ZGZhNmI2ODJlOWQifQ=="/>
  </w:docVars>
  <w:rsids>
    <w:rsidRoot w:val="6CB6078E"/>
    <w:rsid w:val="21515DB2"/>
    <w:rsid w:val="481B4185"/>
    <w:rsid w:val="51A239A4"/>
    <w:rsid w:val="56CB1DB8"/>
    <w:rsid w:val="5EA7200A"/>
    <w:rsid w:val="6CB6078E"/>
    <w:rsid w:val="772E5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1396</Words>
  <Characters>1582</Characters>
  <Lines>0</Lines>
  <Paragraphs>0</Paragraphs>
  <TotalTime>13</TotalTime>
  <ScaleCrop>false</ScaleCrop>
  <LinksUpToDate>false</LinksUpToDate>
  <CharactersWithSpaces>1617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2024-08-13T07:42:00Z</dcterms:created>
  <dc:creator>孙硕</dc:creator>
  <cp:lastModifiedBy>孙硕</cp:lastModifiedBy>
  <dcterms:modified xsi:type="dcterms:W3CDTF">2024-08-16T08:22:06Z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EE45530F9C4B44508C3E92F00F7524C2_11</vt:lpwstr>
  </property>
</Properties>
</file>