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C4C4F">
      <w:pPr>
        <w:tabs>
          <w:tab w:val="left" w:pos="315"/>
          <w:tab w:val="left" w:pos="8820"/>
        </w:tabs>
        <w:spacing w:before="240" w:beforeLines="100" w:after="120" w:afterLines="50" w:line="500" w:lineRule="exact"/>
        <w:ind w:right="254" w:rightChars="127"/>
        <w:jc w:val="center"/>
        <w:rPr>
          <w:b/>
          <w:bCs/>
          <w:sz w:val="52"/>
          <w:szCs w:val="52"/>
          <w:vertAlign w:val="superscript"/>
        </w:rPr>
      </w:pPr>
      <w:bookmarkStart w:id="98" w:name="_GoBack"/>
      <w:bookmarkEnd w:id="98"/>
    </w:p>
    <w:p w14:paraId="00F01840"/>
    <w:p w14:paraId="64F4AF52">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696351BB"/>
    <w:p w14:paraId="2DDC4C95">
      <w:pPr>
        <w:jc w:val="center"/>
      </w:pPr>
    </w:p>
    <w:p w14:paraId="3D3DBB34">
      <w:pPr>
        <w:jc w:val="center"/>
      </w:pPr>
    </w:p>
    <w:p w14:paraId="6B9DAA84">
      <w:pPr>
        <w:jc w:val="center"/>
      </w:pPr>
    </w:p>
    <w:p w14:paraId="665A1EE7">
      <w:pPr>
        <w:jc w:val="center"/>
      </w:pPr>
    </w:p>
    <w:p w14:paraId="2F8960FC">
      <w:pPr>
        <w:jc w:val="center"/>
      </w:pPr>
    </w:p>
    <w:p w14:paraId="4886E56E">
      <w:pPr>
        <w:jc w:val="center"/>
      </w:pPr>
    </w:p>
    <w:p w14:paraId="38EAED41">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565910" cy="1511935"/>
                    </a:xfrm>
                    <a:prstGeom prst="rect">
                      <a:avLst/>
                    </a:prstGeom>
                    <a:noFill/>
                    <a:ln>
                      <a:noFill/>
                    </a:ln>
                  </pic:spPr>
                </pic:pic>
              </a:graphicData>
            </a:graphic>
          </wp:inline>
        </w:drawing>
      </w:r>
    </w:p>
    <w:bookmarkEnd w:id="0"/>
    <w:p w14:paraId="7CE5ECB2">
      <w:pPr>
        <w:tabs>
          <w:tab w:val="left" w:pos="315"/>
          <w:tab w:val="left" w:pos="8820"/>
        </w:tabs>
        <w:spacing w:before="240" w:beforeLines="100" w:after="120" w:afterLines="50" w:line="500" w:lineRule="exact"/>
        <w:ind w:right="254" w:rightChars="127"/>
        <w:jc w:val="both"/>
        <w:rPr>
          <w:b/>
          <w:bCs/>
          <w:sz w:val="44"/>
          <w:szCs w:val="44"/>
        </w:rPr>
      </w:pPr>
    </w:p>
    <w:p w14:paraId="76B32540">
      <w:pPr>
        <w:tabs>
          <w:tab w:val="left" w:pos="315"/>
          <w:tab w:val="left" w:pos="8820"/>
        </w:tabs>
        <w:spacing w:before="240" w:beforeLines="100" w:after="120" w:afterLines="50" w:line="500" w:lineRule="exact"/>
        <w:ind w:right="254" w:rightChars="127"/>
        <w:jc w:val="center"/>
        <w:rPr>
          <w:b/>
          <w:bCs/>
          <w:sz w:val="44"/>
          <w:szCs w:val="44"/>
        </w:rPr>
      </w:pPr>
    </w:p>
    <w:p w14:paraId="1E7FD6F9">
      <w:pPr>
        <w:tabs>
          <w:tab w:val="left" w:pos="315"/>
          <w:tab w:val="left" w:pos="8820"/>
        </w:tabs>
        <w:spacing w:before="240" w:beforeLines="100" w:after="120" w:afterLines="50" w:line="500" w:lineRule="exact"/>
        <w:ind w:right="254" w:rightChars="127"/>
        <w:jc w:val="center"/>
        <w:rPr>
          <w:b/>
          <w:bCs/>
          <w:sz w:val="44"/>
          <w:szCs w:val="44"/>
        </w:rPr>
      </w:pPr>
    </w:p>
    <w:p w14:paraId="5F9BCCD4">
      <w:pPr>
        <w:tabs>
          <w:tab w:val="left" w:pos="2410"/>
        </w:tabs>
        <w:autoSpaceDE w:val="0"/>
        <w:autoSpaceDN w:val="0"/>
        <w:adjustRightInd w:val="0"/>
        <w:snapToGrid w:val="0"/>
        <w:spacing w:line="360" w:lineRule="auto"/>
        <w:rPr>
          <w:rFonts w:hint="default"/>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rPr>
        <w:t>合肥滨湖国际会展中心二期（含二期新建及一期提升改造）智能化及智慧会展工程</w:t>
      </w:r>
      <w:r>
        <w:rPr>
          <w:rFonts w:hint="eastAsia"/>
          <w:b/>
          <w:spacing w:val="20"/>
          <w:sz w:val="32"/>
          <w:szCs w:val="32"/>
          <w:u w:val="single"/>
          <w:lang w:val="en-US" w:eastAsia="zh-CN"/>
        </w:rPr>
        <w:t>，</w:t>
      </w:r>
      <w:r>
        <w:rPr>
          <w:rFonts w:hint="eastAsia"/>
          <w:b/>
          <w:spacing w:val="20"/>
          <w:sz w:val="32"/>
          <w:szCs w:val="32"/>
          <w:u w:val="single"/>
        </w:rPr>
        <w:t>智慧会展系统等级保护测评</w:t>
      </w:r>
    </w:p>
    <w:p w14:paraId="2BFF1221">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2024WLBLZB00035号</w:t>
      </w:r>
    </w:p>
    <w:p w14:paraId="3024C87F">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lang w:eastAsia="zh-CN"/>
        </w:rPr>
        <w:t>合肥</w:t>
      </w:r>
      <w:r>
        <w:rPr>
          <w:rFonts w:hint="eastAsia"/>
          <w:b/>
          <w:spacing w:val="20"/>
          <w:sz w:val="32"/>
          <w:szCs w:val="32"/>
          <w:u w:val="single"/>
          <w:lang w:val="en-US" w:eastAsia="zh-CN"/>
        </w:rPr>
        <w:t>文旅博览集团</w:t>
      </w:r>
      <w:r>
        <w:rPr>
          <w:rFonts w:hint="eastAsia"/>
          <w:b/>
          <w:spacing w:val="20"/>
          <w:sz w:val="32"/>
          <w:szCs w:val="32"/>
          <w:u w:val="single"/>
          <w:lang w:eastAsia="zh-CN"/>
        </w:rPr>
        <w:t>有限公司</w:t>
      </w:r>
    </w:p>
    <w:p w14:paraId="092F4484"/>
    <w:p w14:paraId="3ABC9F0C"/>
    <w:p w14:paraId="4FBFBDC7"/>
    <w:p w14:paraId="553D448E">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14:paraId="548E559B"/>
    <w:p w14:paraId="7834D7DA">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6FD7DDB0">
      <w:pPr>
        <w:tabs>
          <w:tab w:val="left" w:pos="2410"/>
        </w:tabs>
        <w:autoSpaceDE w:val="0"/>
        <w:autoSpaceDN w:val="0"/>
        <w:adjustRightInd w:val="0"/>
        <w:snapToGrid w:val="0"/>
        <w:spacing w:line="360" w:lineRule="auto"/>
        <w:jc w:val="center"/>
        <w:rPr>
          <w:b/>
          <w:sz w:val="28"/>
        </w:rPr>
      </w:pPr>
    </w:p>
    <w:p w14:paraId="679BD30E">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6EC91093">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4FEAC534">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0461ACDA">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14:paraId="24C0ABA7">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3C562869">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14:paraId="08F8EF3B">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6C81236C">
      <w:pPr>
        <w:spacing w:line="360" w:lineRule="auto"/>
        <w:jc w:val="center"/>
        <w:rPr>
          <w:rFonts w:asciiTheme="minorEastAsia" w:hAnsiTheme="minorEastAsia" w:eastAsiaTheme="minorEastAsia"/>
          <w:b/>
          <w:sz w:val="28"/>
        </w:rPr>
        <w:sectPr>
          <w:headerReference r:id="rId5" w:type="default"/>
          <w:footerReference r:id="rId6" w:type="default"/>
          <w:pgSz w:w="11907" w:h="16840"/>
          <w:pgMar w:top="1440" w:right="1519" w:bottom="1440" w:left="1519" w:header="851" w:footer="992" w:gutter="0"/>
          <w:cols w:space="720" w:num="1"/>
          <w:docGrid w:linePitch="462" w:charSpace="0"/>
        </w:sectPr>
      </w:pPr>
    </w:p>
    <w:p w14:paraId="54E9308A">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50CFDD41">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合肥文旅博览集团</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rPr>
        <w:t>合肥滨湖国际会展中心二期（含二期新建及一期提升改造）智能化及智慧会展工程</w:t>
      </w:r>
      <w:r>
        <w:rPr>
          <w:rFonts w:hint="eastAsia" w:asciiTheme="majorEastAsia" w:hAnsiTheme="majorEastAsia" w:eastAsiaTheme="majorEastAsia" w:cstheme="majorEastAsia"/>
          <w:sz w:val="21"/>
          <w:szCs w:val="21"/>
          <w:u w:val="single"/>
          <w:lang w:val="en-US" w:eastAsia="zh-CN"/>
        </w:rPr>
        <w:t>，</w:t>
      </w:r>
      <w:r>
        <w:rPr>
          <w:rFonts w:hint="eastAsia" w:ascii="Times New Roman" w:hAnsi="Times New Roman" w:cs="Times New Roman"/>
          <w:bCs/>
          <w:color w:val="000000"/>
          <w:sz w:val="21"/>
          <w:szCs w:val="21"/>
          <w:u w:val="single"/>
        </w:rPr>
        <w:t>智慧会展系统等级保护测评</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14:paraId="3A92D4F6">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6398BB28">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2024WLBLZB00035号</w:t>
      </w:r>
    </w:p>
    <w:p w14:paraId="3B8A904E">
      <w:pPr>
        <w:tabs>
          <w:tab w:val="left" w:pos="2410"/>
        </w:tabs>
        <w:autoSpaceDE w:val="0"/>
        <w:autoSpaceDN w:val="0"/>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合肥滨湖国际会展中心二期（含一期提升改造部分）智能化硬件和智慧软件检测项目</w:t>
      </w:r>
      <w:r>
        <w:rPr>
          <w:rFonts w:hint="eastAsia" w:asciiTheme="majorEastAsia" w:hAnsiTheme="majorEastAsia" w:eastAsiaTheme="majorEastAsia" w:cstheme="majorEastAsia"/>
          <w:sz w:val="21"/>
          <w:szCs w:val="21"/>
          <w:u w:val="single"/>
          <w:lang w:val="en-US" w:eastAsia="zh-CN"/>
        </w:rPr>
        <w:t>，</w:t>
      </w:r>
      <w:r>
        <w:rPr>
          <w:rFonts w:hint="eastAsia" w:asciiTheme="majorEastAsia" w:hAnsiTheme="majorEastAsia" w:eastAsiaTheme="majorEastAsia" w:cstheme="majorEastAsia"/>
          <w:sz w:val="21"/>
          <w:szCs w:val="21"/>
          <w:u w:val="single"/>
        </w:rPr>
        <w:t>智慧会展系统等级保护测评</w:t>
      </w:r>
    </w:p>
    <w:p w14:paraId="2A02769A">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heme="majorEastAsia" w:hAnsiTheme="majorEastAsia" w:eastAsiaTheme="majorEastAsia" w:cstheme="majorEastAsia"/>
          <w:sz w:val="21"/>
          <w:szCs w:val="21"/>
          <w:u w:val="single"/>
          <w:lang w:eastAsia="zh-CN"/>
        </w:rPr>
        <w:t>合肥滨湖国际会展中心</w:t>
      </w:r>
      <w:r>
        <w:rPr>
          <w:rFonts w:ascii="Times New Roman" w:hAnsi="Times New Roman" w:cs="Times New Roman"/>
          <w:bCs/>
          <w:color w:val="000000"/>
          <w:sz w:val="21"/>
          <w:szCs w:val="21"/>
          <w:u w:val="single"/>
        </w:rPr>
        <w:t xml:space="preserve">     </w:t>
      </w:r>
    </w:p>
    <w:p w14:paraId="42CC090B">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w:t>
      </w:r>
      <w:r>
        <w:rPr>
          <w:rFonts w:hint="eastAsia" w:asciiTheme="majorEastAsia" w:hAnsiTheme="majorEastAsia" w:eastAsiaTheme="majorEastAsia" w:cstheme="majorEastAsia"/>
          <w:sz w:val="21"/>
          <w:szCs w:val="21"/>
          <w:u w:val="single"/>
          <w:lang w:val="en-US" w:eastAsia="zh-CN"/>
        </w:rPr>
        <w:t>文旅博览集团</w:t>
      </w:r>
      <w:r>
        <w:rPr>
          <w:rFonts w:hint="eastAsia" w:asciiTheme="majorEastAsia" w:hAnsiTheme="majorEastAsia" w:eastAsiaTheme="majorEastAsia" w:cstheme="majorEastAsia"/>
          <w:sz w:val="21"/>
          <w:szCs w:val="21"/>
          <w:u w:val="single"/>
          <w:lang w:eastAsia="zh-CN"/>
        </w:rPr>
        <w:t>有限公司</w:t>
      </w:r>
    </w:p>
    <w:p w14:paraId="317D4992">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rPr>
        <w:t>智慧会展系统等级保护测评</w:t>
      </w:r>
      <w:r>
        <w:rPr>
          <w:rFonts w:hint="eastAsia" w:asciiTheme="majorEastAsia" w:hAnsiTheme="majorEastAsia" w:eastAsiaTheme="majorEastAsia" w:cstheme="majorEastAsia"/>
          <w:sz w:val="21"/>
          <w:szCs w:val="21"/>
          <w:u w:val="single"/>
          <w:lang w:eastAsia="zh-CN"/>
        </w:rPr>
        <w:t>（</w:t>
      </w:r>
      <w:r>
        <w:rPr>
          <w:rFonts w:hint="eastAsia" w:asciiTheme="majorEastAsia" w:hAnsiTheme="majorEastAsia" w:eastAsiaTheme="majorEastAsia" w:cstheme="majorEastAsia"/>
          <w:sz w:val="21"/>
          <w:szCs w:val="21"/>
          <w:u w:val="single"/>
        </w:rPr>
        <w:t>详见第</w:t>
      </w:r>
      <w:r>
        <w:rPr>
          <w:rFonts w:hint="eastAsia" w:asciiTheme="majorEastAsia" w:hAnsiTheme="majorEastAsia" w:eastAsiaTheme="majorEastAsia" w:cstheme="majorEastAsia"/>
          <w:sz w:val="21"/>
          <w:szCs w:val="21"/>
          <w:u w:val="single"/>
          <w:lang w:val="en-US" w:eastAsia="zh-CN"/>
        </w:rPr>
        <w:t>三</w:t>
      </w:r>
      <w:r>
        <w:rPr>
          <w:rFonts w:hint="eastAsia" w:asciiTheme="majorEastAsia" w:hAnsiTheme="majorEastAsia" w:eastAsiaTheme="majorEastAsia" w:cstheme="majorEastAsia"/>
          <w:sz w:val="21"/>
          <w:szCs w:val="21"/>
          <w:u w:val="single"/>
        </w:rPr>
        <w:t>章“</w:t>
      </w:r>
      <w:r>
        <w:rPr>
          <w:rFonts w:hint="eastAsia" w:asciiTheme="majorEastAsia" w:hAnsiTheme="majorEastAsia" w:eastAsiaTheme="majorEastAsia" w:cstheme="majorEastAsia"/>
          <w:sz w:val="21"/>
          <w:szCs w:val="21"/>
          <w:u w:val="single"/>
          <w:lang w:val="en-US" w:eastAsia="zh-CN"/>
        </w:rPr>
        <w:t>招标</w:t>
      </w:r>
      <w:r>
        <w:rPr>
          <w:rFonts w:hint="eastAsia" w:asciiTheme="majorEastAsia" w:hAnsiTheme="majorEastAsia" w:eastAsiaTheme="majorEastAsia" w:cstheme="majorEastAsia"/>
          <w:sz w:val="21"/>
          <w:szCs w:val="21"/>
          <w:u w:val="single"/>
        </w:rPr>
        <w:t>人要求”</w:t>
      </w:r>
      <w:r>
        <w:rPr>
          <w:rFonts w:hint="eastAsia" w:asciiTheme="majorEastAsia" w:hAnsiTheme="majorEastAsia" w:eastAsiaTheme="majorEastAsia" w:cstheme="majorEastAsia"/>
          <w:sz w:val="21"/>
          <w:szCs w:val="21"/>
          <w:u w:val="single"/>
          <w:lang w:eastAsia="zh-CN"/>
        </w:rPr>
        <w:t>）</w:t>
      </w:r>
      <w:r>
        <w:rPr>
          <w:rFonts w:ascii="Times New Roman" w:hAnsi="Times New Roman" w:cs="Times New Roman"/>
          <w:bCs/>
          <w:color w:val="000000"/>
          <w:sz w:val="21"/>
          <w:szCs w:val="21"/>
          <w:u w:val="single"/>
        </w:rPr>
        <w:t xml:space="preserve"> </w:t>
      </w:r>
    </w:p>
    <w:p w14:paraId="5BB9018B">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eastAsiaTheme="majorEastAsia"/>
          <w:bCs/>
          <w:color w:val="000000"/>
          <w:sz w:val="21"/>
          <w:szCs w:val="21"/>
          <w:u w:val="single"/>
          <w:lang w:val="en-US" w:eastAsia="zh-CN"/>
        </w:rPr>
        <w:commentReference w:id="0"/>
      </w:r>
      <w:r>
        <w:rPr>
          <w:rFonts w:hint="eastAsia" w:ascii="Times New Roman" w:hAnsi="Times New Roman" w:cs="Times New Roman"/>
          <w:bCs/>
          <w:color w:val="000000"/>
          <w:sz w:val="21"/>
          <w:szCs w:val="21"/>
          <w:u w:val="single"/>
          <w:lang w:val="en-US" w:eastAsia="zh-CN"/>
        </w:rPr>
        <w:t xml:space="preserve">自筹    </w:t>
      </w:r>
      <w:r>
        <w:rPr>
          <w:rFonts w:hint="eastAsia" w:ascii="Times New Roman" w:hAnsi="Times New Roman" w:cs="Times New Roman" w:eastAsiaTheme="majorEastAsia"/>
          <w:bCs/>
          <w:color w:val="000000"/>
          <w:sz w:val="21"/>
          <w:szCs w:val="21"/>
          <w:u w:val="single"/>
          <w:lang w:val="en-US" w:eastAsia="zh-CN"/>
        </w:rPr>
        <w:t xml:space="preserve"> </w:t>
      </w:r>
      <w:r>
        <w:rPr>
          <w:rFonts w:ascii="Times New Roman" w:hAnsi="Times New Roman" w:cs="Times New Roman"/>
          <w:bCs/>
          <w:color w:val="000000"/>
          <w:sz w:val="21"/>
          <w:szCs w:val="21"/>
          <w:u w:val="single"/>
        </w:rPr>
        <w:t xml:space="preserve"> </w:t>
      </w:r>
    </w:p>
    <w:p w14:paraId="66FC7A9C">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9万元</w:t>
      </w:r>
      <w:r>
        <w:rPr>
          <w:rFonts w:ascii="Times New Roman" w:hAnsi="Times New Roman" w:cs="Times New Roman"/>
          <w:bCs/>
          <w:color w:val="000000"/>
          <w:sz w:val="21"/>
          <w:szCs w:val="21"/>
          <w:u w:val="single"/>
        </w:rPr>
        <w:t xml:space="preserve">      </w:t>
      </w:r>
    </w:p>
    <w:p w14:paraId="15D93D43">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6CDC8874">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D5B11DE">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02A86B20">
      <w:pPr>
        <w:spacing w:line="360" w:lineRule="auto"/>
        <w:ind w:firstLine="420" w:firstLineChars="200"/>
        <w:rPr>
          <w:rFonts w:hint="eastAsia" w:asciiTheme="majorEastAsia" w:hAnsiTheme="majorEastAsia" w:eastAsiaTheme="majorEastAsia" w:cstheme="majorEastAsia"/>
          <w:b/>
          <w:bCs/>
          <w:i/>
          <w:iCs/>
          <w:color w:val="FF0000"/>
          <w:sz w:val="21"/>
          <w:szCs w:val="21"/>
          <w:lang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b/>
          <w:bCs/>
          <w:i/>
          <w:iCs/>
          <w:color w:val="auto"/>
          <w:sz w:val="21"/>
          <w:szCs w:val="21"/>
          <w:lang w:val="en-US" w:eastAsia="zh-CN"/>
        </w:rPr>
        <w:t>/</w:t>
      </w:r>
    </w:p>
    <w:p w14:paraId="5D2A937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3.投标人业绩要求：</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日以来（以合同签订时间为准），投标人须具有</w:t>
      </w:r>
      <w:r>
        <w:rPr>
          <w:rFonts w:hint="eastAsia" w:ascii="Times New Roman" w:hAnsi="Times New Roman" w:cs="Times New Roman"/>
          <w:bCs/>
          <w:snapToGrid w:val="0"/>
          <w:sz w:val="21"/>
          <w:szCs w:val="21"/>
          <w:lang w:val="en-US" w:eastAsia="zh-CN"/>
        </w:rPr>
        <w:t>三级</w:t>
      </w:r>
      <w:r>
        <w:rPr>
          <w:rFonts w:hint="eastAsia" w:ascii="Times New Roman" w:hAnsi="Times New Roman" w:cs="Times New Roman"/>
          <w:bCs/>
          <w:snapToGrid w:val="0"/>
          <w:sz w:val="21"/>
          <w:szCs w:val="21"/>
        </w:rPr>
        <w:t>等保测评服务业绩</w:t>
      </w:r>
      <w:r>
        <w:rPr>
          <w:rFonts w:ascii="Times New Roman" w:hAnsi="Times New Roman" w:cs="Times New Roman"/>
          <w:bCs/>
          <w:snapToGrid w:val="0"/>
          <w:sz w:val="21"/>
          <w:szCs w:val="21"/>
        </w:rPr>
        <w:t>。</w:t>
      </w:r>
    </w:p>
    <w:p w14:paraId="45D5369F">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b/>
          <w:bCs/>
          <w:i/>
          <w:iCs/>
          <w:color w:val="auto"/>
          <w:sz w:val="21"/>
          <w:szCs w:val="21"/>
          <w:lang w:val="en-US" w:eastAsia="zh-CN"/>
        </w:rPr>
        <w:t>/</w:t>
      </w:r>
    </w:p>
    <w:p w14:paraId="168B4650">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auto"/>
          <w:sz w:val="21"/>
          <w:szCs w:val="21"/>
        </w:rPr>
        <w:t>不接受</w:t>
      </w:r>
      <w:r>
        <w:rPr>
          <w:rFonts w:hint="eastAsia" w:asciiTheme="majorEastAsia" w:hAnsiTheme="majorEastAsia" w:eastAsiaTheme="majorEastAsia" w:cstheme="majorEastAsia"/>
          <w:sz w:val="21"/>
          <w:szCs w:val="21"/>
        </w:rPr>
        <w:t>联合体投标。联合体投标的，应满足下列要求：</w:t>
      </w:r>
    </w:p>
    <w:p w14:paraId="1983AD64">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14:paraId="5DFCEB0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707AD3B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207B795D">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6039948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282BDED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3014EF8B">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2C5AFEA4">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    </w:t>
      </w:r>
      <w:r>
        <w:rPr>
          <w:rFonts w:hint="eastAsia" w:asciiTheme="majorEastAsia" w:hAnsiTheme="majorEastAsia" w:eastAsiaTheme="majorEastAsia" w:cstheme="majorEastAsia"/>
          <w:sz w:val="21"/>
          <w:szCs w:val="21"/>
        </w:rPr>
        <w:t>。</w:t>
      </w:r>
    </w:p>
    <w:p w14:paraId="1A08A06F">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08B6816D">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6F217771">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01AA27F2">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hint="eastAsia" w:ascii="Times New Roman" w:hAnsi="Times New Roman" w:cs="Times New Roman"/>
          <w:bCs/>
          <w:snapToGrid w:val="0"/>
          <w:color w:val="auto"/>
          <w:sz w:val="21"/>
          <w:lang w:val="en-US" w:eastAsia="zh-CN"/>
        </w:rPr>
        <w:t>361923526</w:t>
      </w:r>
      <w:r>
        <w:rPr>
          <w:rFonts w:ascii="Times New Roman" w:hAnsi="Times New Roman" w:cs="Times New Roman"/>
          <w:bCs/>
          <w:snapToGrid w:val="0"/>
          <w:color w:val="auto"/>
          <w:sz w:val="21"/>
        </w:rPr>
        <w:t>@qq.com</w:t>
      </w:r>
      <w:r>
        <w:rPr>
          <w:rFonts w:ascii="Times New Roman" w:hAnsi="Times New Roman" w:cs="Times New Roman"/>
          <w:bCs/>
          <w:snapToGrid w:val="0"/>
          <w:color w:val="auto"/>
          <w:sz w:val="21"/>
        </w:rPr>
        <w:fldChar w:fldCharType="end"/>
      </w:r>
    </w:p>
    <w:p w14:paraId="37F96962">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7EE2D8F4">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362D66C1">
      <w:pPr>
        <w:spacing w:line="360" w:lineRule="auto"/>
        <w:ind w:firstLine="435"/>
        <w:rPr>
          <w:rFonts w:hint="eastAsia" w:ascii="Times New Roman" w:hAnsi="Times New Roman" w:eastAsia="宋体" w:cs="Times New Roman"/>
          <w:bCs/>
          <w:snapToGrid w:val="0"/>
          <w:sz w:val="21"/>
          <w:szCs w:val="21"/>
          <w:u w:val="single"/>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bCs/>
          <w:snapToGrid w:val="0"/>
          <w:kern w:val="0"/>
          <w:sz w:val="21"/>
          <w:szCs w:val="21"/>
          <w:u w:val="single"/>
        </w:rPr>
        <w:t xml:space="preserve"> 合肥文旅博览集团有限公司</w:t>
      </w:r>
      <w:r>
        <w:rPr>
          <w:rFonts w:hint="default" w:ascii="Times New Roman" w:hAnsi="Times New Roman" w:cs="Times New Roman"/>
          <w:bCs/>
          <w:snapToGrid w:val="0"/>
          <w:kern w:val="0"/>
          <w:sz w:val="21"/>
          <w:szCs w:val="21"/>
          <w:u w:val="single"/>
          <w:lang w:val="en-US" w:eastAsia="zh-CN"/>
        </w:rPr>
        <w:t>3楼多功能厅</w:t>
      </w:r>
    </w:p>
    <w:p w14:paraId="2A56251C">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56455051">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714F9608">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6F307274">
      <w:pPr>
        <w:spacing w:line="360" w:lineRule="auto"/>
        <w:ind w:firstLine="435"/>
        <w:rPr>
          <w:rFonts w:ascii="Times New Roman" w:hAnsi="Times New Roman" w:cs="Times New Roman" w:eastAsiaTheme="minorEastAsia"/>
          <w:color w:val="auto"/>
          <w:sz w:val="21"/>
          <w:szCs w:val="21"/>
        </w:rPr>
      </w:pPr>
      <w:bookmarkStart w:id="9" w:name="_Toc12504"/>
      <w:r>
        <w:rPr>
          <w:rFonts w:ascii="Times New Roman" w:hAnsi="Times New Roman" w:cs="Times New Roman" w:eastAsiaTheme="minorEastAsia"/>
          <w:color w:val="auto"/>
          <w:sz w:val="21"/>
          <w:szCs w:val="21"/>
        </w:rPr>
        <w:t>1.招标人</w:t>
      </w:r>
    </w:p>
    <w:p w14:paraId="08C0E242">
      <w:pPr>
        <w:spacing w:line="360" w:lineRule="auto"/>
        <w:ind w:firstLine="435"/>
        <w:rPr>
          <w:rFonts w:hint="eastAsia" w:ascii="宋体" w:hAnsi="宋体" w:cs="宋体" w:eastAsiaTheme="minorEastAsia"/>
          <w:color w:val="auto"/>
          <w:kern w:val="0"/>
          <w:sz w:val="21"/>
          <w:szCs w:val="21"/>
          <w:u w:val="single"/>
          <w:lang w:val="en-US" w:eastAsia="zh-CN"/>
        </w:rPr>
      </w:pPr>
      <w:r>
        <w:rPr>
          <w:rFonts w:ascii="Times New Roman" w:hAnsi="Times New Roman" w:cs="Times New Roman" w:eastAsiaTheme="minorEastAsia"/>
          <w:color w:val="auto"/>
          <w:sz w:val="21"/>
          <w:szCs w:val="21"/>
        </w:rPr>
        <w:t>招标人：</w:t>
      </w:r>
      <w:r>
        <w:rPr>
          <w:rFonts w:hint="eastAsia" w:ascii="宋体" w:hAnsi="宋体" w:cs="宋体"/>
          <w:color w:val="auto"/>
          <w:kern w:val="0"/>
          <w:sz w:val="21"/>
          <w:szCs w:val="21"/>
          <w:u w:val="single"/>
          <w:lang w:val="en-US" w:eastAsia="zh-CN"/>
        </w:rPr>
        <w:t>合肥文旅博览集团有限公司</w:t>
      </w:r>
    </w:p>
    <w:p w14:paraId="7C4803A9">
      <w:pPr>
        <w:spacing w:line="360" w:lineRule="auto"/>
        <w:ind w:firstLine="435"/>
        <w:rPr>
          <w:rFonts w:hint="eastAsia" w:ascii="宋体" w:hAnsi="宋体" w:cs="宋体" w:eastAsiaTheme="minorEastAsia"/>
          <w:color w:val="auto"/>
          <w:kern w:val="0"/>
          <w:sz w:val="21"/>
          <w:szCs w:val="21"/>
          <w:u w:val="single"/>
        </w:rPr>
      </w:pPr>
      <w:r>
        <w:rPr>
          <w:rFonts w:ascii="Times New Roman" w:hAnsi="Times New Roman" w:cs="Times New Roman" w:eastAsiaTheme="minorEastAsia"/>
          <w:color w:val="auto"/>
          <w:sz w:val="21"/>
          <w:szCs w:val="21"/>
        </w:rPr>
        <w:t>地  址：</w:t>
      </w:r>
      <w:r>
        <w:rPr>
          <w:rFonts w:ascii="Times New Roman" w:hAnsi="Times New Roman" w:cs="Times New Roman" w:eastAsiaTheme="minorEastAsia"/>
          <w:color w:val="auto"/>
          <w:sz w:val="21"/>
          <w:szCs w:val="21"/>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 w:val="21"/>
          <w:szCs w:val="21"/>
          <w:u w:val="single"/>
        </w:rPr>
        <w:t xml:space="preserve"> </w:t>
      </w:r>
    </w:p>
    <w:p w14:paraId="3AF7B2C0">
      <w:pPr>
        <w:spacing w:line="360" w:lineRule="auto"/>
        <w:ind w:firstLine="435"/>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联系人：</w:t>
      </w:r>
      <w:r>
        <w:rPr>
          <w:rFonts w:ascii="Times New Roman" w:hAnsi="Times New Roman" w:cs="Times New Roman" w:eastAsiaTheme="minorEastAsia"/>
          <w:color w:val="auto"/>
          <w:sz w:val="21"/>
          <w:szCs w:val="21"/>
          <w:u w:val="single"/>
        </w:rPr>
        <w:t xml:space="preserve">   </w:t>
      </w:r>
      <w:r>
        <w:rPr>
          <w:rFonts w:hint="eastAsia" w:ascii="Times New Roman" w:hAnsi="Times New Roman" w:cs="Times New Roman"/>
          <w:color w:val="auto"/>
          <w:sz w:val="21"/>
          <w:szCs w:val="21"/>
          <w:u w:val="single"/>
          <w:lang w:val="en-US" w:eastAsia="zh-CN"/>
        </w:rPr>
        <w:t>汪工</w:t>
      </w:r>
      <w:r>
        <w:rPr>
          <w:rFonts w:ascii="Times New Roman" w:hAnsi="Times New Roman" w:cs="Times New Roman" w:eastAsiaTheme="minorEastAsia"/>
          <w:color w:val="auto"/>
          <w:sz w:val="21"/>
          <w:szCs w:val="21"/>
          <w:u w:val="single"/>
        </w:rPr>
        <w:t xml:space="preserve">       </w:t>
      </w:r>
    </w:p>
    <w:p w14:paraId="25230F82">
      <w:pPr>
        <w:spacing w:line="360" w:lineRule="auto"/>
        <w:ind w:firstLine="435"/>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电  话：</w:t>
      </w:r>
      <w:r>
        <w:rPr>
          <w:rFonts w:ascii="Times New Roman" w:hAnsi="Times New Roman" w:cs="Times New Roman" w:eastAsiaTheme="minorEastAsia"/>
          <w:color w:val="auto"/>
          <w:sz w:val="21"/>
          <w:szCs w:val="21"/>
          <w:u w:val="single"/>
        </w:rPr>
        <w:t xml:space="preserve">  </w:t>
      </w:r>
      <w:r>
        <w:rPr>
          <w:rFonts w:hint="eastAsia" w:ascii="Times New Roman" w:hAnsi="Times New Roman" w:cs="Times New Roman"/>
          <w:color w:val="auto"/>
          <w:sz w:val="21"/>
          <w:szCs w:val="21"/>
          <w:u w:val="single"/>
          <w:lang w:val="en-US" w:eastAsia="zh-CN"/>
        </w:rPr>
        <w:t>0551-63530687</w:t>
      </w:r>
      <w:r>
        <w:rPr>
          <w:rFonts w:ascii="Times New Roman" w:hAnsi="Times New Roman" w:cs="Times New Roman" w:eastAsiaTheme="minorEastAsia"/>
          <w:color w:val="auto"/>
          <w:sz w:val="21"/>
          <w:szCs w:val="21"/>
          <w:u w:val="single"/>
        </w:rPr>
        <w:t xml:space="preserve">  </w:t>
      </w:r>
    </w:p>
    <w:p w14:paraId="4617B92E">
      <w:pPr>
        <w:spacing w:line="360" w:lineRule="auto"/>
        <w:ind w:firstLine="435"/>
        <w:rPr>
          <w:rFonts w:ascii="Times New Roman" w:hAnsi="Times New Roman" w:cs="Times New Roman" w:eastAsiaTheme="minorEastAsia"/>
          <w:b/>
          <w:color w:val="auto"/>
          <w:sz w:val="21"/>
          <w:szCs w:val="21"/>
        </w:rPr>
      </w:pPr>
      <w:r>
        <w:rPr>
          <w:rFonts w:hint="eastAsia" w:ascii="Times New Roman" w:hAnsi="Times New Roman" w:cs="Times New Roman" w:eastAsiaTheme="minorEastAsia"/>
          <w:color w:val="auto"/>
          <w:sz w:val="21"/>
          <w:szCs w:val="21"/>
        </w:rPr>
        <w:t>2</w:t>
      </w:r>
      <w:r>
        <w:rPr>
          <w:rFonts w:ascii="Times New Roman" w:hAnsi="Times New Roman" w:cs="Times New Roman" w:eastAsiaTheme="minorEastAsia"/>
          <w:b/>
          <w:color w:val="auto"/>
          <w:sz w:val="21"/>
          <w:szCs w:val="21"/>
        </w:rPr>
        <w:t>.</w:t>
      </w:r>
      <w:r>
        <w:rPr>
          <w:rFonts w:ascii="Times New Roman" w:hAnsi="Times New Roman" w:cs="Times New Roman" w:eastAsiaTheme="minorEastAsia"/>
          <w:color w:val="auto"/>
          <w:sz w:val="21"/>
          <w:szCs w:val="21"/>
        </w:rPr>
        <w:t>监督管理部门</w:t>
      </w:r>
    </w:p>
    <w:p w14:paraId="6E954970">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ascii="Times New Roman" w:hAnsi="Times New Roman" w:eastAsia="宋体" w:cs="Times New Roman"/>
          <w:bCs/>
          <w:snapToGrid w:val="0"/>
          <w:color w:val="auto"/>
          <w:kern w:val="0"/>
          <w:sz w:val="21"/>
          <w:szCs w:val="21"/>
        </w:rPr>
        <w:t>监督管理部门：</w:t>
      </w:r>
      <w:r>
        <w:rPr>
          <w:rFonts w:ascii="Times New Roman" w:hAnsi="Times New Roman" w:cs="Times New Roman" w:eastAsiaTheme="minorEastAsia"/>
          <w:color w:val="auto"/>
          <w:sz w:val="21"/>
          <w:szCs w:val="21"/>
          <w:u w:val="single"/>
        </w:rPr>
        <w:t xml:space="preserve">  </w:t>
      </w:r>
      <w:r>
        <w:rPr>
          <w:rFonts w:hint="eastAsia" w:ascii="Times New Roman" w:hAnsi="Times New Roman" w:cs="Times New Roman" w:eastAsiaTheme="minorEastAsia"/>
          <w:color w:val="auto"/>
          <w:sz w:val="21"/>
          <w:szCs w:val="21"/>
          <w:u w:val="single"/>
        </w:rPr>
        <w:t>合肥文旅博览集团有限公司纪委纪检监察室</w:t>
      </w:r>
      <w:r>
        <w:rPr>
          <w:rFonts w:ascii="Times New Roman" w:hAnsi="Times New Roman" w:cs="Times New Roman" w:eastAsiaTheme="minorEastAsia"/>
          <w:color w:val="auto"/>
          <w:sz w:val="21"/>
          <w:szCs w:val="21"/>
          <w:u w:val="single"/>
        </w:rPr>
        <w:t xml:space="preserve">        </w:t>
      </w:r>
    </w:p>
    <w:p w14:paraId="7964D40A">
      <w:pPr>
        <w:widowControl/>
        <w:spacing w:line="500" w:lineRule="exact"/>
        <w:ind w:firstLine="420" w:firstLineChars="200"/>
        <w:jc w:val="left"/>
        <w:rPr>
          <w:rFonts w:ascii="Times New Roman" w:hAnsi="Times New Roman" w:eastAsia="宋体" w:cs="Times New Roman"/>
          <w:bCs/>
          <w:snapToGrid w:val="0"/>
          <w:color w:val="auto"/>
          <w:kern w:val="0"/>
          <w:sz w:val="21"/>
          <w:szCs w:val="21"/>
          <w:u w:val="single"/>
        </w:rPr>
      </w:pPr>
      <w:r>
        <w:rPr>
          <w:rFonts w:ascii="Times New Roman" w:hAnsi="Times New Roman" w:eastAsia="宋体" w:cs="Times New Roman"/>
          <w:bCs/>
          <w:snapToGrid w:val="0"/>
          <w:color w:val="auto"/>
          <w:kern w:val="0"/>
          <w:sz w:val="21"/>
          <w:szCs w:val="21"/>
        </w:rPr>
        <w:t>地  址：</w:t>
      </w:r>
      <w:r>
        <w:rPr>
          <w:rFonts w:ascii="Times New Roman" w:hAnsi="Times New Roman" w:cs="Times New Roman" w:eastAsiaTheme="minorEastAsia"/>
          <w:color w:val="auto"/>
          <w:sz w:val="21"/>
          <w:szCs w:val="21"/>
          <w:u w:val="single"/>
        </w:rPr>
        <w:t xml:space="preserve">  合肥市蜀山区习友路与茂荫路交口投资大厦二楼纪委纪检监察室   </w:t>
      </w:r>
    </w:p>
    <w:p w14:paraId="55BEFD7B">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ascii="Times New Roman" w:hAnsi="Times New Roman" w:eastAsia="宋体" w:cs="Times New Roman"/>
          <w:bCs/>
          <w:snapToGrid w:val="0"/>
          <w:color w:val="auto"/>
          <w:kern w:val="0"/>
          <w:sz w:val="21"/>
          <w:szCs w:val="21"/>
        </w:rPr>
        <w:t>电  话：</w:t>
      </w:r>
      <w:r>
        <w:rPr>
          <w:rFonts w:ascii="Times New Roman" w:hAnsi="Times New Roman" w:cs="Times New Roman" w:eastAsiaTheme="minorEastAsia"/>
          <w:color w:val="auto"/>
          <w:sz w:val="21"/>
          <w:szCs w:val="21"/>
          <w:u w:val="single"/>
        </w:rPr>
        <w:t xml:space="preserve">     </w:t>
      </w:r>
      <w:r>
        <w:rPr>
          <w:rFonts w:ascii="宋体" w:hAnsi="宋体" w:eastAsia="宋体" w:cs="宋体"/>
          <w:i w:val="0"/>
          <w:iCs w:val="0"/>
          <w:caps w:val="0"/>
          <w:color w:val="auto"/>
          <w:spacing w:val="0"/>
          <w:sz w:val="21"/>
          <w:szCs w:val="21"/>
          <w:u w:val="single"/>
        </w:rPr>
        <w:t>0551-63539209</w:t>
      </w:r>
      <w:r>
        <w:rPr>
          <w:rFonts w:ascii="Times New Roman" w:hAnsi="Times New Roman" w:cs="Times New Roman" w:eastAsiaTheme="minorEastAsia"/>
          <w:color w:val="auto"/>
          <w:sz w:val="21"/>
          <w:szCs w:val="21"/>
          <w:u w:val="single"/>
        </w:rPr>
        <w:t xml:space="preserve">      </w:t>
      </w:r>
    </w:p>
    <w:p w14:paraId="198A34DC">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14:paraId="37E0E34E">
      <w:pPr>
        <w:widowControl/>
        <w:spacing w:line="500" w:lineRule="exact"/>
        <w:ind w:firstLine="420" w:firstLineChars="200"/>
        <w:jc w:val="left"/>
        <w:rPr>
          <w:rFonts w:ascii="Times New Roman" w:hAnsi="Times New Roman" w:eastAsia="宋体" w:cs="Times New Roman"/>
          <w:bCs/>
          <w:snapToGrid w:val="0"/>
          <w:kern w:val="0"/>
          <w:sz w:val="21"/>
          <w:szCs w:val="21"/>
        </w:rPr>
      </w:pPr>
      <w:r>
        <w:rPr>
          <w:rFonts w:ascii="Times New Roman" w:hAnsi="Times New Roman" w:eastAsia="宋体" w:cs="Times New Roman"/>
          <w:bCs/>
          <w:snapToGrid w:val="0"/>
          <w:color w:val="auto"/>
          <w:kern w:val="0"/>
          <w:sz w:val="21"/>
          <w:szCs w:val="21"/>
        </w:rPr>
        <w:t>有任何疑问或问题，请在工作时间（周一至周五，上午</w:t>
      </w:r>
      <w:r>
        <w:rPr>
          <w:rFonts w:ascii="Times New Roman" w:hAnsi="Times New Roman" w:eastAsia="宋体" w:cs="Times New Roman"/>
          <w:bCs/>
          <w:snapToGrid w:val="0"/>
          <w:kern w:val="0"/>
          <w:sz w:val="21"/>
          <w:szCs w:val="21"/>
        </w:rPr>
        <w:t>08:00-12:00，下午2:30-5:30，节假日休息）与项目联系人联系。</w:t>
      </w:r>
    </w:p>
    <w:p w14:paraId="44F2997E">
      <w:pPr>
        <w:spacing w:line="360" w:lineRule="auto"/>
        <w:ind w:firstLine="435"/>
        <w:rPr>
          <w:rFonts w:ascii="Times New Roman" w:hAnsi="Times New Roman" w:cs="Times New Roman" w:eastAsiaTheme="minorEastAsia"/>
          <w:sz w:val="24"/>
          <w:szCs w:val="18"/>
        </w:rPr>
      </w:pPr>
    </w:p>
    <w:p w14:paraId="3EEDA25A">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9"/>
    </w:p>
    <w:p w14:paraId="28687045">
      <w:pPr>
        <w:spacing w:line="360" w:lineRule="auto"/>
        <w:jc w:val="center"/>
        <w:outlineLvl w:val="1"/>
        <w:rPr>
          <w:rFonts w:asciiTheme="minorEastAsia" w:hAnsiTheme="minorEastAsia" w:eastAsiaTheme="minorEastAsia"/>
          <w:b/>
          <w:sz w:val="24"/>
        </w:rPr>
      </w:pPr>
      <w:bookmarkStart w:id="10"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0"/>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Change w:id="0">
          <w:tblGrid>
            <w:gridCol w:w="948"/>
            <w:gridCol w:w="1395"/>
            <w:gridCol w:w="6179"/>
          </w:tblGrid>
        </w:tblGridChange>
      </w:tblGrid>
      <w:tr w14:paraId="15E7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56" w:type="pct"/>
            <w:vAlign w:val="center"/>
          </w:tcPr>
          <w:p w14:paraId="0802C1AA">
            <w:pPr>
              <w:pStyle w:val="69"/>
              <w:keepNext w:val="0"/>
              <w:keepLines w:val="0"/>
              <w:widowControl w:val="0"/>
              <w:suppressLineNumbers w:val="0"/>
              <w:spacing w:before="0" w:beforeAutospacing="0" w:after="0" w:afterAutospacing="0" w:line="360" w:lineRule="auto"/>
              <w:ind w:left="0" w:right="0"/>
              <w:rPr>
                <w:rFonts w:hint="default" w:cs="宋体"/>
                <w:bCs w:val="0"/>
                <w:kern w:val="2"/>
                <w:sz w:val="21"/>
                <w:szCs w:val="21"/>
              </w:rPr>
            </w:pPr>
            <w:r>
              <w:rPr>
                <w:rFonts w:hint="eastAsia" w:cs="宋体"/>
                <w:bCs w:val="0"/>
                <w:kern w:val="2"/>
                <w:sz w:val="21"/>
                <w:szCs w:val="21"/>
              </w:rPr>
              <w:t>条款号</w:t>
            </w:r>
          </w:p>
        </w:tc>
        <w:tc>
          <w:tcPr>
            <w:tcW w:w="818" w:type="pct"/>
            <w:vAlign w:val="center"/>
          </w:tcPr>
          <w:p w14:paraId="7D18E1D5">
            <w:pPr>
              <w:pStyle w:val="69"/>
              <w:keepNext w:val="0"/>
              <w:keepLines w:val="0"/>
              <w:widowControl w:val="0"/>
              <w:suppressLineNumbers w:val="0"/>
              <w:spacing w:before="0" w:beforeAutospacing="0" w:after="0" w:afterAutospacing="0" w:line="360" w:lineRule="auto"/>
              <w:ind w:left="0" w:right="0"/>
              <w:rPr>
                <w:rFonts w:hint="default" w:cs="宋体"/>
                <w:bCs w:val="0"/>
                <w:kern w:val="2"/>
                <w:sz w:val="21"/>
                <w:szCs w:val="21"/>
              </w:rPr>
            </w:pPr>
            <w:r>
              <w:rPr>
                <w:rFonts w:hint="eastAsia" w:cs="宋体"/>
                <w:bCs w:val="0"/>
                <w:kern w:val="2"/>
                <w:sz w:val="21"/>
                <w:szCs w:val="21"/>
              </w:rPr>
              <w:t>条款名称</w:t>
            </w:r>
          </w:p>
        </w:tc>
        <w:tc>
          <w:tcPr>
            <w:tcW w:w="3624" w:type="pct"/>
            <w:vAlign w:val="center"/>
          </w:tcPr>
          <w:p w14:paraId="0BCB22D8">
            <w:pPr>
              <w:pStyle w:val="69"/>
              <w:keepNext w:val="0"/>
              <w:keepLines w:val="0"/>
              <w:widowControl w:val="0"/>
              <w:suppressLineNumbers w:val="0"/>
              <w:spacing w:before="0" w:beforeAutospacing="0" w:after="0" w:afterAutospacing="0" w:line="360" w:lineRule="auto"/>
              <w:ind w:left="0" w:right="0"/>
              <w:rPr>
                <w:rFonts w:hint="default" w:cs="宋体"/>
                <w:bCs w:val="0"/>
                <w:kern w:val="2"/>
                <w:sz w:val="21"/>
                <w:szCs w:val="21"/>
              </w:rPr>
            </w:pPr>
            <w:r>
              <w:rPr>
                <w:rFonts w:hint="eastAsia" w:cs="宋体"/>
                <w:bCs w:val="0"/>
                <w:kern w:val="2"/>
                <w:sz w:val="21"/>
                <w:szCs w:val="21"/>
              </w:rPr>
              <w:t>内容、说明与要求</w:t>
            </w:r>
          </w:p>
        </w:tc>
      </w:tr>
      <w:tr w14:paraId="66AD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BEFBAF">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w:t>
            </w:r>
          </w:p>
        </w:tc>
        <w:tc>
          <w:tcPr>
            <w:tcW w:w="818" w:type="pct"/>
            <w:vAlign w:val="center"/>
          </w:tcPr>
          <w:p w14:paraId="277D5F26">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t>服务地点</w:t>
            </w:r>
          </w:p>
        </w:tc>
        <w:tc>
          <w:tcPr>
            <w:tcW w:w="3624" w:type="pct"/>
            <w:vAlign w:val="center"/>
          </w:tcPr>
          <w:p w14:paraId="46F411B4">
            <w:pPr>
              <w:pStyle w:val="69"/>
              <w:keepNext w:val="0"/>
              <w:keepLines w:val="0"/>
              <w:widowControl w:val="0"/>
              <w:suppressLineNumbers w:val="0"/>
              <w:spacing w:before="0" w:beforeAutospacing="0" w:after="0" w:afterAutospacing="0" w:line="360" w:lineRule="auto"/>
              <w:ind w:left="0" w:right="0"/>
              <w:jc w:val="both"/>
              <w:rPr>
                <w:rFonts w:hint="default" w:cs="宋体"/>
                <w:b w:val="0"/>
                <w:strike/>
                <w:kern w:val="2"/>
                <w:sz w:val="21"/>
                <w:szCs w:val="21"/>
              </w:rPr>
            </w:pPr>
            <w:r>
              <w:rPr>
                <w:rFonts w:hint="eastAsia" w:ascii="Times New Roman" w:hAnsi="Times New Roman" w:cs="Times New Roman" w:eastAsiaTheme="majorEastAsia"/>
                <w:b w:val="0"/>
                <w:bCs/>
                <w:color w:val="000000"/>
                <w:kern w:val="2"/>
                <w:sz w:val="21"/>
                <w:szCs w:val="21"/>
                <w:u w:val="none"/>
                <w:lang w:val="en-US" w:eastAsia="zh-CN" w:bidi="ar-SA"/>
              </w:rPr>
              <w:t>合肥滨湖国际会展中心</w:t>
            </w:r>
          </w:p>
        </w:tc>
      </w:tr>
      <w:tr w14:paraId="14BA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39FBB4D">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2</w:t>
            </w:r>
          </w:p>
        </w:tc>
        <w:tc>
          <w:tcPr>
            <w:tcW w:w="818" w:type="pct"/>
            <w:vAlign w:val="center"/>
          </w:tcPr>
          <w:p w14:paraId="57C530B4">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t>服务期限</w:t>
            </w:r>
          </w:p>
        </w:tc>
        <w:tc>
          <w:tcPr>
            <w:tcW w:w="3624" w:type="pct"/>
            <w:vAlign w:val="center"/>
          </w:tcPr>
          <w:p w14:paraId="1DBAB0F7">
            <w:pPr>
              <w:pStyle w:val="96"/>
              <w:keepNext w:val="0"/>
              <w:keepLines w:val="0"/>
              <w:suppressLineNumbers w:val="0"/>
              <w:tabs>
                <w:tab w:val="left" w:pos="1152"/>
              </w:tabs>
              <w:spacing w:before="0" w:beforeAutospacing="0" w:after="0" w:afterAutospacing="0" w:line="360" w:lineRule="auto"/>
              <w:ind w:left="0" w:right="0"/>
              <w:rPr>
                <w:rFonts w:hint="default" w:cs="宋体"/>
                <w:b/>
                <w:strike/>
                <w:kern w:val="2"/>
                <w:sz w:val="21"/>
                <w:szCs w:val="21"/>
              </w:rPr>
            </w:pPr>
            <w:r>
              <w:rPr>
                <w:rFonts w:hint="eastAsia" w:ascii="Times New Roman" w:hAnsi="Times New Roman" w:cs="Times New Roman" w:eastAsiaTheme="majorEastAsia"/>
                <w:bCs/>
                <w:color w:val="000000"/>
                <w:kern w:val="2"/>
                <w:sz w:val="21"/>
                <w:szCs w:val="21"/>
                <w:u w:val="none"/>
                <w:lang w:val="en-US" w:eastAsia="zh-CN"/>
              </w:rPr>
              <w:t>自合同签订之日起45个工作日完成合同约定的测评服务（不包括招标人整改时间）</w:t>
            </w:r>
          </w:p>
        </w:tc>
      </w:tr>
      <w:tr w14:paraId="5E12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691CE4F">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3</w:t>
            </w:r>
          </w:p>
        </w:tc>
        <w:tc>
          <w:tcPr>
            <w:tcW w:w="818" w:type="pct"/>
            <w:vAlign w:val="center"/>
          </w:tcPr>
          <w:p w14:paraId="73784A24">
            <w:pPr>
              <w:pStyle w:val="69"/>
              <w:keepNext w:val="0"/>
              <w:keepLines w:val="0"/>
              <w:widowControl w:val="0"/>
              <w:suppressLineNumbers w:val="0"/>
              <w:spacing w:before="0" w:beforeAutospacing="0" w:after="0" w:afterAutospacing="0" w:line="360" w:lineRule="auto"/>
              <w:ind w:left="0" w:right="0"/>
              <w:jc w:val="left"/>
              <w:rPr>
                <w:rFonts w:hint="default" w:cs="宋体"/>
                <w:b w:val="0"/>
                <w:kern w:val="2"/>
                <w:sz w:val="21"/>
                <w:szCs w:val="21"/>
              </w:rPr>
            </w:pPr>
            <w:r>
              <w:rPr>
                <w:rFonts w:hint="eastAsia" w:cs="宋体"/>
                <w:b w:val="0"/>
                <w:kern w:val="2"/>
                <w:sz w:val="21"/>
                <w:szCs w:val="21"/>
              </w:rPr>
              <w:t>现场踏勘</w:t>
            </w:r>
          </w:p>
        </w:tc>
        <w:tc>
          <w:tcPr>
            <w:tcW w:w="3624" w:type="pct"/>
            <w:vAlign w:val="center"/>
          </w:tcPr>
          <w:p w14:paraId="0AC5DDF0">
            <w:pPr>
              <w:keepNext w:val="0"/>
              <w:keepLines w:val="0"/>
              <w:suppressLineNumbers w:val="0"/>
              <w:spacing w:before="0" w:beforeAutospacing="0" w:after="0" w:afterAutospacing="0" w:line="360" w:lineRule="auto"/>
              <w:ind w:left="0" w:right="0"/>
              <w:rPr>
                <w:rFonts w:hint="default"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397DF436">
            <w:pPr>
              <w:keepNext w:val="0"/>
              <w:keepLines w:val="0"/>
              <w:suppressLineNumbers w:val="0"/>
              <w:spacing w:before="0" w:beforeAutospacing="0" w:after="0" w:afterAutospacing="0" w:line="360" w:lineRule="auto"/>
              <w:ind w:left="0" w:right="0"/>
              <w:rPr>
                <w:rFonts w:hint="default" w:cs="宋体"/>
                <w:bCs/>
                <w:kern w:val="2"/>
                <w:sz w:val="21"/>
                <w:szCs w:val="21"/>
              </w:rPr>
            </w:pPr>
            <w:r>
              <w:rPr>
                <w:rFonts w:hint="eastAsia" w:cs="宋体"/>
                <w:kern w:val="2"/>
                <w:sz w:val="21"/>
                <w:szCs w:val="21"/>
              </w:rPr>
              <w:t>□</w:t>
            </w:r>
            <w:r>
              <w:rPr>
                <w:rFonts w:hint="eastAsia" w:cs="宋体"/>
                <w:bCs/>
                <w:kern w:val="2"/>
                <w:sz w:val="21"/>
                <w:szCs w:val="21"/>
              </w:rPr>
              <w:t>集中组织</w:t>
            </w:r>
          </w:p>
          <w:p w14:paraId="6EBC7D39">
            <w:pPr>
              <w:keepNext w:val="0"/>
              <w:keepLines w:val="0"/>
              <w:suppressLineNumbers w:val="0"/>
              <w:spacing w:before="0" w:beforeAutospacing="0" w:after="0" w:afterAutospacing="0" w:line="360" w:lineRule="auto"/>
              <w:ind w:left="0" w:right="0"/>
              <w:rPr>
                <w:rFonts w:hint="default"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6CFB331C">
            <w:pPr>
              <w:keepNext w:val="0"/>
              <w:keepLines w:val="0"/>
              <w:suppressLineNumbers w:val="0"/>
              <w:spacing w:before="0" w:beforeAutospacing="0" w:after="0" w:afterAutospacing="0" w:line="360" w:lineRule="auto"/>
              <w:ind w:left="0" w:right="0"/>
              <w:rPr>
                <w:rFonts w:hint="default"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4C99114B">
            <w:pPr>
              <w:pStyle w:val="69"/>
              <w:keepNext w:val="0"/>
              <w:keepLines w:val="0"/>
              <w:widowControl w:val="0"/>
              <w:suppressLineNumbers w:val="0"/>
              <w:spacing w:before="0" w:beforeAutospacing="0" w:after="0" w:afterAutospacing="0" w:line="360" w:lineRule="auto"/>
              <w:ind w:left="0" w:right="0"/>
              <w:jc w:val="both"/>
              <w:rPr>
                <w:rFonts w:hint="default" w:cs="宋体"/>
                <w:kern w:val="2"/>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1A91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CC2FEDD">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4</w:t>
            </w:r>
          </w:p>
        </w:tc>
        <w:tc>
          <w:tcPr>
            <w:tcW w:w="818" w:type="pct"/>
            <w:vAlign w:val="center"/>
          </w:tcPr>
          <w:p w14:paraId="218354A3">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关于联合体参与投标的相关约定</w:t>
            </w:r>
          </w:p>
        </w:tc>
        <w:tc>
          <w:tcPr>
            <w:tcW w:w="3624" w:type="pct"/>
            <w:vAlign w:val="center"/>
          </w:tcPr>
          <w:p w14:paraId="36893AA0">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lang w:val="en-US" w:eastAsia="zh-CN"/>
              </w:rPr>
              <w:t>/</w:t>
            </w:r>
          </w:p>
        </w:tc>
      </w:tr>
      <w:tr w14:paraId="5F39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84DFC72">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5</w:t>
            </w:r>
          </w:p>
        </w:tc>
        <w:tc>
          <w:tcPr>
            <w:tcW w:w="818" w:type="pct"/>
            <w:vAlign w:val="center"/>
          </w:tcPr>
          <w:p w14:paraId="44C60AB7">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初审业绩要求（如有）</w:t>
            </w:r>
          </w:p>
        </w:tc>
        <w:tc>
          <w:tcPr>
            <w:tcW w:w="3624" w:type="pct"/>
            <w:vAlign w:val="center"/>
          </w:tcPr>
          <w:p w14:paraId="507E5252">
            <w:pPr>
              <w:keepNext w:val="0"/>
              <w:keepLines w:val="0"/>
              <w:suppressLineNumbers w:val="0"/>
              <w:spacing w:before="0" w:beforeAutospacing="0" w:after="0" w:afterAutospacing="0" w:line="360" w:lineRule="auto"/>
              <w:ind w:left="0" w:right="0"/>
              <w:rPr>
                <w:rFonts w:hint="eastAsia" w:ascii="Times New Roman" w:hAnsi="Times New Roman" w:cs="Times New Roman"/>
                <w:i/>
                <w:iCs/>
                <w:color w:val="FF0000"/>
                <w:kern w:val="2"/>
                <w:sz w:val="21"/>
                <w:szCs w:val="21"/>
                <w:lang w:val="en-US" w:eastAsia="zh-CN"/>
              </w:rPr>
            </w:pPr>
            <w:r>
              <w:rPr>
                <w:rFonts w:hint="eastAsia"/>
                <w:kern w:val="2"/>
                <w:sz w:val="21"/>
                <w:szCs w:val="21"/>
              </w:rPr>
              <w:t>投标人应按下列规定提供业绩证明资料：</w:t>
            </w:r>
          </w:p>
          <w:p w14:paraId="7789D884">
            <w:pPr>
              <w:keepNext w:val="0"/>
              <w:keepLines w:val="0"/>
              <w:suppressLineNumbers w:val="0"/>
              <w:spacing w:before="0" w:beforeAutospacing="0" w:after="0" w:afterAutospacing="0" w:line="360" w:lineRule="auto"/>
              <w:ind w:left="0" w:right="0"/>
              <w:rPr>
                <w:rFonts w:hint="default"/>
                <w:kern w:val="2"/>
                <w:sz w:val="21"/>
                <w:szCs w:val="21"/>
              </w:rPr>
            </w:pPr>
            <w:r>
              <w:rPr>
                <w:rFonts w:hint="eastAsia"/>
                <w:kern w:val="2"/>
                <w:sz w:val="21"/>
                <w:szCs w:val="21"/>
              </w:rPr>
              <w:t>已完成的业绩：投标文件中须提供以下业绩证明材料：</w:t>
            </w:r>
          </w:p>
          <w:p w14:paraId="72698221">
            <w:pPr>
              <w:keepNext w:val="0"/>
              <w:keepLines w:val="0"/>
              <w:suppressLineNumbers w:val="0"/>
              <w:spacing w:before="0" w:beforeAutospacing="0" w:after="0" w:afterAutospacing="0" w:line="360" w:lineRule="auto"/>
              <w:ind w:left="0" w:right="0"/>
              <w:rPr>
                <w:rFonts w:hint="default"/>
                <w:kern w:val="2"/>
                <w:sz w:val="21"/>
                <w:szCs w:val="21"/>
              </w:rPr>
            </w:pPr>
            <w:r>
              <w:rPr>
                <w:rFonts w:hint="eastAsia"/>
                <w:kern w:val="2"/>
                <w:sz w:val="21"/>
                <w:szCs w:val="21"/>
              </w:rPr>
              <w:t>业绩合同扫描件；</w:t>
            </w:r>
          </w:p>
          <w:p w14:paraId="62C3AD7B">
            <w:pPr>
              <w:keepNext w:val="0"/>
              <w:keepLines w:val="0"/>
              <w:suppressLineNumbers w:val="0"/>
              <w:spacing w:before="0" w:beforeAutospacing="0" w:after="0" w:afterAutospacing="0" w:line="360" w:lineRule="auto"/>
              <w:ind w:left="0" w:right="0"/>
              <w:rPr>
                <w:rFonts w:hint="default"/>
                <w:kern w:val="2"/>
                <w:sz w:val="21"/>
                <w:szCs w:val="21"/>
              </w:rPr>
            </w:pPr>
            <w:r>
              <w:rPr>
                <w:rFonts w:hint="eastAsia"/>
                <w:kern w:val="2"/>
                <w:sz w:val="21"/>
                <w:szCs w:val="21"/>
              </w:rPr>
              <w:t>已签订合同但尚未实施的业绩不予认可。即截至投标截止时间，项目如存在目前尚未开始履约、人员进场但尚未实质性开展、处于暂停等情况的，该业绩不予认可。</w:t>
            </w:r>
          </w:p>
          <w:p w14:paraId="48E25E6D">
            <w:pPr>
              <w:keepNext w:val="0"/>
              <w:keepLines w:val="0"/>
              <w:suppressLineNumbers w:val="0"/>
              <w:spacing w:before="0" w:beforeAutospacing="0" w:after="0" w:afterAutospacing="0" w:line="360" w:lineRule="auto"/>
              <w:ind w:left="0" w:right="0"/>
              <w:rPr>
                <w:rFonts w:hint="default"/>
                <w:kern w:val="2"/>
                <w:sz w:val="16"/>
                <w:szCs w:val="16"/>
              </w:rPr>
            </w:pPr>
            <w:r>
              <w:rPr>
                <w:rFonts w:hint="eastAsia"/>
                <w:kern w:val="2"/>
                <w:sz w:val="21"/>
                <w:szCs w:val="21"/>
              </w:rPr>
              <w:t>注：</w:t>
            </w:r>
            <w:r>
              <w:rPr>
                <w:rFonts w:hint="eastAsia"/>
                <w:kern w:val="2"/>
                <w:sz w:val="21"/>
                <w:szCs w:val="21"/>
                <w:lang w:val="en-US" w:eastAsia="zh-CN"/>
              </w:rPr>
              <w:t>业绩合同需加盖投标人公章。</w:t>
            </w:r>
            <w:r>
              <w:rPr>
                <w:rFonts w:hint="eastAsia"/>
                <w:kern w:val="2"/>
                <w:sz w:val="21"/>
                <w:szCs w:val="21"/>
              </w:rPr>
              <w:t>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64B0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412F492">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6</w:t>
            </w:r>
          </w:p>
        </w:tc>
        <w:tc>
          <w:tcPr>
            <w:tcW w:w="818" w:type="pct"/>
            <w:vAlign w:val="center"/>
          </w:tcPr>
          <w:p w14:paraId="5C041654">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投标人提出疑问截止时间</w:t>
            </w:r>
          </w:p>
        </w:tc>
        <w:tc>
          <w:tcPr>
            <w:tcW w:w="3624" w:type="pct"/>
          </w:tcPr>
          <w:p w14:paraId="60B98C2B">
            <w:pPr>
              <w:keepNext w:val="0"/>
              <w:keepLines w:val="0"/>
              <w:suppressLineNumbers w:val="0"/>
              <w:spacing w:before="0" w:beforeAutospacing="0" w:after="0" w:afterAutospacing="0" w:line="440" w:lineRule="exact"/>
              <w:ind w:left="0" w:right="0"/>
              <w:rPr>
                <w:rFonts w:hint="eastAsia" w:eastAsia="宋体" w:cs="宋体"/>
                <w:bCs/>
                <w:kern w:val="2"/>
                <w:sz w:val="21"/>
                <w:szCs w:val="21"/>
                <w:lang w:val="en-US" w:eastAsia="zh-CN"/>
              </w:rPr>
            </w:pPr>
            <w:r>
              <w:rPr>
                <w:rFonts w:hint="eastAsia" w:cs="宋体"/>
                <w:bCs/>
                <w:kern w:val="2"/>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8</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26</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lang w:val="en-US" w:eastAsia="zh-CN"/>
              </w:rPr>
              <w:t>30</w:t>
            </w:r>
            <w:r>
              <w:rPr>
                <w:rFonts w:hint="eastAsia" w:cs="宋体"/>
                <w:bCs/>
                <w:kern w:val="2"/>
                <w:sz w:val="21"/>
                <w:szCs w:val="21"/>
                <w:u w:val="single"/>
              </w:rPr>
              <w:t xml:space="preserve">  </w:t>
            </w:r>
            <w:r>
              <w:rPr>
                <w:rFonts w:hint="eastAsia" w:cs="宋体"/>
                <w:bCs/>
                <w:kern w:val="2"/>
                <w:sz w:val="21"/>
                <w:szCs w:val="21"/>
              </w:rPr>
              <w:t>分</w:t>
            </w:r>
          </w:p>
          <w:p w14:paraId="7B6B6080">
            <w:pPr>
              <w:keepNext w:val="0"/>
              <w:keepLines w:val="0"/>
              <w:suppressLineNumbers w:val="0"/>
              <w:spacing w:before="0" w:beforeAutospacing="0" w:after="0" w:afterAutospacing="0" w:line="440" w:lineRule="exact"/>
              <w:ind w:left="0" w:right="0"/>
              <w:rPr>
                <w:rFonts w:hint="default" w:cs="宋体"/>
                <w:bCs/>
                <w:kern w:val="2"/>
                <w:sz w:val="21"/>
                <w:szCs w:val="21"/>
              </w:rPr>
            </w:pPr>
            <w:r>
              <w:rPr>
                <w:rFonts w:hint="eastAsia" w:cs="宋体"/>
                <w:bCs/>
                <w:kern w:val="2"/>
                <w:sz w:val="21"/>
                <w:szCs w:val="21"/>
              </w:rPr>
              <w:t>（2）形式：</w:t>
            </w:r>
            <w:r>
              <w:rPr>
                <w:rFonts w:hint="default" w:ascii="Times New Roman" w:hAnsi="Times New Roman" w:cs="Times New Roman"/>
                <w:bCs/>
                <w:kern w:val="2"/>
                <w:sz w:val="21"/>
                <w:szCs w:val="21"/>
              </w:rPr>
              <w:t>通过</w:t>
            </w:r>
            <w:r>
              <w:rPr>
                <w:rFonts w:hint="default" w:ascii="Times New Roman" w:hAnsi="Times New Roman" w:cs="Times New Roman"/>
                <w:bCs/>
                <w:snapToGrid w:val="0"/>
                <w:color w:val="000000"/>
                <w:kern w:val="2"/>
                <w:sz w:val="21"/>
                <w:szCs w:val="22"/>
              </w:rPr>
              <w:t>邮箱</w:t>
            </w:r>
            <w:r>
              <w:rPr>
                <w:rFonts w:hint="eastAsia" w:ascii="Times New Roman" w:hAnsi="Times New Roman" w:cs="Times New Roman"/>
                <w:bCs/>
                <w:snapToGrid w:val="0"/>
                <w:color w:val="000000"/>
                <w:kern w:val="2"/>
                <w:sz w:val="21"/>
                <w:szCs w:val="22"/>
                <w:lang w:val="en-US" w:eastAsia="zh-CN"/>
              </w:rPr>
              <w:t>361923526</w:t>
            </w:r>
            <w:r>
              <w:rPr>
                <w:rFonts w:hint="default" w:ascii="Times New Roman" w:hAnsi="Times New Roman" w:cs="Times New Roman"/>
                <w:bCs/>
                <w:snapToGrid w:val="0"/>
                <w:color w:val="000000"/>
                <w:kern w:val="2"/>
                <w:sz w:val="21"/>
                <w:szCs w:val="22"/>
              </w:rPr>
              <w:t>@qq.com提交</w:t>
            </w:r>
          </w:p>
        </w:tc>
      </w:tr>
      <w:tr w14:paraId="43D0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8D0742D">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7</w:t>
            </w:r>
          </w:p>
        </w:tc>
        <w:tc>
          <w:tcPr>
            <w:tcW w:w="818" w:type="pct"/>
            <w:vAlign w:val="center"/>
          </w:tcPr>
          <w:p w14:paraId="3F9FE819">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其他材料</w:t>
            </w:r>
          </w:p>
        </w:tc>
        <w:tc>
          <w:tcPr>
            <w:tcW w:w="3624" w:type="pct"/>
            <w:vAlign w:val="center"/>
          </w:tcPr>
          <w:p w14:paraId="3368E676">
            <w:pPr>
              <w:keepNext w:val="0"/>
              <w:keepLines w:val="0"/>
              <w:suppressLineNumbers w:val="0"/>
              <w:adjustRightInd w:val="0"/>
              <w:snapToGrid w:val="0"/>
              <w:spacing w:before="0" w:beforeAutospacing="0" w:after="0" w:afterAutospacing="0" w:line="360" w:lineRule="auto"/>
              <w:ind w:left="0" w:right="0"/>
              <w:jc w:val="left"/>
              <w:rPr>
                <w:rFonts w:hint="default" w:cs="宋体"/>
                <w:bCs/>
                <w:kern w:val="2"/>
                <w:sz w:val="21"/>
                <w:szCs w:val="21"/>
              </w:rPr>
            </w:pPr>
            <w:r>
              <w:rPr>
                <w:rFonts w:hint="eastAsia" w:cs="宋体"/>
                <w:bCs/>
                <w:kern w:val="2"/>
                <w:sz w:val="21"/>
                <w:szCs w:val="21"/>
                <w:lang w:eastAsia="zh-CN"/>
              </w:rPr>
              <w:t>☑</w:t>
            </w:r>
            <w:r>
              <w:rPr>
                <w:rFonts w:hint="eastAsia" w:asciiTheme="minorEastAsia" w:hAnsiTheme="minorEastAsia" w:eastAsiaTheme="minorEastAsia"/>
                <w:kern w:val="2"/>
                <w:sz w:val="21"/>
                <w:szCs w:val="16"/>
              </w:rPr>
              <w:t>无</w:t>
            </w:r>
          </w:p>
          <w:p w14:paraId="1A20F4BE">
            <w:pPr>
              <w:keepNext w:val="0"/>
              <w:keepLines w:val="0"/>
              <w:suppressLineNumbers w:val="0"/>
              <w:adjustRightInd w:val="0"/>
              <w:snapToGrid w:val="0"/>
              <w:spacing w:before="0" w:beforeAutospacing="0" w:after="0" w:afterAutospacing="0" w:line="360" w:lineRule="auto"/>
              <w:ind w:left="0" w:right="0"/>
              <w:jc w:val="left"/>
              <w:rPr>
                <w:rFonts w:hint="default" w:cs="宋体"/>
                <w:bCs/>
                <w:kern w:val="2"/>
                <w:sz w:val="21"/>
                <w:szCs w:val="21"/>
              </w:rPr>
            </w:pPr>
            <w:r>
              <w:rPr>
                <w:rFonts w:hint="eastAsia" w:cs="宋体"/>
                <w:bCs/>
                <w:kern w:val="2"/>
                <w:sz w:val="21"/>
                <w:szCs w:val="21"/>
              </w:rPr>
              <w:t>□图纸</w:t>
            </w:r>
          </w:p>
          <w:p w14:paraId="3A867C81">
            <w:pPr>
              <w:keepNext w:val="0"/>
              <w:keepLines w:val="0"/>
              <w:suppressLineNumbers w:val="0"/>
              <w:adjustRightInd w:val="0"/>
              <w:snapToGrid w:val="0"/>
              <w:spacing w:before="0" w:beforeAutospacing="0" w:after="0" w:afterAutospacing="0" w:line="360" w:lineRule="auto"/>
              <w:ind w:left="0" w:right="0"/>
              <w:jc w:val="left"/>
              <w:rPr>
                <w:rFonts w:hint="default" w:cs="宋体"/>
                <w:bCs/>
                <w:kern w:val="2"/>
                <w:sz w:val="21"/>
                <w:szCs w:val="21"/>
              </w:rPr>
            </w:pPr>
            <w:r>
              <w:rPr>
                <w:rFonts w:hint="eastAsia" w:cs="宋体"/>
                <w:bCs/>
                <w:kern w:val="2"/>
                <w:sz w:val="21"/>
                <w:szCs w:val="21"/>
              </w:rPr>
              <w:t>获得方式：</w:t>
            </w:r>
          </w:p>
          <w:p w14:paraId="03635C0E">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default" w:ascii="Times New Roman" w:hAnsi="Times New Roman" w:cs="Times New Roman"/>
                <w:kern w:val="2"/>
                <w:sz w:val="21"/>
                <w:szCs w:val="21"/>
              </w:rPr>
              <w:t>上述资料请投标人在获取</w:t>
            </w:r>
            <w:r>
              <w:rPr>
                <w:rFonts w:hint="eastAsia" w:ascii="Times New Roman" w:hAnsi="Times New Roman" w:cs="Times New Roman"/>
                <w:kern w:val="2"/>
                <w:sz w:val="21"/>
                <w:szCs w:val="21"/>
              </w:rPr>
              <w:t>竞价</w:t>
            </w:r>
            <w:r>
              <w:rPr>
                <w:rFonts w:hint="default" w:ascii="Times New Roman" w:hAnsi="Times New Roman" w:cs="Times New Roman"/>
                <w:kern w:val="2"/>
                <w:sz w:val="21"/>
                <w:szCs w:val="21"/>
              </w:rPr>
              <w:t>文件</w:t>
            </w:r>
            <w:r>
              <w:rPr>
                <w:rFonts w:hint="eastAsia" w:ascii="Times New Roman" w:hAnsi="Times New Roman" w:cs="Times New Roman"/>
                <w:kern w:val="2"/>
                <w:sz w:val="21"/>
                <w:szCs w:val="21"/>
              </w:rPr>
              <w:t>时</w:t>
            </w:r>
            <w:r>
              <w:rPr>
                <w:rFonts w:hint="default" w:ascii="Times New Roman" w:hAnsi="Times New Roman" w:cs="Times New Roman"/>
                <w:kern w:val="2"/>
                <w:sz w:val="21"/>
                <w:szCs w:val="21"/>
              </w:rPr>
              <w:t>自行下载项目附件。</w:t>
            </w:r>
          </w:p>
        </w:tc>
      </w:tr>
      <w:tr w14:paraId="0716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895FDD">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8</w:t>
            </w:r>
          </w:p>
        </w:tc>
        <w:tc>
          <w:tcPr>
            <w:tcW w:w="1395" w:type="dxa"/>
            <w:vAlign w:val="center"/>
          </w:tcPr>
          <w:p w14:paraId="5DE1AFAC">
            <w:pPr>
              <w:keepNext w:val="0"/>
              <w:keepLines w:val="0"/>
              <w:suppressLineNumbers w:val="0"/>
              <w:spacing w:before="0" w:beforeAutospacing="0" w:after="0" w:afterAutospacing="0" w:line="500" w:lineRule="exact"/>
              <w:ind w:left="0" w:right="0"/>
              <w:jc w:val="center"/>
              <w:rPr>
                <w:rFonts w:hint="default" w:cs="宋体"/>
                <w:bCs/>
                <w:kern w:val="2"/>
                <w:sz w:val="21"/>
                <w:szCs w:val="21"/>
              </w:rPr>
            </w:pPr>
            <w:r>
              <w:rPr>
                <w:rFonts w:hint="eastAsia" w:ascii="Times New Roman" w:hAnsi="Times New Roman"/>
                <w:color w:val="000000"/>
                <w:kern w:val="2"/>
                <w:sz w:val="21"/>
                <w:szCs w:val="22"/>
                <w:lang w:val="en-US" w:eastAsia="zh-CN"/>
              </w:rPr>
              <w:t>投标文件的递交</w:t>
            </w:r>
          </w:p>
        </w:tc>
        <w:tc>
          <w:tcPr>
            <w:tcW w:w="6179" w:type="dxa"/>
            <w:vAlign w:val="center"/>
          </w:tcPr>
          <w:p w14:paraId="01630098">
            <w:pPr>
              <w:pStyle w:val="76"/>
              <w:keepNext w:val="0"/>
              <w:keepLines w:val="0"/>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AEB5F0B">
            <w:pPr>
              <w:pStyle w:val="76"/>
              <w:keepNext w:val="0"/>
              <w:keepLines w:val="0"/>
              <w:numPr>
                <w:ilvl w:val="0"/>
                <w:numId w:val="0"/>
              </w:numPr>
              <w:suppressLineNumbers w:val="0"/>
              <w:spacing w:before="0" w:beforeAutospacing="0" w:after="0" w:afterAutospacing="0" w:line="360" w:lineRule="auto"/>
              <w:ind w:left="0" w:right="0" w:firstLine="0" w:firstLineChars="0"/>
              <w:jc w:val="left"/>
              <w:rPr>
                <w:rFonts w:hint="default" w:ascii="Times New Roman" w:hAnsi="Times New Roman" w:eastAsia="宋体" w:cs="Times New Roman"/>
                <w:snapToGrid w:val="0"/>
                <w:color w:val="000000"/>
                <w:kern w:val="0"/>
                <w:sz w:val="21"/>
                <w:szCs w:val="21"/>
                <w:shd w:val="clear" w:color="auto" w:fill="FFFFFF"/>
                <w:lang w:val="en-US" w:eastAsia="zh-CN" w:bidi="ar-SA"/>
              </w:rPr>
            </w:pPr>
            <w:r>
              <w:rPr>
                <w:rFonts w:hint="default"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38C91BBE">
            <w:pPr>
              <w:pStyle w:val="76"/>
              <w:keepNext w:val="0"/>
              <w:keepLines w:val="0"/>
              <w:numPr>
                <w:ilvl w:val="0"/>
                <w:numId w:val="0"/>
              </w:numPr>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0AC95B32">
            <w:pPr>
              <w:pStyle w:val="76"/>
              <w:keepNext w:val="0"/>
              <w:keepLines w:val="0"/>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39F8C7CD">
            <w:pPr>
              <w:pStyle w:val="76"/>
              <w:keepNext w:val="0"/>
              <w:keepLines w:val="0"/>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4AE14FA9">
            <w:pPr>
              <w:pStyle w:val="76"/>
              <w:keepNext w:val="0"/>
              <w:keepLines w:val="0"/>
              <w:suppressLineNumbers w:val="0"/>
              <w:spacing w:before="0" w:beforeAutospacing="0" w:after="0" w:afterAutospacing="0" w:line="360" w:lineRule="auto"/>
              <w:ind w:left="0" w:right="0" w:firstLine="0" w:firstLineChars="0"/>
              <w:jc w:val="left"/>
              <w:rPr>
                <w:rFonts w:hint="default" w:cs="宋体"/>
                <w:b w:val="0"/>
                <w:color w:val="FF0000"/>
                <w:kern w:val="2"/>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432D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499E615">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9</w:t>
            </w:r>
          </w:p>
        </w:tc>
        <w:tc>
          <w:tcPr>
            <w:tcW w:w="818" w:type="pct"/>
            <w:vAlign w:val="center"/>
          </w:tcPr>
          <w:p w14:paraId="66F7475C">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确定中标人</w:t>
            </w:r>
          </w:p>
        </w:tc>
        <w:tc>
          <w:tcPr>
            <w:tcW w:w="3624" w:type="pct"/>
            <w:vAlign w:val="center"/>
          </w:tcPr>
          <w:p w14:paraId="13FC4D9C">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t>确定中标人：</w:t>
            </w:r>
          </w:p>
          <w:p w14:paraId="3246B09F">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sym w:font="Wingdings 2" w:char="0052"/>
            </w:r>
            <w:r>
              <w:rPr>
                <w:rFonts w:hint="eastAsia" w:cs="宋体"/>
                <w:b w:val="0"/>
                <w:kern w:val="2"/>
                <w:sz w:val="21"/>
                <w:szCs w:val="21"/>
              </w:rPr>
              <w:t xml:space="preserve">招标人委托评审小组确定     </w:t>
            </w:r>
          </w:p>
          <w:p w14:paraId="27DA1BC5">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sym w:font="Wingdings 2" w:char="00A3"/>
            </w:r>
            <w:r>
              <w:rPr>
                <w:rFonts w:hint="eastAsia" w:cs="宋体"/>
                <w:b w:val="0"/>
                <w:kern w:val="2"/>
                <w:sz w:val="21"/>
                <w:szCs w:val="21"/>
              </w:rPr>
              <w:t>招标人确定</w:t>
            </w:r>
          </w:p>
        </w:tc>
      </w:tr>
      <w:tr w14:paraId="1ABD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79F282D">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10</w:t>
            </w:r>
          </w:p>
        </w:tc>
        <w:tc>
          <w:tcPr>
            <w:tcW w:w="818" w:type="pct"/>
            <w:vAlign w:val="center"/>
          </w:tcPr>
          <w:p w14:paraId="369B34B1">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中标通知书发出的形式</w:t>
            </w:r>
          </w:p>
        </w:tc>
        <w:tc>
          <w:tcPr>
            <w:tcW w:w="3624" w:type="pct"/>
            <w:vAlign w:val="center"/>
          </w:tcPr>
          <w:p w14:paraId="7FB818E1">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t xml:space="preserve">☑书面     </w:t>
            </w:r>
            <w:r>
              <w:rPr>
                <w:rFonts w:hint="eastAsia" w:cs="宋体"/>
                <w:b w:val="0"/>
                <w:kern w:val="2"/>
                <w:sz w:val="21"/>
                <w:szCs w:val="21"/>
              </w:rPr>
              <w:sym w:font="Wingdings" w:char="00A8"/>
            </w:r>
            <w:r>
              <w:rPr>
                <w:rFonts w:hint="eastAsia" w:cs="宋体"/>
                <w:b w:val="0"/>
                <w:kern w:val="2"/>
                <w:sz w:val="21"/>
                <w:szCs w:val="21"/>
              </w:rPr>
              <w:t>数据电文</w:t>
            </w:r>
          </w:p>
          <w:p w14:paraId="028EFFDD">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t>特别提醒：</w:t>
            </w:r>
            <w:r>
              <w:rPr>
                <w:rFonts w:hint="default" w:ascii="Times New Roman" w:hAnsi="Times New Roman" w:cs="Times New Roman"/>
                <w:kern w:val="2"/>
                <w:sz w:val="21"/>
                <w:szCs w:val="21"/>
              </w:rPr>
              <w:t>招标人确定中标人后，通过书面向中标人发出中标通知书。</w:t>
            </w:r>
          </w:p>
        </w:tc>
      </w:tr>
      <w:tr w14:paraId="733B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D127204">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11</w:t>
            </w:r>
          </w:p>
        </w:tc>
        <w:tc>
          <w:tcPr>
            <w:tcW w:w="818" w:type="pct"/>
            <w:vAlign w:val="center"/>
          </w:tcPr>
          <w:p w14:paraId="6262EEE3">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告知竞价结果的形式</w:t>
            </w:r>
          </w:p>
        </w:tc>
        <w:tc>
          <w:tcPr>
            <w:tcW w:w="3624" w:type="pct"/>
            <w:vAlign w:val="center"/>
          </w:tcPr>
          <w:p w14:paraId="112715BC">
            <w:pPr>
              <w:pStyle w:val="69"/>
              <w:keepNext w:val="0"/>
              <w:keepLines w:val="0"/>
              <w:widowControl w:val="0"/>
              <w:suppressLineNumbers w:val="0"/>
              <w:spacing w:before="0" w:beforeAutospacing="0" w:after="0" w:afterAutospacing="0" w:line="360" w:lineRule="auto"/>
              <w:ind w:left="0" w:right="0"/>
              <w:jc w:val="both"/>
              <w:rPr>
                <w:rFonts w:hint="default" w:cs="宋体"/>
                <w:b w:val="0"/>
                <w:bCs w:val="0"/>
                <w:kern w:val="2"/>
                <w:sz w:val="21"/>
                <w:szCs w:val="21"/>
              </w:rPr>
            </w:pPr>
            <w:r>
              <w:rPr>
                <w:rFonts w:hint="default" w:ascii="Times New Roman" w:hAnsi="Times New Roman" w:cs="Times New Roman"/>
                <w:b w:val="0"/>
                <w:bCs w:val="0"/>
                <w:kern w:val="2"/>
                <w:sz w:val="21"/>
                <w:szCs w:val="21"/>
              </w:rPr>
              <w:t>投标人自行登录</w:t>
            </w:r>
            <w:r>
              <w:rPr>
                <w:rFonts w:hint="eastAsia" w:ascii="Times New Roman" w:hAnsi="Times New Roman" w:cs="Times New Roman"/>
                <w:b w:val="0"/>
                <w:bCs w:val="0"/>
                <w:kern w:val="2"/>
                <w:sz w:val="21"/>
                <w:szCs w:val="21"/>
              </w:rPr>
              <w:t>合肥文旅博览集团有限公司官网</w:t>
            </w:r>
            <w:r>
              <w:rPr>
                <w:rFonts w:hint="default" w:ascii="Times New Roman" w:hAnsi="Times New Roman" w:cs="Times New Roman"/>
                <w:b w:val="0"/>
                <w:bCs w:val="0"/>
                <w:kern w:val="2"/>
                <w:sz w:val="21"/>
                <w:szCs w:val="21"/>
              </w:rPr>
              <w:t>查看</w:t>
            </w:r>
          </w:p>
        </w:tc>
      </w:tr>
      <w:tr w14:paraId="68F0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FB9A8AA">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12</w:t>
            </w:r>
          </w:p>
        </w:tc>
        <w:tc>
          <w:tcPr>
            <w:tcW w:w="818" w:type="pct"/>
            <w:vAlign w:val="center"/>
          </w:tcPr>
          <w:p w14:paraId="498AA626">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履约保证金</w:t>
            </w:r>
          </w:p>
        </w:tc>
        <w:tc>
          <w:tcPr>
            <w:tcW w:w="3624" w:type="pct"/>
          </w:tcPr>
          <w:p w14:paraId="7BCFA119">
            <w:pPr>
              <w:keepNext w:val="0"/>
              <w:keepLines w:val="0"/>
              <w:suppressLineNumbers w:val="0"/>
              <w:snapToGrid w:val="0"/>
              <w:spacing w:before="0" w:beforeAutospacing="0" w:after="0" w:afterAutospacing="0" w:line="360" w:lineRule="auto"/>
              <w:ind w:left="0" w:right="0"/>
              <w:rPr>
                <w:rFonts w:hint="default" w:cs="宋体"/>
                <w:bCs/>
                <w:snapToGrid w:val="0"/>
                <w:kern w:val="2"/>
                <w:sz w:val="21"/>
                <w:szCs w:val="21"/>
              </w:rPr>
            </w:pPr>
            <w:r>
              <w:rPr>
                <w:rFonts w:hint="eastAsia" w:cs="宋体"/>
                <w:bCs/>
                <w:snapToGrid w:val="0"/>
                <w:kern w:val="2"/>
                <w:sz w:val="21"/>
                <w:szCs w:val="21"/>
              </w:rPr>
              <w:t>（1）金额：</w:t>
            </w:r>
            <w:r>
              <w:rPr>
                <w:rFonts w:hint="eastAsia" w:cs="宋体"/>
                <w:bCs/>
                <w:snapToGrid w:val="0"/>
                <w:kern w:val="2"/>
                <w:sz w:val="21"/>
                <w:szCs w:val="21"/>
                <w:u w:val="single"/>
              </w:rPr>
              <w:t xml:space="preserve"> </w:t>
            </w:r>
            <w:r>
              <w:rPr>
                <w:rFonts w:hint="eastAsia" w:ascii="Times New Roman" w:hAnsi="Times New Roman" w:eastAsia="宋体" w:cs="Times New Roman"/>
                <w:b w:val="0"/>
                <w:bCs w:val="0"/>
                <w:kern w:val="2"/>
                <w:sz w:val="21"/>
                <w:szCs w:val="21"/>
                <w:u w:val="single"/>
                <w:lang w:val="en-US" w:eastAsia="zh-CN" w:bidi="ar-SA"/>
              </w:rPr>
              <w:t>中标金额的</w:t>
            </w:r>
            <w:r>
              <w:rPr>
                <w:rFonts w:hint="eastAsia" w:ascii="Times New Roman" w:hAnsi="Times New Roman" w:cs="Times New Roman"/>
                <w:b w:val="0"/>
                <w:bCs w:val="0"/>
                <w:kern w:val="2"/>
                <w:sz w:val="21"/>
                <w:szCs w:val="21"/>
                <w:u w:val="single"/>
                <w:lang w:val="en-US" w:eastAsia="zh-CN" w:bidi="ar-SA"/>
              </w:rPr>
              <w:t>2</w:t>
            </w:r>
            <w:r>
              <w:rPr>
                <w:rFonts w:hint="default" w:ascii="Times New Roman" w:hAnsi="Times New Roman" w:eastAsia="宋体" w:cs="Times New Roman"/>
                <w:b w:val="0"/>
                <w:bCs w:val="0"/>
                <w:kern w:val="2"/>
                <w:sz w:val="21"/>
                <w:szCs w:val="21"/>
                <w:u w:val="single"/>
                <w:lang w:val="en-US" w:eastAsia="zh-CN" w:bidi="ar-SA"/>
              </w:rPr>
              <w:t>%</w:t>
            </w:r>
            <w:r>
              <w:rPr>
                <w:rFonts w:hint="eastAsia" w:ascii="Times New Roman" w:hAnsi="Times New Roman" w:eastAsia="宋体" w:cs="Times New Roman"/>
                <w:b w:val="0"/>
                <w:bCs w:val="0"/>
                <w:kern w:val="2"/>
                <w:sz w:val="21"/>
                <w:szCs w:val="21"/>
                <w:u w:val="single"/>
                <w:lang w:val="en-US" w:eastAsia="zh-CN" w:bidi="ar-SA"/>
              </w:rPr>
              <w:t xml:space="preserve"> </w:t>
            </w:r>
          </w:p>
          <w:p w14:paraId="699F7DA7">
            <w:pPr>
              <w:keepNext w:val="0"/>
              <w:keepLines w:val="0"/>
              <w:suppressLineNumbers w:val="0"/>
              <w:snapToGrid w:val="0"/>
              <w:spacing w:before="0" w:beforeAutospacing="0" w:after="0" w:afterAutospacing="0" w:line="360" w:lineRule="auto"/>
              <w:ind w:left="0" w:right="0"/>
              <w:rPr>
                <w:rFonts w:hint="default" w:cs="宋体"/>
                <w:kern w:val="2"/>
                <w:sz w:val="21"/>
                <w:szCs w:val="21"/>
              </w:rPr>
            </w:pPr>
            <w:r>
              <w:rPr>
                <w:rFonts w:hint="eastAsia" w:cs="宋体"/>
                <w:bCs/>
                <w:snapToGrid w:val="0"/>
                <w:kern w:val="2"/>
                <w:sz w:val="21"/>
                <w:szCs w:val="21"/>
              </w:rPr>
              <w:t>（2）缴纳形式</w:t>
            </w:r>
            <w:r>
              <w:rPr>
                <w:rFonts w:hint="eastAsia" w:cs="宋体"/>
                <w:kern w:val="2"/>
                <w:sz w:val="21"/>
                <w:szCs w:val="21"/>
              </w:rPr>
              <w:t>：</w:t>
            </w:r>
            <w:r>
              <w:rPr>
                <w:rFonts w:hint="eastAsia" w:cs="宋体"/>
                <w:kern w:val="2"/>
                <w:sz w:val="21"/>
                <w:szCs w:val="21"/>
              </w:rPr>
              <w:sym w:font="Wingdings 2" w:char="0052"/>
            </w:r>
            <w:r>
              <w:rPr>
                <w:rFonts w:hint="eastAsia" w:cs="宋体"/>
                <w:kern w:val="2"/>
                <w:sz w:val="21"/>
                <w:szCs w:val="21"/>
              </w:rPr>
              <w:t xml:space="preserve">银行转账  </w:t>
            </w:r>
            <w:r>
              <w:rPr>
                <w:rFonts w:hint="eastAsia" w:cs="宋体"/>
                <w:kern w:val="2"/>
                <w:sz w:val="21"/>
                <w:szCs w:val="21"/>
              </w:rPr>
              <w:sym w:font="Wingdings 2" w:char="00A3"/>
            </w:r>
            <w:r>
              <w:rPr>
                <w:rFonts w:hint="eastAsia" w:cs="宋体"/>
                <w:kern w:val="2"/>
                <w:sz w:val="21"/>
                <w:szCs w:val="21"/>
              </w:rPr>
              <w:t xml:space="preserve">银行电汇  </w:t>
            </w:r>
          </w:p>
        </w:tc>
      </w:tr>
      <w:tr w14:paraId="4A4A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909D5FF">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13</w:t>
            </w:r>
          </w:p>
        </w:tc>
        <w:tc>
          <w:tcPr>
            <w:tcW w:w="818" w:type="pct"/>
            <w:vAlign w:val="center"/>
          </w:tcPr>
          <w:p w14:paraId="77E7993A">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报价须知</w:t>
            </w:r>
          </w:p>
        </w:tc>
        <w:tc>
          <w:tcPr>
            <w:tcW w:w="3624" w:type="pct"/>
            <w:vAlign w:val="center"/>
          </w:tcPr>
          <w:p w14:paraId="78DF707A">
            <w:pPr>
              <w:keepNext w:val="0"/>
              <w:keepLines w:val="0"/>
              <w:suppressLineNumbers w:val="0"/>
              <w:spacing w:before="0" w:beforeAutospacing="0" w:after="0" w:afterAutospacing="0" w:line="360" w:lineRule="auto"/>
              <w:ind w:left="0" w:right="0"/>
              <w:rPr>
                <w:rFonts w:hint="default"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5CE0E4DD">
            <w:pPr>
              <w:keepNext w:val="0"/>
              <w:keepLines w:val="0"/>
              <w:suppressLineNumbers w:val="0"/>
              <w:spacing w:before="0" w:beforeAutospacing="0" w:after="0" w:afterAutospacing="0" w:line="360" w:lineRule="auto"/>
              <w:ind w:left="0" w:right="0"/>
              <w:rPr>
                <w:rFonts w:hint="default" w:cs="宋体"/>
                <w:kern w:val="2"/>
                <w:sz w:val="21"/>
                <w:szCs w:val="21"/>
              </w:rPr>
            </w:pPr>
            <w:r>
              <w:rPr>
                <w:rFonts w:hint="eastAsia" w:cs="宋体"/>
                <w:kern w:val="2"/>
                <w:sz w:val="21"/>
                <w:szCs w:val="21"/>
              </w:rPr>
              <w:t>（2）在项目评标过程中，投标人最终投标报价与公布的最高投标限价或项目预算相比降幅过小，或投标人最终投标报价明显缺乏竞争性的，评审小组可以否决其投标。</w:t>
            </w:r>
          </w:p>
        </w:tc>
      </w:tr>
      <w:tr w14:paraId="1193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06F1DD5">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14</w:t>
            </w:r>
          </w:p>
        </w:tc>
        <w:tc>
          <w:tcPr>
            <w:tcW w:w="818" w:type="pct"/>
            <w:vAlign w:val="center"/>
          </w:tcPr>
          <w:p w14:paraId="33410F11">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重要说明</w:t>
            </w:r>
          </w:p>
        </w:tc>
        <w:tc>
          <w:tcPr>
            <w:tcW w:w="3624" w:type="pct"/>
            <w:vAlign w:val="center"/>
          </w:tcPr>
          <w:p w14:paraId="2D772593">
            <w:pPr>
              <w:keepNext w:val="0"/>
              <w:keepLines w:val="0"/>
              <w:suppressLineNumbers w:val="0"/>
              <w:spacing w:before="0" w:beforeAutospacing="0" w:after="0" w:afterAutospacing="0" w:line="360" w:lineRule="auto"/>
              <w:ind w:left="0" w:right="0"/>
              <w:rPr>
                <w:rFonts w:hint="default" w:cs="宋体"/>
                <w:kern w:val="2"/>
                <w:sz w:val="21"/>
                <w:szCs w:val="21"/>
              </w:rPr>
            </w:pPr>
            <w:r>
              <w:rPr>
                <w:rFonts w:hint="eastAsia" w:cs="宋体"/>
                <w:kern w:val="2"/>
                <w:sz w:val="21"/>
                <w:szCs w:val="21"/>
              </w:rPr>
              <w:t>（1）中标人应在规定期限内提交履约保证金并与招标人签订合同，若中标人未能在规定期限内提交履约保证金或签订合同，招标人有权取消中标人中标资格；</w:t>
            </w:r>
          </w:p>
          <w:p w14:paraId="42FDF12B">
            <w:pPr>
              <w:keepNext w:val="0"/>
              <w:keepLines w:val="0"/>
              <w:suppressLineNumbers w:val="0"/>
              <w:spacing w:before="0" w:beforeAutospacing="0" w:after="0" w:afterAutospacing="0" w:line="360" w:lineRule="auto"/>
              <w:ind w:left="0" w:right="0"/>
              <w:rPr>
                <w:rFonts w:hint="default" w:cs="宋体"/>
                <w:kern w:val="2"/>
                <w:sz w:val="21"/>
                <w:szCs w:val="21"/>
              </w:rPr>
            </w:pPr>
            <w:r>
              <w:rPr>
                <w:rFonts w:hint="eastAsia" w:cs="宋体"/>
                <w:kern w:val="2"/>
                <w:sz w:val="21"/>
                <w:szCs w:val="21"/>
              </w:rPr>
              <w:t>（2）合同签订后，中标人存在规定时间内不组织人员进场开工，不履行合同义务等情况，招标人有权解除合同，并追究违约责任；</w:t>
            </w:r>
          </w:p>
          <w:p w14:paraId="3A0E175D">
            <w:pPr>
              <w:keepNext w:val="0"/>
              <w:keepLines w:val="0"/>
              <w:suppressLineNumbers w:val="0"/>
              <w:spacing w:before="0" w:beforeAutospacing="0" w:after="0" w:afterAutospacing="0" w:line="360" w:lineRule="auto"/>
              <w:ind w:left="0" w:right="0"/>
              <w:rPr>
                <w:rFonts w:hint="default" w:cs="宋体"/>
                <w:kern w:val="2"/>
                <w:sz w:val="21"/>
                <w:szCs w:val="21"/>
              </w:rPr>
            </w:pPr>
            <w:r>
              <w:rPr>
                <w:rFonts w:hint="eastAsia" w:cs="宋体"/>
                <w:kern w:val="2"/>
                <w:sz w:val="21"/>
                <w:szCs w:val="21"/>
              </w:rPr>
              <w:t>（3）中标人在中标项目发生投诉、信访举报案件、履约存在争议时，拒绝协助配合有关部门调查案件的，招标人可以取消其中标资格或解除合同，并追究其违约责任。</w:t>
            </w:r>
          </w:p>
          <w:p w14:paraId="64758C00">
            <w:pPr>
              <w:keepNext w:val="0"/>
              <w:keepLines w:val="0"/>
              <w:suppressLineNumbers w:val="0"/>
              <w:spacing w:before="0" w:beforeAutospacing="0" w:after="0" w:afterAutospacing="0" w:line="360" w:lineRule="auto"/>
              <w:ind w:left="0" w:right="0"/>
              <w:rPr>
                <w:rFonts w:hint="default" w:cs="宋体"/>
                <w:kern w:val="2"/>
                <w:sz w:val="21"/>
                <w:szCs w:val="21"/>
              </w:rPr>
            </w:pPr>
            <w:r>
              <w:rPr>
                <w:rFonts w:hint="default" w:ascii="Times New Roman" w:hAnsi="Times New Roman" w:cs="Times New Roman"/>
                <w:kern w:val="2"/>
                <w:sz w:val="21"/>
                <w:szCs w:val="21"/>
              </w:rPr>
              <w:t>（4）投标人参与</w:t>
            </w:r>
            <w:r>
              <w:rPr>
                <w:rFonts w:hint="eastAsia" w:ascii="Times New Roman" w:hAnsi="Times New Roman" w:cs="Times New Roman"/>
                <w:kern w:val="2"/>
                <w:sz w:val="21"/>
                <w:szCs w:val="21"/>
              </w:rPr>
              <w:t>投标</w:t>
            </w:r>
            <w:r>
              <w:rPr>
                <w:rFonts w:hint="default" w:ascii="Times New Roman" w:hAnsi="Times New Roman" w:cs="Times New Roman"/>
                <w:kern w:val="2"/>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kern w:val="2"/>
                <w:sz w:val="21"/>
                <w:szCs w:val="21"/>
              </w:rPr>
              <w:t>竞价</w:t>
            </w:r>
            <w:r>
              <w:rPr>
                <w:rFonts w:hint="default" w:ascii="Times New Roman" w:hAnsi="Times New Roman" w:cs="Times New Roman"/>
                <w:kern w:val="2"/>
                <w:sz w:val="21"/>
                <w:szCs w:val="21"/>
              </w:rPr>
              <w:t>、隐瞒失信信息等谋取中标的行为，一经发现，招标人可以取消其中标资格或解除合同，并追究其违约责任。</w:t>
            </w:r>
          </w:p>
        </w:tc>
      </w:tr>
      <w:tr w14:paraId="28B0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F98BBD6">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15</w:t>
            </w:r>
          </w:p>
        </w:tc>
        <w:tc>
          <w:tcPr>
            <w:tcW w:w="818" w:type="pct"/>
            <w:vAlign w:val="center"/>
          </w:tcPr>
          <w:p w14:paraId="0D8E9CBD">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解释权</w:t>
            </w:r>
          </w:p>
        </w:tc>
        <w:tc>
          <w:tcPr>
            <w:tcW w:w="3624" w:type="pct"/>
            <w:vAlign w:val="center"/>
          </w:tcPr>
          <w:p w14:paraId="33E6128E">
            <w:pPr>
              <w:keepNext w:val="0"/>
              <w:keepLines w:val="0"/>
              <w:suppressLineNumbers w:val="0"/>
              <w:spacing w:before="0" w:beforeAutospacing="0" w:after="0" w:afterAutospacing="0" w:line="360" w:lineRule="auto"/>
              <w:ind w:left="0" w:right="0"/>
              <w:rPr>
                <w:rFonts w:hint="default" w:cs="宋体"/>
                <w:bCs/>
                <w:kern w:val="2"/>
                <w:sz w:val="21"/>
                <w:szCs w:val="21"/>
              </w:rPr>
            </w:pPr>
            <w:r>
              <w:rPr>
                <w:rFonts w:hint="eastAsia" w:cs="宋体"/>
                <w:bCs/>
                <w:kern w:val="2"/>
                <w:sz w:val="21"/>
                <w:szCs w:val="21"/>
              </w:rPr>
              <w:t>（1）构成本竞价文件的各个组成文件应互为解释，互为说明；</w:t>
            </w:r>
          </w:p>
          <w:p w14:paraId="3D18777B">
            <w:pPr>
              <w:keepNext w:val="0"/>
              <w:keepLines w:val="0"/>
              <w:suppressLineNumbers w:val="0"/>
              <w:spacing w:before="0" w:beforeAutospacing="0" w:after="0" w:afterAutospacing="0" w:line="360" w:lineRule="auto"/>
              <w:ind w:left="0" w:right="0"/>
              <w:rPr>
                <w:rFonts w:hint="default" w:cs="宋体"/>
                <w:bCs/>
                <w:kern w:val="2"/>
                <w:sz w:val="21"/>
                <w:szCs w:val="21"/>
              </w:rPr>
            </w:pPr>
            <w:r>
              <w:rPr>
                <w:rFonts w:hint="eastAsia" w:cs="宋体"/>
                <w:bCs/>
                <w:kern w:val="2"/>
                <w:sz w:val="21"/>
                <w:szCs w:val="21"/>
              </w:rPr>
              <w:t>（2）同一组成文件中就同一事项的规定或约定不一致的，以编排顺序在后者为准；</w:t>
            </w:r>
          </w:p>
          <w:p w14:paraId="031FE6FA">
            <w:pPr>
              <w:keepNext w:val="0"/>
              <w:keepLines w:val="0"/>
              <w:suppressLineNumbers w:val="0"/>
              <w:spacing w:before="0" w:beforeAutospacing="0" w:after="0" w:afterAutospacing="0" w:line="360" w:lineRule="auto"/>
              <w:ind w:left="0" w:right="0"/>
              <w:rPr>
                <w:rFonts w:hint="default" w:cs="宋体"/>
                <w:bCs/>
                <w:kern w:val="2"/>
                <w:sz w:val="21"/>
                <w:szCs w:val="21"/>
              </w:rPr>
            </w:pPr>
            <w:r>
              <w:rPr>
                <w:rFonts w:hint="eastAsia" w:cs="宋体"/>
                <w:bCs/>
                <w:kern w:val="2"/>
                <w:sz w:val="21"/>
                <w:szCs w:val="21"/>
              </w:rPr>
              <w:t>（3）如有不明确或不一致，构成合同文件组成内容的，以合同文件约定内容为准，且以专用合同条款约定的合同文件优先顺序解释；</w:t>
            </w:r>
          </w:p>
          <w:p w14:paraId="3B596752">
            <w:pPr>
              <w:keepNext w:val="0"/>
              <w:keepLines w:val="0"/>
              <w:suppressLineNumbers w:val="0"/>
              <w:spacing w:before="0" w:beforeAutospacing="0" w:after="0" w:afterAutospacing="0" w:line="360" w:lineRule="auto"/>
              <w:ind w:left="0" w:right="0"/>
              <w:rPr>
                <w:rFonts w:hint="default" w:ascii="Times New Roman" w:hAnsi="Times New Roman" w:cs="Times New Roman"/>
                <w:bCs/>
                <w:kern w:val="2"/>
                <w:sz w:val="21"/>
                <w:szCs w:val="21"/>
              </w:rPr>
            </w:pPr>
            <w:r>
              <w:rPr>
                <w:rFonts w:hint="eastAsia" w:cs="宋体"/>
                <w:bCs/>
                <w:kern w:val="2"/>
                <w:sz w:val="21"/>
                <w:szCs w:val="21"/>
              </w:rPr>
              <w:t>（4）</w:t>
            </w:r>
            <w:r>
              <w:rPr>
                <w:rFonts w:hint="default" w:ascii="Times New Roman" w:hAnsi="Times New Roman" w:cs="Times New Roman"/>
                <w:bCs/>
                <w:kern w:val="2"/>
                <w:sz w:val="21"/>
                <w:szCs w:val="21"/>
              </w:rPr>
              <w:t>除</w:t>
            </w:r>
            <w:r>
              <w:rPr>
                <w:rFonts w:hint="eastAsia" w:ascii="Times New Roman" w:hAnsi="Times New Roman" w:cs="Times New Roman"/>
                <w:bCs/>
                <w:kern w:val="2"/>
                <w:sz w:val="21"/>
                <w:szCs w:val="21"/>
              </w:rPr>
              <w:t>竞价</w:t>
            </w:r>
            <w:r>
              <w:rPr>
                <w:rFonts w:hint="default" w:ascii="Times New Roman" w:hAnsi="Times New Roman" w:cs="Times New Roman"/>
                <w:bCs/>
                <w:kern w:val="2"/>
                <w:sz w:val="21"/>
                <w:szCs w:val="21"/>
              </w:rPr>
              <w:t>文件中有特别规定外，仅适用于投标文件提交阶段的规定，按</w:t>
            </w:r>
            <w:r>
              <w:rPr>
                <w:rFonts w:hint="eastAsia" w:ascii="Times New Roman" w:hAnsi="Times New Roman" w:cs="Times New Roman"/>
                <w:bCs/>
                <w:kern w:val="2"/>
                <w:sz w:val="21"/>
                <w:szCs w:val="21"/>
                <w:lang w:val="en-US" w:eastAsia="zh-CN"/>
              </w:rPr>
              <w:t>竞价</w:t>
            </w:r>
            <w:r>
              <w:rPr>
                <w:rFonts w:hint="default" w:ascii="Times New Roman" w:hAnsi="Times New Roman" w:cs="Times New Roman"/>
                <w:bCs/>
                <w:kern w:val="2"/>
                <w:sz w:val="21"/>
                <w:szCs w:val="21"/>
              </w:rPr>
              <w:t>公告、投标人须知前附表、投标人须知正文、评审方法和标准、投标文件格式的先后顺序解释；</w:t>
            </w:r>
          </w:p>
          <w:p w14:paraId="1DDF813F">
            <w:pPr>
              <w:keepNext w:val="0"/>
              <w:keepLines w:val="0"/>
              <w:suppressLineNumbers w:val="0"/>
              <w:spacing w:before="0" w:beforeAutospacing="0" w:after="0" w:afterAutospacing="0" w:line="360" w:lineRule="auto"/>
              <w:ind w:left="0" w:right="0"/>
              <w:rPr>
                <w:rFonts w:hint="default" w:cs="宋体"/>
                <w:kern w:val="2"/>
                <w:sz w:val="21"/>
                <w:szCs w:val="21"/>
              </w:rPr>
            </w:pPr>
            <w:r>
              <w:rPr>
                <w:rFonts w:hint="eastAsia" w:cs="宋体"/>
                <w:bCs/>
                <w:kern w:val="2"/>
                <w:sz w:val="21"/>
                <w:szCs w:val="21"/>
              </w:rPr>
              <w:t>（5）</w:t>
            </w:r>
            <w:r>
              <w:rPr>
                <w:rFonts w:hint="eastAsia" w:cs="宋体"/>
                <w:kern w:val="2"/>
                <w:sz w:val="21"/>
                <w:szCs w:val="21"/>
              </w:rPr>
              <w:t>有澄清的部分以最终的澄清更正内容为准；</w:t>
            </w:r>
          </w:p>
          <w:p w14:paraId="226E35BB">
            <w:pPr>
              <w:pStyle w:val="69"/>
              <w:keepNext w:val="0"/>
              <w:keepLines w:val="0"/>
              <w:widowControl w:val="0"/>
              <w:suppressLineNumbers w:val="0"/>
              <w:spacing w:before="0" w:beforeAutospacing="0" w:after="0" w:afterAutospacing="0" w:line="360" w:lineRule="auto"/>
              <w:ind w:left="0" w:right="0"/>
              <w:jc w:val="both"/>
              <w:rPr>
                <w:rFonts w:hint="default" w:cs="宋体"/>
                <w:b w:val="0"/>
                <w:kern w:val="2"/>
                <w:sz w:val="21"/>
                <w:szCs w:val="21"/>
              </w:rPr>
            </w:pPr>
            <w:r>
              <w:rPr>
                <w:rFonts w:hint="eastAsia" w:cs="宋体"/>
                <w:b w:val="0"/>
                <w:kern w:val="2"/>
                <w:sz w:val="21"/>
                <w:szCs w:val="21"/>
              </w:rPr>
              <w:t>（6）按本款前述规定仍不能形成结论的，由招标人负责解释。</w:t>
            </w:r>
          </w:p>
        </w:tc>
      </w:tr>
      <w:tr w14:paraId="0517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31F4FAC">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16</w:t>
            </w:r>
          </w:p>
        </w:tc>
        <w:tc>
          <w:tcPr>
            <w:tcW w:w="818" w:type="pct"/>
            <w:vAlign w:val="center"/>
          </w:tcPr>
          <w:p w14:paraId="29F5A92D">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其他补充</w:t>
            </w:r>
          </w:p>
          <w:p w14:paraId="4449E251">
            <w:pPr>
              <w:pStyle w:val="70"/>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cs="宋体"/>
                <w:bCs/>
                <w:kern w:val="2"/>
                <w:sz w:val="21"/>
                <w:szCs w:val="21"/>
              </w:rPr>
            </w:pPr>
            <w:r>
              <w:rPr>
                <w:rFonts w:hint="eastAsia" w:cs="宋体"/>
                <w:bCs/>
                <w:kern w:val="2"/>
                <w:sz w:val="21"/>
                <w:szCs w:val="21"/>
              </w:rPr>
              <w:t>说明</w:t>
            </w:r>
          </w:p>
        </w:tc>
        <w:tc>
          <w:tcPr>
            <w:tcW w:w="3624" w:type="pct"/>
            <w:vAlign w:val="center"/>
          </w:tcPr>
          <w:p w14:paraId="0EB882D4">
            <w:pPr>
              <w:pStyle w:val="69"/>
              <w:keepNext w:val="0"/>
              <w:keepLines w:val="0"/>
              <w:widowControl w:val="0"/>
              <w:suppressLineNumbers w:val="0"/>
              <w:spacing w:before="0" w:beforeAutospacing="0" w:after="0" w:afterAutospacing="0" w:line="360" w:lineRule="auto"/>
              <w:ind w:left="0" w:right="0"/>
              <w:jc w:val="both"/>
              <w:rPr>
                <w:rFonts w:hint="eastAsia" w:eastAsia="宋体" w:cs="宋体"/>
                <w:b w:val="0"/>
                <w:kern w:val="2"/>
                <w:sz w:val="21"/>
                <w:szCs w:val="21"/>
                <w:lang w:eastAsia="zh-CN"/>
              </w:rPr>
            </w:pPr>
            <w:r>
              <w:rPr>
                <w:rFonts w:hint="eastAsia" w:cs="宋体"/>
                <w:b w:val="0"/>
                <w:kern w:val="2"/>
                <w:sz w:val="21"/>
                <w:szCs w:val="21"/>
                <w:lang w:eastAsia="zh-CN"/>
              </w:rPr>
              <w:t>……</w:t>
            </w:r>
          </w:p>
        </w:tc>
      </w:tr>
    </w:tbl>
    <w:p w14:paraId="5CD0458E">
      <w:pPr>
        <w:jc w:val="center"/>
        <w:rPr>
          <w:rFonts w:asciiTheme="minorEastAsia" w:hAnsiTheme="minorEastAsia" w:eastAsiaTheme="minorEastAsia"/>
          <w:b/>
          <w:sz w:val="24"/>
        </w:rPr>
      </w:pPr>
      <w:bookmarkStart w:id="11" w:name="_Toc4558"/>
      <w:r>
        <w:rPr>
          <w:rFonts w:hint="eastAsia"/>
          <w:b/>
          <w:sz w:val="24"/>
          <w:szCs w:val="24"/>
        </w:rPr>
        <w:br w:type="page"/>
      </w:r>
      <w:bookmarkEnd w:id="11"/>
      <w:r>
        <w:rPr>
          <w:rFonts w:hint="eastAsia" w:asciiTheme="minorEastAsia" w:hAnsiTheme="minorEastAsia" w:eastAsiaTheme="minorEastAsia"/>
          <w:b/>
          <w:sz w:val="24"/>
        </w:rPr>
        <w:t>投标人须知正文</w:t>
      </w:r>
    </w:p>
    <w:p w14:paraId="2111C7F0">
      <w:pPr>
        <w:spacing w:line="360" w:lineRule="auto"/>
        <w:ind w:firstLine="437"/>
        <w:outlineLvl w:val="2"/>
        <w:rPr>
          <w:rFonts w:ascii="Times New Roman" w:hAnsi="Times New Roman" w:cs="Times New Roman" w:eastAsiaTheme="minorEastAsia"/>
          <w:b/>
          <w:sz w:val="24"/>
        </w:rPr>
      </w:pPr>
      <w:bookmarkStart w:id="12" w:name="_Toc28737"/>
      <w:r>
        <w:rPr>
          <w:rFonts w:ascii="Times New Roman" w:hAnsi="Times New Roman" w:cs="Times New Roman" w:eastAsiaTheme="minorEastAsia"/>
          <w:b/>
          <w:sz w:val="24"/>
        </w:rPr>
        <w:t>1.有关定义</w:t>
      </w:r>
      <w:bookmarkEnd w:id="12"/>
    </w:p>
    <w:p w14:paraId="244C4F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7F84A3B2">
      <w:pPr>
        <w:spacing w:line="360" w:lineRule="auto"/>
        <w:ind w:firstLine="437"/>
        <w:outlineLvl w:val="2"/>
        <w:rPr>
          <w:rFonts w:ascii="Times New Roman" w:hAnsi="Times New Roman" w:cs="Times New Roman" w:eastAsiaTheme="minorEastAsia"/>
          <w:b/>
          <w:sz w:val="24"/>
        </w:rPr>
      </w:pPr>
      <w:bookmarkStart w:id="13" w:name="_Toc26438"/>
      <w:r>
        <w:rPr>
          <w:rFonts w:ascii="Times New Roman" w:hAnsi="Times New Roman" w:cs="Times New Roman" w:eastAsiaTheme="minorEastAsia"/>
          <w:b/>
          <w:sz w:val="24"/>
        </w:rPr>
        <w:t>2.资金来源</w:t>
      </w:r>
      <w:bookmarkEnd w:id="13"/>
    </w:p>
    <w:p w14:paraId="69663B1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6BBDB12D">
      <w:pPr>
        <w:spacing w:line="360" w:lineRule="auto"/>
        <w:ind w:firstLine="437"/>
        <w:outlineLvl w:val="2"/>
        <w:rPr>
          <w:rFonts w:ascii="Times New Roman" w:hAnsi="Times New Roman" w:cs="Times New Roman" w:eastAsiaTheme="minorEastAsia"/>
          <w:b/>
          <w:sz w:val="24"/>
        </w:rPr>
      </w:pPr>
      <w:bookmarkStart w:id="14"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4"/>
    </w:p>
    <w:p w14:paraId="77CF420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4C06646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0111B25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58FF4A6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21749D51">
      <w:pPr>
        <w:spacing w:line="360" w:lineRule="auto"/>
        <w:ind w:firstLine="437"/>
        <w:outlineLvl w:val="2"/>
        <w:rPr>
          <w:rFonts w:ascii="Times New Roman" w:hAnsi="Times New Roman" w:cs="Times New Roman" w:eastAsiaTheme="minorEastAsia"/>
          <w:b/>
          <w:sz w:val="24"/>
        </w:rPr>
      </w:pPr>
      <w:bookmarkStart w:id="15"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5"/>
    </w:p>
    <w:p w14:paraId="3D5B31B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5ABE073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7E1FC49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7BE55FDA">
      <w:pPr>
        <w:spacing w:line="360" w:lineRule="auto"/>
        <w:ind w:firstLine="437"/>
        <w:outlineLvl w:val="2"/>
        <w:rPr>
          <w:rFonts w:ascii="Times New Roman" w:hAnsi="Times New Roman" w:cs="Times New Roman" w:eastAsiaTheme="minorEastAsia"/>
          <w:b/>
          <w:sz w:val="24"/>
        </w:rPr>
      </w:pPr>
      <w:bookmarkStart w:id="16"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6"/>
    </w:p>
    <w:p w14:paraId="6E09E76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647FF0C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7E2B1D6E">
      <w:pPr>
        <w:spacing w:line="360" w:lineRule="auto"/>
        <w:ind w:firstLine="437"/>
        <w:outlineLvl w:val="2"/>
        <w:rPr>
          <w:rFonts w:ascii="Times New Roman" w:hAnsi="Times New Roman" w:cs="Times New Roman" w:eastAsiaTheme="minorEastAsia"/>
          <w:b/>
          <w:sz w:val="24"/>
        </w:rPr>
      </w:pPr>
      <w:bookmarkStart w:id="17"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7"/>
    </w:p>
    <w:p w14:paraId="23463BA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35E79CB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57A14F6E">
      <w:pPr>
        <w:spacing w:line="360" w:lineRule="auto"/>
        <w:ind w:firstLine="437"/>
        <w:outlineLvl w:val="2"/>
        <w:rPr>
          <w:rFonts w:ascii="Times New Roman" w:hAnsi="Times New Roman" w:cs="Times New Roman" w:eastAsiaTheme="minorEastAsia"/>
          <w:b/>
          <w:sz w:val="24"/>
        </w:rPr>
      </w:pPr>
      <w:bookmarkStart w:id="18"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8"/>
    </w:p>
    <w:p w14:paraId="0213CD7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8C3A5D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46AE88F3">
      <w:pPr>
        <w:spacing w:line="360" w:lineRule="auto"/>
        <w:ind w:firstLine="437"/>
        <w:outlineLvl w:val="2"/>
        <w:rPr>
          <w:rFonts w:ascii="Times New Roman" w:hAnsi="Times New Roman" w:cs="Times New Roman" w:eastAsiaTheme="minorEastAsia"/>
          <w:b/>
          <w:sz w:val="24"/>
        </w:rPr>
      </w:pPr>
      <w:bookmarkStart w:id="19"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9"/>
    </w:p>
    <w:p w14:paraId="2C24E6E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3B3C86B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6BF2F4C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5EB8931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7A31662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2ACC8BF5">
      <w:pPr>
        <w:spacing w:line="360" w:lineRule="auto"/>
        <w:ind w:firstLine="437"/>
        <w:outlineLvl w:val="2"/>
        <w:rPr>
          <w:rFonts w:ascii="Times New Roman" w:hAnsi="Times New Roman" w:cs="Times New Roman" w:eastAsiaTheme="minorEastAsia"/>
          <w:b/>
          <w:sz w:val="24"/>
        </w:rPr>
      </w:pPr>
      <w:bookmarkStart w:id="20"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0"/>
    </w:p>
    <w:p w14:paraId="5F79EB8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7F3EB60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15D12B2B">
      <w:pPr>
        <w:spacing w:line="360" w:lineRule="auto"/>
        <w:ind w:firstLine="437"/>
        <w:outlineLvl w:val="2"/>
        <w:rPr>
          <w:rFonts w:ascii="Times New Roman" w:hAnsi="Times New Roman" w:cs="Times New Roman" w:eastAsiaTheme="minorEastAsia"/>
          <w:b/>
          <w:sz w:val="24"/>
        </w:rPr>
      </w:pPr>
      <w:bookmarkStart w:id="21"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1"/>
    </w:p>
    <w:p w14:paraId="7234C4E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7C175F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3F6BCBDB">
      <w:pPr>
        <w:spacing w:line="360" w:lineRule="auto"/>
        <w:ind w:firstLine="437"/>
        <w:outlineLvl w:val="2"/>
        <w:rPr>
          <w:rFonts w:ascii="Times New Roman" w:hAnsi="Times New Roman" w:cs="Times New Roman" w:eastAsiaTheme="minorEastAsia"/>
          <w:b/>
          <w:sz w:val="24"/>
        </w:rPr>
      </w:pPr>
      <w:bookmarkStart w:id="22"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2"/>
    </w:p>
    <w:p w14:paraId="34CA1D6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43DC939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6C274D19">
      <w:pPr>
        <w:spacing w:line="360" w:lineRule="auto"/>
        <w:ind w:firstLine="437"/>
        <w:outlineLvl w:val="2"/>
        <w:rPr>
          <w:rFonts w:ascii="Times New Roman" w:hAnsi="Times New Roman" w:cs="Times New Roman" w:eastAsiaTheme="minorEastAsia"/>
          <w:b/>
          <w:sz w:val="24"/>
        </w:rPr>
      </w:pPr>
      <w:bookmarkStart w:id="23"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3"/>
    </w:p>
    <w:p w14:paraId="4872BE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2C4C307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26F5AFC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5893F47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DB51BD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6D97CEC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5627F6AF">
      <w:pPr>
        <w:spacing w:line="360" w:lineRule="auto"/>
        <w:ind w:firstLine="437"/>
        <w:outlineLvl w:val="2"/>
        <w:rPr>
          <w:rFonts w:ascii="Times New Roman" w:hAnsi="Times New Roman" w:cs="Times New Roman" w:eastAsiaTheme="minorEastAsia"/>
          <w:b/>
          <w:sz w:val="24"/>
        </w:rPr>
      </w:pPr>
      <w:bookmarkStart w:id="24"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4"/>
    </w:p>
    <w:p w14:paraId="00A5C84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4C9D4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20C85646">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46CB8CFD">
      <w:pPr>
        <w:spacing w:line="360" w:lineRule="auto"/>
        <w:ind w:firstLine="437"/>
        <w:outlineLvl w:val="2"/>
        <w:rPr>
          <w:rFonts w:ascii="Times New Roman" w:hAnsi="Times New Roman" w:cs="Times New Roman" w:eastAsiaTheme="minorEastAsia"/>
          <w:b/>
          <w:sz w:val="24"/>
        </w:rPr>
      </w:pPr>
      <w:bookmarkStart w:id="25"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5"/>
    </w:p>
    <w:p w14:paraId="2A9941A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327F64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76BC0F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555C681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67961C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62FAF69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7A9C9052">
      <w:pPr>
        <w:spacing w:line="360" w:lineRule="auto"/>
        <w:ind w:firstLine="437"/>
        <w:outlineLvl w:val="2"/>
        <w:rPr>
          <w:rFonts w:ascii="Times New Roman" w:hAnsi="Times New Roman" w:cs="Times New Roman" w:eastAsiaTheme="minorEastAsia"/>
          <w:b/>
          <w:sz w:val="24"/>
        </w:rPr>
      </w:pPr>
      <w:bookmarkStart w:id="26"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6"/>
    </w:p>
    <w:p w14:paraId="27883AC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2BDC0545">
      <w:pPr>
        <w:spacing w:line="360" w:lineRule="auto"/>
        <w:ind w:firstLine="437"/>
        <w:outlineLvl w:val="2"/>
        <w:rPr>
          <w:rFonts w:ascii="Times New Roman" w:hAnsi="Times New Roman" w:cs="Times New Roman" w:eastAsiaTheme="minorEastAsia"/>
          <w:b/>
          <w:sz w:val="24"/>
        </w:rPr>
      </w:pPr>
      <w:bookmarkStart w:id="27"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7"/>
    </w:p>
    <w:p w14:paraId="7D3AD38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04E38651">
      <w:pPr>
        <w:spacing w:line="360" w:lineRule="auto"/>
        <w:ind w:firstLine="437"/>
        <w:outlineLvl w:val="2"/>
        <w:rPr>
          <w:rFonts w:ascii="Times New Roman" w:hAnsi="Times New Roman" w:cs="Times New Roman" w:eastAsiaTheme="minorEastAsia"/>
          <w:b/>
          <w:sz w:val="24"/>
        </w:rPr>
      </w:pPr>
      <w:bookmarkStart w:id="28"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8"/>
    </w:p>
    <w:p w14:paraId="1120E7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7A1713F5">
      <w:pPr>
        <w:spacing w:line="360" w:lineRule="auto"/>
        <w:ind w:firstLine="437"/>
        <w:outlineLvl w:val="2"/>
        <w:rPr>
          <w:rFonts w:ascii="Times New Roman" w:hAnsi="Times New Roman" w:cs="Times New Roman" w:eastAsiaTheme="minorEastAsia"/>
          <w:b/>
          <w:sz w:val="24"/>
        </w:rPr>
      </w:pPr>
      <w:bookmarkStart w:id="29"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9"/>
    </w:p>
    <w:p w14:paraId="15D3CA5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49F1637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100C3AC0">
      <w:pPr>
        <w:spacing w:line="360" w:lineRule="auto"/>
        <w:ind w:firstLine="437"/>
        <w:outlineLvl w:val="2"/>
        <w:rPr>
          <w:rFonts w:ascii="Times New Roman" w:hAnsi="Times New Roman" w:cs="Times New Roman" w:eastAsiaTheme="minorEastAsia"/>
          <w:b/>
          <w:sz w:val="24"/>
        </w:rPr>
      </w:pPr>
      <w:bookmarkStart w:id="30"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0"/>
    </w:p>
    <w:p w14:paraId="3842124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5F632D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4985FD35">
      <w:pPr>
        <w:spacing w:line="360" w:lineRule="auto"/>
        <w:ind w:firstLine="437"/>
        <w:outlineLvl w:val="2"/>
        <w:rPr>
          <w:rFonts w:ascii="Times New Roman" w:hAnsi="Times New Roman" w:cs="Times New Roman" w:eastAsiaTheme="minorEastAsia"/>
          <w:b/>
          <w:sz w:val="24"/>
        </w:rPr>
      </w:pPr>
      <w:bookmarkStart w:id="31"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1"/>
    </w:p>
    <w:p w14:paraId="07CC66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29D27F0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171FE9C4">
      <w:pPr>
        <w:spacing w:line="360" w:lineRule="auto"/>
        <w:ind w:firstLine="437"/>
        <w:outlineLvl w:val="2"/>
        <w:rPr>
          <w:rFonts w:ascii="Times New Roman" w:hAnsi="Times New Roman" w:cs="Times New Roman" w:eastAsiaTheme="minorEastAsia"/>
          <w:b/>
          <w:sz w:val="24"/>
        </w:rPr>
      </w:pPr>
      <w:bookmarkStart w:id="32"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2"/>
    </w:p>
    <w:p w14:paraId="7C17416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6C39E75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6BB8D99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6BB67143">
      <w:pPr>
        <w:spacing w:line="360" w:lineRule="auto"/>
        <w:ind w:firstLine="437"/>
        <w:outlineLvl w:val="2"/>
        <w:rPr>
          <w:rFonts w:ascii="Times New Roman" w:hAnsi="Times New Roman" w:cs="Times New Roman" w:eastAsiaTheme="minorEastAsia"/>
          <w:b/>
          <w:sz w:val="24"/>
        </w:rPr>
      </w:pPr>
      <w:bookmarkStart w:id="33"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3"/>
    </w:p>
    <w:p w14:paraId="60E61E9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26A8EA9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460C8681">
      <w:pPr>
        <w:spacing w:line="360" w:lineRule="auto"/>
        <w:ind w:firstLine="437"/>
        <w:outlineLvl w:val="2"/>
        <w:rPr>
          <w:rFonts w:ascii="Times New Roman" w:hAnsi="Times New Roman" w:cs="Times New Roman" w:eastAsiaTheme="minorEastAsia"/>
          <w:b/>
          <w:sz w:val="24"/>
        </w:rPr>
      </w:pPr>
      <w:bookmarkStart w:id="34"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4"/>
    </w:p>
    <w:p w14:paraId="2C0A61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632BDB64">
      <w:pPr>
        <w:spacing w:line="360" w:lineRule="auto"/>
        <w:ind w:firstLine="437"/>
        <w:outlineLvl w:val="2"/>
        <w:rPr>
          <w:rFonts w:ascii="Times New Roman" w:hAnsi="Times New Roman" w:cs="Times New Roman" w:eastAsiaTheme="minorEastAsia"/>
          <w:b/>
          <w:sz w:val="24"/>
        </w:rPr>
      </w:pPr>
      <w:bookmarkStart w:id="35"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5"/>
    </w:p>
    <w:p w14:paraId="4685921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609D96F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4B9DB27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0BAD0A82">
      <w:pPr>
        <w:spacing w:line="360" w:lineRule="auto"/>
        <w:ind w:firstLine="437"/>
        <w:outlineLvl w:val="2"/>
        <w:rPr>
          <w:rFonts w:ascii="Times New Roman" w:hAnsi="Times New Roman" w:cs="Times New Roman" w:eastAsiaTheme="minorEastAsia"/>
          <w:b/>
          <w:sz w:val="24"/>
        </w:rPr>
      </w:pPr>
      <w:bookmarkStart w:id="36"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6"/>
    </w:p>
    <w:p w14:paraId="29D96F5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439830D4">
      <w:pPr>
        <w:spacing w:line="360" w:lineRule="auto"/>
        <w:jc w:val="center"/>
        <w:outlineLvl w:val="0"/>
        <w:rPr>
          <w:rFonts w:asciiTheme="minorEastAsia" w:hAnsiTheme="minorEastAsia" w:eastAsiaTheme="minorEastAsia"/>
          <w:b/>
          <w:sz w:val="28"/>
        </w:rPr>
      </w:pPr>
      <w:bookmarkStart w:id="37" w:name="_Toc31311"/>
      <w:r>
        <w:rPr>
          <w:rFonts w:hint="eastAsia" w:asciiTheme="minorEastAsia" w:hAnsiTheme="minorEastAsia" w:eastAsiaTheme="minorEastAsia"/>
          <w:b/>
          <w:sz w:val="28"/>
        </w:rPr>
        <w:t>第三章 招标人要求</w:t>
      </w:r>
      <w:bookmarkEnd w:id="37"/>
    </w:p>
    <w:p w14:paraId="5BC007BA">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1F3495FF">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3561BBDA">
      <w:pPr>
        <w:spacing w:line="360" w:lineRule="auto"/>
        <w:outlineLvl w:val="1"/>
        <w:rPr>
          <w:rFonts w:ascii="Times New Roman" w:hAnsi="Times New Roman"/>
          <w:b/>
          <w:sz w:val="24"/>
          <w:szCs w:val="24"/>
        </w:rPr>
      </w:pPr>
      <w:bookmarkStart w:id="38" w:name="_Toc482188637"/>
      <w:bookmarkStart w:id="39" w:name="_Toc19590"/>
      <w:r>
        <w:rPr>
          <w:rFonts w:ascii="Times New Roman" w:hAnsi="Times New Roman"/>
          <w:b/>
          <w:sz w:val="24"/>
          <w:szCs w:val="24"/>
        </w:rPr>
        <w:t>一、</w:t>
      </w:r>
      <w:bookmarkEnd w:id="38"/>
      <w:r>
        <w:rPr>
          <w:rFonts w:hint="eastAsia" w:ascii="Times New Roman" w:hAnsi="Times New Roman"/>
          <w:b/>
          <w:sz w:val="24"/>
          <w:szCs w:val="24"/>
        </w:rPr>
        <w:t>项目概况</w:t>
      </w:r>
      <w:bookmarkEnd w:id="39"/>
    </w:p>
    <w:p w14:paraId="47F45F7C">
      <w:pPr>
        <w:spacing w:line="360" w:lineRule="auto"/>
        <w:ind w:firstLine="359" w:firstLineChars="171"/>
        <w:rPr>
          <w:rFonts w:hint="eastAsia" w:asciiTheme="majorEastAsia" w:hAnsiTheme="majorEastAsia" w:eastAsiaTheme="majorEastAsia" w:cstheme="majorEastAsia"/>
          <w:sz w:val="21"/>
          <w:szCs w:val="21"/>
          <w:u w:val="none"/>
          <w:lang w:eastAsia="zh-CN"/>
        </w:rPr>
      </w:pPr>
      <w:r>
        <w:rPr>
          <w:rFonts w:hint="eastAsia" w:asciiTheme="majorEastAsia" w:hAnsiTheme="majorEastAsia" w:eastAsiaTheme="majorEastAsia" w:cstheme="majorEastAsia"/>
          <w:sz w:val="21"/>
          <w:szCs w:val="21"/>
          <w:u w:val="none"/>
          <w:lang w:eastAsia="zh-CN"/>
        </w:rPr>
        <w:t>项目名称：合肥滨湖国际会展中心二期（含二期新建及一期提升改造）智能化及智慧会展工程，智慧会展系统等级保护测评</w:t>
      </w:r>
    </w:p>
    <w:p w14:paraId="116D8C8B">
      <w:pPr>
        <w:spacing w:line="360" w:lineRule="auto"/>
        <w:ind w:firstLine="359" w:firstLineChars="171"/>
        <w:rPr>
          <w:rFonts w:hint="eastAsia" w:ascii="Times New Roman" w:hAnsi="Times New Roman" w:eastAsia="宋体"/>
          <w:i/>
          <w:iCs/>
          <w:color w:val="FF0000"/>
          <w:sz w:val="21"/>
          <w:szCs w:val="21"/>
          <w:u w:val="none"/>
          <w:lang w:eastAsia="zh-CN"/>
        </w:rPr>
      </w:pPr>
      <w:r>
        <w:rPr>
          <w:rFonts w:hint="eastAsia" w:asciiTheme="majorEastAsia" w:hAnsiTheme="majorEastAsia" w:eastAsiaTheme="majorEastAsia" w:cstheme="majorEastAsia"/>
          <w:sz w:val="21"/>
          <w:szCs w:val="21"/>
          <w:u w:val="none"/>
          <w:lang w:eastAsia="zh-CN"/>
        </w:rPr>
        <w:t>项目位置：合肥滨湖国际会展中心</w:t>
      </w:r>
    </w:p>
    <w:p w14:paraId="72DF9286">
      <w:pPr>
        <w:spacing w:line="360" w:lineRule="auto"/>
        <w:outlineLvl w:val="1"/>
        <w:rPr>
          <w:rFonts w:ascii="Times New Roman" w:hAnsi="Times New Roman"/>
          <w:b/>
          <w:sz w:val="24"/>
          <w:szCs w:val="24"/>
        </w:rPr>
      </w:pPr>
      <w:bookmarkStart w:id="40" w:name="_Toc482188638"/>
      <w:bookmarkStart w:id="41" w:name="_Toc26876"/>
      <w:r>
        <w:rPr>
          <w:rFonts w:ascii="Times New Roman" w:hAnsi="Times New Roman"/>
          <w:b/>
          <w:sz w:val="24"/>
          <w:szCs w:val="24"/>
        </w:rPr>
        <w:t>二、</w:t>
      </w:r>
      <w:bookmarkEnd w:id="40"/>
      <w:r>
        <w:rPr>
          <w:rFonts w:hint="eastAsia" w:ascii="Times New Roman" w:hAnsi="Times New Roman"/>
          <w:b/>
          <w:sz w:val="24"/>
          <w:szCs w:val="24"/>
        </w:rPr>
        <w:t>服务内容及要求</w:t>
      </w:r>
      <w:bookmarkEnd w:id="41"/>
    </w:p>
    <w:p w14:paraId="3DC85EFF">
      <w:pPr>
        <w:spacing w:line="360" w:lineRule="auto"/>
        <w:ind w:firstLine="437"/>
        <w:rPr>
          <w:rFonts w:hint="eastAsia" w:ascii="Times New Roman" w:hAnsi="Times New Roman" w:cs="Times New Roman" w:eastAsiaTheme="minorEastAsia"/>
          <w:bCs/>
          <w:sz w:val="21"/>
        </w:rPr>
      </w:pPr>
      <w:r>
        <w:rPr>
          <w:rFonts w:hint="eastAsia" w:ascii="宋体" w:hAnsi="宋体" w:eastAsia="宋体" w:cs="Times New Roman"/>
          <w:b/>
          <w:kern w:val="0"/>
          <w:sz w:val="24"/>
          <w:szCs w:val="24"/>
          <w14:ligatures w14:val="none"/>
        </w:rPr>
        <w:t>一</w:t>
      </w:r>
      <w:r>
        <w:rPr>
          <w:rFonts w:hint="eastAsia" w:ascii="Times New Roman" w:hAnsi="Times New Roman" w:cs="Times New Roman" w:eastAsiaTheme="minorEastAsia"/>
          <w:bCs/>
          <w:sz w:val="21"/>
        </w:rPr>
        <w:t>、项目概况</w:t>
      </w:r>
    </w:p>
    <w:p w14:paraId="4AF12C49">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依据《中华人民共和国网络安全法》《信息安全等级保护管理办法》的相关要求及贯彻落实国家信息安全等级保护制度，进一步提高合肥滨湖会展中心的智慧会展系统信息系统的整体安全防护能力，现</w:t>
      </w:r>
      <w:r>
        <w:rPr>
          <w:rFonts w:hint="eastAsia" w:ascii="Times New Roman" w:hAnsi="Times New Roman" w:cs="Times New Roman" w:eastAsiaTheme="minorEastAsia"/>
          <w:bCs/>
          <w:sz w:val="21"/>
          <w:lang w:val="en-US" w:eastAsia="zh-CN"/>
        </w:rPr>
        <w:t>拟对</w:t>
      </w:r>
      <w:r>
        <w:rPr>
          <w:rFonts w:hint="eastAsia" w:ascii="Times New Roman" w:hAnsi="Times New Roman" w:cs="Times New Roman" w:eastAsiaTheme="minorEastAsia"/>
          <w:bCs/>
          <w:sz w:val="21"/>
        </w:rPr>
        <w:t>合肥滨湖会展中心的智慧会展系统进行网络安全等级保护三级测评评服务，出具等级测评报告。</w:t>
      </w:r>
    </w:p>
    <w:p w14:paraId="213CC995">
      <w:pPr>
        <w:spacing w:line="360" w:lineRule="auto"/>
        <w:ind w:firstLine="437"/>
        <w:rPr>
          <w:rFonts w:hint="eastAsia" w:ascii="Times New Roman" w:hAnsi="Times New Roman" w:cs="Times New Roman" w:eastAsiaTheme="minorEastAsia"/>
          <w:bCs/>
          <w:sz w:val="21"/>
        </w:rPr>
      </w:pPr>
      <w:bookmarkStart w:id="42" w:name="二、招标内容"/>
      <w:bookmarkEnd w:id="42"/>
      <w:r>
        <w:rPr>
          <w:rFonts w:hint="eastAsia" w:ascii="Times New Roman" w:hAnsi="Times New Roman" w:cs="Times New Roman" w:eastAsiaTheme="minorEastAsia"/>
          <w:bCs/>
          <w:sz w:val="21"/>
        </w:rPr>
        <w:t>二、采购内容</w:t>
      </w:r>
    </w:p>
    <w:p w14:paraId="340E2389">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（一）指导思想和基本准则：</w:t>
      </w:r>
    </w:p>
    <w:p w14:paraId="1D760069">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根据公安部、国家保密局、国家密码管理局、国信办联合印发的《信息系统安全等级保护管理办法》（公通字〔2007〕43 号）、《关于信息系统安全等级保护工作的实施意见》（公通字〔2004〕66 号）、《关于开展全国重要信息系统安全等级保护定级工作的通知》（公信安〔2007〕861 号）、公安部《关于开展信息安全等级保护安全建设整改工作的指导意见》（公信[2009]1429 号）等文件精神，结合</w:t>
      </w:r>
      <w:r>
        <w:rPr>
          <w:rFonts w:hint="eastAsia" w:ascii="Times New Roman" w:hAnsi="Times New Roman" w:cs="Times New Roman" w:eastAsiaTheme="minorEastAsia"/>
          <w:bCs/>
          <w:sz w:val="21"/>
          <w:lang w:val="en-US" w:eastAsia="zh-CN"/>
        </w:rPr>
        <w:t>合肥滨湖会展中心</w:t>
      </w:r>
      <w:r>
        <w:rPr>
          <w:rFonts w:hint="eastAsia" w:ascii="Times New Roman" w:hAnsi="Times New Roman" w:cs="Times New Roman" w:eastAsiaTheme="minorEastAsia"/>
          <w:bCs/>
          <w:sz w:val="21"/>
        </w:rPr>
        <w:t>工作实际，现拟对合肥滨湖会展中心的智慧会展系统实施等级保护测评，以进一步完善信息系统安全管理体系和技术防护体系，切实提高系统信息安全防护能力，为信息化建设的健康有序发展提供可靠保障。</w:t>
      </w:r>
    </w:p>
    <w:p w14:paraId="52FA741D">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（二）等级保护测评主要包括以下几个方面：</w:t>
      </w:r>
    </w:p>
    <w:p w14:paraId="6D4570AC">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安全技术测评：包括物理安全、网络安全、主机系统安全、应用安全和数据安全等五个方面的安全测评。</w:t>
      </w:r>
    </w:p>
    <w:p w14:paraId="1C006528">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安全管理测评：包括安全管理机构、安全管理制度、人员安全管理、系统建设管理和系统运维管理等五个方面的安全测评。</w:t>
      </w:r>
    </w:p>
    <w:p w14:paraId="56356DF2">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形成差距分析报告：依据测评结果和《信息系统安全等级保护基本要求》（GB/T22239），对各信息系统进行安全现状分析，形成相应的差距分析报告。</w:t>
      </w:r>
    </w:p>
    <w:p w14:paraId="5AC7C284">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编制系统安全整改方案：依据《信息系统安全等级保护基本要求》和《信息系统等级保护安全设计技术要求》，结合差距分析结果，编制针对各信息系统的安全整改建设方案。</w:t>
      </w:r>
    </w:p>
    <w:p w14:paraId="3C7E277B">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编制和完善安全管理制度：依据《信息系统安全等级保护基本要求》和《信息系统等级保护安全设计技术要求》，协助制订和完善各项信息安全管理制度，规范信息安全日常管理工作，提高信息安全基础管理水平。</w:t>
      </w:r>
    </w:p>
    <w:p w14:paraId="4EBD783E">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完成上述测评工作和实施整改后，最后中标人出具符合公安机关要求的（年度）信息系统安全保护等级测评报告。</w:t>
      </w:r>
    </w:p>
    <w:p w14:paraId="55BAC534">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三、工作要求：</w:t>
      </w:r>
    </w:p>
    <w:p w14:paraId="792C3E32">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实施原则</w:t>
      </w:r>
    </w:p>
    <w:p w14:paraId="315AE9FE">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 xml:space="preserve">规范性原则：中标人工作中的过程和文档，具有很好的规范性，可以便于项目的跟踪和控制； </w:t>
      </w:r>
    </w:p>
    <w:p w14:paraId="07CF896C">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可控性原则：测评的工具、方法和过程需在双方认可的范围之内并符合进度表的安排，保证采购人对服务工作的可控性；</w:t>
      </w:r>
    </w:p>
    <w:p w14:paraId="3FD7A709">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整体性原则：测评和分析的范围和内容应当整体全面，包括安全涉及的各个层面，避免由于遗漏造成未来的安全隐患；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14:paraId="4F2FE3F4">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保密原则：对测评的过程数据和结果数据严格保密，未经授权不得泄露给任何单位和个人，不得利用此数据进行任何侵害采购人网络的行为，否则采购人有权追究责任。</w:t>
      </w:r>
    </w:p>
    <w:p w14:paraId="7B48DFC1">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检测要求</w:t>
      </w:r>
    </w:p>
    <w:p w14:paraId="35BCE055">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2.1访谈</w:t>
      </w:r>
    </w:p>
    <w:p w14:paraId="29F6E20A">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访谈是指测评人员通过与被测系统有关人员（个人/群体）进行交流、询问等活动，获取证据以证明信息系统安全保护措施是否有效的一类方法。在本次测评过程中，访谈方法主要应用于安全管理机构测评、人员安全管理测评、系统建设管理测评和系统运维管理测评等安全管理类测评任务中。</w:t>
      </w:r>
    </w:p>
    <w:p w14:paraId="7F4A6635">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在安全管理类测评任务中，测评人员依据定制的测评指导书（访谈问题列表）对相关人员进行访谈，获取与安全管理有关的测评证据用于判断特定的安全管理措施是否符合国家相关标准以及委托方的实际需求。</w:t>
      </w:r>
    </w:p>
    <w:p w14:paraId="643FF185">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在安全功能检查任务中，测评人员依据定制的测评指导书（访谈问题列表）对相关人员进行访谈，为后续的检查和测试收集必要的系统基本信息并提供参考数据。</w:t>
      </w:r>
    </w:p>
    <w:p w14:paraId="0421554F">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2.2检查</w:t>
      </w:r>
    </w:p>
    <w:p w14:paraId="0DD270F3">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检查是指测评人员通过对测评对象进行观察、查验、分析等活动，获取证据以证明信息系统安全保护措施是否有效的一类方法。在本次测评过程中，检查方法的应用范围覆盖了物理安全测评、主机安全测评、网络安全测评、应用安全测评和数据安全及备份恢复等技术类测评任务，以及安全管理类测评任务。</w:t>
      </w:r>
    </w:p>
    <w:p w14:paraId="5D43C50F">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物理安全测评任务中，测评人员采用文档查阅与分析和现场观测等检查方法来获取测评证据（如机房的温湿度情况），用于判断目标系统在机房安全方面采用的特定安全技术措施是否符合国家相关标准以及委托方的实际需求。</w:t>
      </w:r>
    </w:p>
    <w:p w14:paraId="0BEBC5CA">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主机安全测评、网络安全测评、应用安全测评和数据安全及备份恢复等测评任务中，测评人员综合采用文档查阅与分析、安全配置核查和网络监听与分析等检查方法来获取测评证据（如相关措施的部署和配置情况，特定设备的端口开放情况等），用于判断目标系统在主机、网络和应用层面采用的特定安全技术措施是否符合国家相关标准以及委托方的实际需求。</w:t>
      </w:r>
    </w:p>
    <w:p w14:paraId="6F0F9B17">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在安全管理类测评任务中，测评人员主要采用文档查阅与分析的检查方法来获取测评证据（如制度文件的编制情况），用于判断特定的安全管理措施是否符合国家、行业相关标准的要求以及委托方的实际需求。</w:t>
      </w:r>
    </w:p>
    <w:p w14:paraId="44BDB0D9">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2.3测试</w:t>
      </w:r>
    </w:p>
    <w:p w14:paraId="3C365976">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测试是指测评人员使用预定的方法/工具使测评对象产生特定的行为，通过查看、分析这些行为的结果，获取证据以证明信息系统安全保护措施是否有效的一类方法。在本次测评过程中，测试方法主要应用在手工验证、漏洞扫描等测评任务中。</w:t>
      </w:r>
    </w:p>
    <w:p w14:paraId="76E004FF">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在网络安全、主机安全和应用安全等测评任务中，测评人员将综合采用手工验证和</w:t>
      </w:r>
      <w:r>
        <w:rPr>
          <w:rFonts w:hint="eastAsia" w:ascii="Times New Roman" w:hAnsi="Times New Roman" w:cs="Times New Roman" w:eastAsiaTheme="minorEastAsia"/>
          <w:bCs/>
          <w:sz w:val="21"/>
          <w:lang w:val="en-US" w:eastAsia="zh-CN"/>
        </w:rPr>
        <w:t>高效网络数据加密传输</w:t>
      </w:r>
      <w:r>
        <w:rPr>
          <w:rFonts w:hint="eastAsia" w:ascii="Times New Roman" w:hAnsi="Times New Roman" w:cs="Times New Roman" w:eastAsiaTheme="minorEastAsia"/>
          <w:bCs/>
          <w:sz w:val="21"/>
        </w:rPr>
        <w:t>系统</w:t>
      </w:r>
      <w:r>
        <w:rPr>
          <w:rFonts w:hint="eastAsia" w:ascii="Times New Roman" w:hAnsi="Times New Roman" w:cs="Times New Roman" w:eastAsiaTheme="minorEastAsia"/>
          <w:bCs/>
          <w:sz w:val="21"/>
          <w:lang w:val="en-US" w:eastAsia="zh-CN"/>
        </w:rPr>
        <w:t>及</w:t>
      </w:r>
      <w:r>
        <w:rPr>
          <w:rFonts w:hint="eastAsia" w:ascii="Times New Roman" w:hAnsi="Times New Roman" w:cs="Times New Roman" w:eastAsiaTheme="minorEastAsia"/>
          <w:bCs/>
          <w:sz w:val="21"/>
        </w:rPr>
        <w:t>信息系统</w:t>
      </w:r>
      <w:r>
        <w:rPr>
          <w:rFonts w:hint="eastAsia" w:ascii="Times New Roman" w:hAnsi="Times New Roman" w:cs="Times New Roman" w:eastAsiaTheme="minorEastAsia"/>
          <w:bCs/>
          <w:sz w:val="21"/>
          <w:lang w:val="en-US" w:eastAsia="zh-CN"/>
        </w:rPr>
        <w:t>远程安全评估</w:t>
      </w:r>
      <w:r>
        <w:rPr>
          <w:rFonts w:hint="eastAsia" w:ascii="Times New Roman" w:hAnsi="Times New Roman" w:cs="Times New Roman" w:eastAsiaTheme="minorEastAsia"/>
          <w:bCs/>
          <w:sz w:val="21"/>
        </w:rPr>
        <w:t>系统工具测试方法对特定安全技术措施的有效性进行测试，</w:t>
      </w:r>
      <w:r>
        <w:rPr>
          <w:rFonts w:hint="eastAsia" w:ascii="Times New Roman" w:hAnsi="Times New Roman" w:cs="Times New Roman" w:eastAsiaTheme="minorEastAsia"/>
          <w:bCs/>
          <w:sz w:val="21"/>
          <w:lang w:val="en-US" w:eastAsia="zh-CN"/>
        </w:rPr>
        <w:t>项目实施前</w:t>
      </w:r>
      <w:r>
        <w:rPr>
          <w:rFonts w:hint="eastAsia" w:ascii="Times New Roman" w:hAnsi="Times New Roman" w:cs="Times New Roman" w:eastAsiaTheme="minorEastAsia"/>
          <w:bCs/>
          <w:sz w:val="21"/>
        </w:rPr>
        <w:t>提供</w:t>
      </w:r>
      <w:r>
        <w:rPr>
          <w:rFonts w:hint="eastAsia" w:ascii="Times New Roman" w:hAnsi="Times New Roman" w:cs="Times New Roman" w:eastAsiaTheme="minorEastAsia"/>
          <w:bCs/>
          <w:sz w:val="21"/>
          <w:lang w:val="en-US" w:eastAsia="zh-CN"/>
        </w:rPr>
        <w:t>以上自主研发</w:t>
      </w:r>
      <w:r>
        <w:rPr>
          <w:rFonts w:hint="eastAsia" w:ascii="Times New Roman" w:hAnsi="Times New Roman" w:cs="Times New Roman" w:eastAsiaTheme="minorEastAsia"/>
          <w:bCs/>
          <w:sz w:val="21"/>
        </w:rPr>
        <w:t xml:space="preserve">工具的软著登记证书扫描件或复印件。 </w:t>
      </w:r>
    </w:p>
    <w:p w14:paraId="0C12DB89">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测试结果用于判断目标系统在网络、主机或应用层面采用的特定技术措施是否符合国家相关标准以及委托方的实际需求，并进一步应用于对目标系统进行安全性整体分析。</w:t>
      </w:r>
    </w:p>
    <w:p w14:paraId="0D277178">
      <w:pPr>
        <w:spacing w:line="360" w:lineRule="auto"/>
        <w:outlineLvl w:val="1"/>
        <w:rPr>
          <w:rFonts w:hint="eastAsia" w:ascii="Times New Roman" w:hAnsi="Times New Roman"/>
          <w:b/>
          <w:sz w:val="24"/>
          <w:szCs w:val="24"/>
        </w:rPr>
      </w:pPr>
      <w:bookmarkStart w:id="43" w:name="_Toc482188639"/>
      <w:bookmarkStart w:id="44" w:name="_Toc15614"/>
      <w:r>
        <w:rPr>
          <w:rFonts w:hint="eastAsia" w:ascii="Times New Roman" w:hAnsi="Times New Roman"/>
          <w:b/>
          <w:sz w:val="24"/>
          <w:szCs w:val="24"/>
        </w:rPr>
        <w:t>三、</w:t>
      </w:r>
      <w:bookmarkEnd w:id="43"/>
      <w:r>
        <w:rPr>
          <w:rFonts w:hint="eastAsia" w:ascii="Times New Roman" w:hAnsi="Times New Roman"/>
          <w:b/>
          <w:sz w:val="24"/>
          <w:szCs w:val="24"/>
        </w:rPr>
        <w:t>人员要求</w:t>
      </w:r>
      <w:bookmarkEnd w:id="44"/>
    </w:p>
    <w:p w14:paraId="33644229">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 xml:space="preserve">中标人拟派的安全服务团队不得少于 </w:t>
      </w:r>
      <w:r>
        <w:rPr>
          <w:rFonts w:hint="eastAsia" w:ascii="Times New Roman" w:hAnsi="Times New Roman" w:cs="Times New Roman" w:eastAsiaTheme="minorEastAsia"/>
          <w:bCs/>
          <w:color w:val="auto"/>
          <w:sz w:val="21"/>
          <w:highlight w:val="none"/>
          <w:lang w:val="en-US" w:eastAsia="zh-CN"/>
        </w:rPr>
        <w:t>5</w:t>
      </w:r>
      <w:r>
        <w:rPr>
          <w:rFonts w:hint="eastAsia" w:ascii="Times New Roman" w:hAnsi="Times New Roman" w:cs="Times New Roman" w:eastAsiaTheme="minorEastAsia"/>
          <w:bCs/>
          <w:color w:val="auto"/>
          <w:sz w:val="21"/>
          <w:highlight w:val="none"/>
        </w:rPr>
        <w:t>人</w:t>
      </w:r>
      <w:r>
        <w:rPr>
          <w:rFonts w:hint="eastAsia" w:ascii="Times New Roman" w:hAnsi="Times New Roman" w:cs="Times New Roman" w:eastAsiaTheme="minorEastAsia"/>
          <w:bCs/>
          <w:color w:val="auto"/>
          <w:sz w:val="21"/>
          <w:highlight w:val="none"/>
          <w:lang w:eastAsia="zh-CN"/>
        </w:rPr>
        <w:t>（</w:t>
      </w:r>
      <w:r>
        <w:rPr>
          <w:rFonts w:hint="eastAsia" w:ascii="Times New Roman" w:hAnsi="Times New Roman" w:cs="Times New Roman" w:eastAsiaTheme="minorEastAsia"/>
          <w:bCs/>
          <w:color w:val="auto"/>
          <w:sz w:val="21"/>
          <w:highlight w:val="none"/>
          <w:lang w:val="en-US" w:eastAsia="zh-CN"/>
        </w:rPr>
        <w:t>1个项目经理和4个测试人员</w:t>
      </w:r>
      <w:r>
        <w:rPr>
          <w:rFonts w:hint="eastAsia" w:ascii="Times New Roman" w:hAnsi="Times New Roman" w:cs="Times New Roman" w:eastAsiaTheme="minorEastAsia"/>
          <w:bCs/>
          <w:color w:val="auto"/>
          <w:sz w:val="21"/>
          <w:highlight w:val="none"/>
          <w:lang w:eastAsia="zh-CN"/>
        </w:rPr>
        <w:t>）</w:t>
      </w:r>
      <w:r>
        <w:rPr>
          <w:rFonts w:hint="eastAsia" w:ascii="Times New Roman" w:hAnsi="Times New Roman" w:cs="Times New Roman" w:eastAsiaTheme="minorEastAsia"/>
          <w:bCs/>
          <w:color w:val="auto"/>
          <w:sz w:val="21"/>
          <w:highlight w:val="none"/>
        </w:rPr>
        <w:t>。现场测评结束后，提供一年的售后服务，既售后服务期内根据业主需求能及时安排参与现场测评的测评师到达现场协助和指导整改工作。考虑安全服务团队的专业性，对项目经理和测评人员要求如下：</w:t>
      </w:r>
    </w:p>
    <w:p w14:paraId="284AE242">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1、项目经理：</w:t>
      </w:r>
    </w:p>
    <w:p w14:paraId="5FD286AF">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投标人为本项目配备的项目经理需具备以下证书：</w:t>
      </w:r>
    </w:p>
    <w:p w14:paraId="0A671460">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1）注册信息安全工程师（CISP）证书；</w:t>
      </w:r>
    </w:p>
    <w:p w14:paraId="5298E445">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2、测评人员：</w:t>
      </w:r>
    </w:p>
    <w:p w14:paraId="4E79FF66">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投标人为本项目配备的测评人员需具备以下证书</w:t>
      </w:r>
      <w:r>
        <w:rPr>
          <w:rFonts w:hint="eastAsia" w:ascii="Times New Roman" w:hAnsi="Times New Roman" w:cs="Times New Roman" w:eastAsiaTheme="minorEastAsia"/>
          <w:bCs/>
          <w:color w:val="auto"/>
          <w:sz w:val="21"/>
          <w:highlight w:val="none"/>
          <w:lang w:eastAsia="zh-CN"/>
        </w:rPr>
        <w:t>（</w:t>
      </w:r>
      <w:r>
        <w:rPr>
          <w:rFonts w:hint="eastAsia" w:ascii="Times New Roman" w:hAnsi="Times New Roman" w:cs="Times New Roman" w:eastAsiaTheme="minorEastAsia"/>
          <w:bCs/>
          <w:color w:val="auto"/>
          <w:sz w:val="21"/>
          <w:highlight w:val="none"/>
          <w:lang w:val="en-US" w:eastAsia="zh-CN"/>
        </w:rPr>
        <w:t>一人一证，不可重复）</w:t>
      </w:r>
      <w:r>
        <w:rPr>
          <w:rFonts w:hint="eastAsia" w:ascii="Times New Roman" w:hAnsi="Times New Roman" w:cs="Times New Roman" w:eastAsiaTheme="minorEastAsia"/>
          <w:bCs/>
          <w:color w:val="auto"/>
          <w:sz w:val="21"/>
          <w:highlight w:val="none"/>
        </w:rPr>
        <w:t>：</w:t>
      </w:r>
    </w:p>
    <w:p w14:paraId="3947C36C">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1）重要信息系统保护人员（证书类别：CIIP-A或CIIP-D）证书；</w:t>
      </w:r>
    </w:p>
    <w:p w14:paraId="1120D822">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2）高级数据中心运维工程师证书；</w:t>
      </w:r>
    </w:p>
    <w:p w14:paraId="34105849">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3）高级软件架构师证书；</w:t>
      </w:r>
    </w:p>
    <w:p w14:paraId="7217AA61">
      <w:pPr>
        <w:spacing w:line="360" w:lineRule="auto"/>
        <w:ind w:firstLine="437"/>
        <w:rPr>
          <w:rFonts w:hint="eastAsia" w:ascii="Times New Roman" w:hAnsi="Times New Roman" w:cs="Times New Roman" w:eastAsiaTheme="minorEastAsia"/>
          <w:bCs/>
          <w:color w:val="auto"/>
          <w:sz w:val="21"/>
          <w:highlight w:val="none"/>
        </w:rPr>
      </w:pPr>
      <w:r>
        <w:rPr>
          <w:rFonts w:hint="eastAsia" w:ascii="Times New Roman" w:hAnsi="Times New Roman" w:cs="Times New Roman" w:eastAsiaTheme="minorEastAsia"/>
          <w:bCs/>
          <w:color w:val="auto"/>
          <w:sz w:val="21"/>
          <w:highlight w:val="none"/>
        </w:rPr>
        <w:t>4）软件测试工程师证书。</w:t>
      </w:r>
    </w:p>
    <w:p w14:paraId="72BAEFD6">
      <w:pPr>
        <w:spacing w:line="360" w:lineRule="auto"/>
        <w:ind w:firstLine="437"/>
        <w:rPr>
          <w:rFonts w:hint="eastAsia" w:ascii="Times New Roman" w:hAnsi="Times New Roman" w:cs="Times New Roman" w:eastAsiaTheme="minorEastAsia"/>
          <w:bCs/>
          <w:color w:val="auto"/>
          <w:sz w:val="21"/>
          <w:lang w:val="en-US" w:eastAsia="zh-CN"/>
        </w:rPr>
      </w:pPr>
      <w:r>
        <w:rPr>
          <w:rFonts w:hint="eastAsia" w:ascii="Times New Roman" w:hAnsi="Times New Roman" w:cs="Times New Roman" w:eastAsiaTheme="minorEastAsia"/>
          <w:bCs/>
          <w:color w:val="auto"/>
          <w:sz w:val="21"/>
          <w:highlight w:val="none"/>
          <w:lang w:val="en-US" w:eastAsia="zh-CN"/>
        </w:rPr>
        <w:t>注：中标后签订合同前需要提供以上人员证书扫描件（或复印件），且提供持证人员2024年1月1日以来连续三个月由投</w:t>
      </w:r>
      <w:r>
        <w:rPr>
          <w:rFonts w:hint="eastAsia" w:ascii="Times New Roman" w:hAnsi="Times New Roman" w:cs="Times New Roman" w:eastAsiaTheme="minorEastAsia"/>
          <w:bCs/>
          <w:color w:val="auto"/>
          <w:sz w:val="21"/>
          <w:lang w:val="en-US" w:eastAsia="zh-CN"/>
        </w:rPr>
        <w:t xml:space="preserve">标单位为其缴费的社保证明。 </w:t>
      </w:r>
    </w:p>
    <w:p w14:paraId="28F8749A">
      <w:pPr>
        <w:spacing w:line="360" w:lineRule="auto"/>
        <w:ind w:firstLine="437"/>
        <w:rPr>
          <w:rFonts w:hint="eastAsia" w:ascii="Times New Roman" w:hAnsi="Times New Roman" w:cs="Times New Roman" w:eastAsiaTheme="minorEastAsia"/>
          <w:bCs/>
          <w:color w:val="auto"/>
          <w:sz w:val="21"/>
          <w:lang w:val="en-US" w:eastAsia="zh-CN"/>
        </w:rPr>
      </w:pPr>
      <w:r>
        <w:rPr>
          <w:rFonts w:hint="eastAsia" w:ascii="Times New Roman" w:hAnsi="Times New Roman" w:cs="Times New Roman" w:eastAsiaTheme="minorEastAsia"/>
          <w:bCs/>
          <w:color w:val="auto"/>
          <w:sz w:val="21"/>
          <w:lang w:val="en-US" w:eastAsia="zh-CN"/>
        </w:rPr>
        <w:t>在本项目实施期间，未经甲方同意，中途不得更换人员，也不得将项目任务分包或转包。乙方擅自更换项目负责人、项目成员，或将项目任务分包或转包，甲方有权终止合同，扣除全部履约保证金，由此造成的损失和责任全部由乙方承担。</w:t>
      </w:r>
    </w:p>
    <w:p w14:paraId="42C299C1">
      <w:pPr>
        <w:spacing w:line="360" w:lineRule="auto"/>
        <w:outlineLvl w:val="1"/>
        <w:rPr>
          <w:rFonts w:ascii="Times New Roman" w:hAnsi="Times New Roman"/>
          <w:b/>
          <w:color w:val="auto"/>
          <w:sz w:val="24"/>
          <w:szCs w:val="24"/>
        </w:rPr>
      </w:pPr>
      <w:bookmarkStart w:id="45" w:name="_Toc482188644"/>
      <w:bookmarkStart w:id="46" w:name="_Toc482188645"/>
      <w:r>
        <w:rPr>
          <w:rFonts w:hint="eastAsia" w:ascii="Times New Roman" w:hAnsi="Times New Roman"/>
          <w:b/>
          <w:color w:val="auto"/>
          <w:sz w:val="24"/>
          <w:szCs w:val="24"/>
        </w:rPr>
        <w:t>四、</w:t>
      </w:r>
      <w:bookmarkEnd w:id="45"/>
      <w:r>
        <w:rPr>
          <w:rFonts w:hint="eastAsia" w:ascii="Times New Roman" w:hAnsi="Times New Roman"/>
          <w:b/>
          <w:color w:val="auto"/>
          <w:sz w:val="24"/>
          <w:szCs w:val="24"/>
        </w:rPr>
        <w:t>报价要求</w:t>
      </w:r>
    </w:p>
    <w:p w14:paraId="130F58AA">
      <w:pPr>
        <w:spacing w:line="360" w:lineRule="auto"/>
        <w:ind w:firstLine="437"/>
        <w:rPr>
          <w:rFonts w:hint="eastAsia" w:ascii="Times New Roman" w:hAnsi="Times New Roman" w:cs="Times New Roman" w:eastAsiaTheme="minorEastAsia"/>
          <w:bCs/>
          <w:color w:val="auto"/>
          <w:sz w:val="21"/>
          <w:lang w:val="en-US" w:eastAsia="zh-CN"/>
        </w:rPr>
      </w:pPr>
      <w:r>
        <w:rPr>
          <w:rFonts w:hint="eastAsia" w:ascii="Times New Roman" w:hAnsi="Times New Roman" w:cs="Times New Roman" w:eastAsiaTheme="minorEastAsia"/>
          <w:bCs/>
          <w:color w:val="auto"/>
          <w:sz w:val="21"/>
          <w:lang w:val="en-US" w:eastAsia="zh-CN"/>
        </w:rPr>
        <w:t>本项目采用总价报价，除非合同另有规定，该总价包含但不限于咨询服务费、专家评审费、方案编制费、现场调研勘察费、数据采集费、人工费、差旅费、利润、税金等全部费用。投标报价总价不得高于项目概算。</w:t>
      </w:r>
    </w:p>
    <w:p w14:paraId="6B90964C">
      <w:pPr>
        <w:spacing w:line="360" w:lineRule="auto"/>
        <w:outlineLvl w:val="1"/>
        <w:rPr>
          <w:rFonts w:hint="eastAsia" w:ascii="Times New Roman" w:hAnsi="Times New Roman"/>
          <w:b/>
          <w:color w:val="auto"/>
          <w:sz w:val="24"/>
          <w:szCs w:val="24"/>
        </w:rPr>
      </w:pPr>
      <w:r>
        <w:rPr>
          <w:rFonts w:hint="eastAsia" w:ascii="Times New Roman" w:hAnsi="Times New Roman"/>
          <w:b/>
          <w:color w:val="auto"/>
          <w:sz w:val="24"/>
          <w:szCs w:val="24"/>
        </w:rPr>
        <w:t>五、付款方式</w:t>
      </w:r>
    </w:p>
    <w:p w14:paraId="4B3CEB12">
      <w:pPr>
        <w:spacing w:line="360" w:lineRule="auto"/>
        <w:ind w:firstLine="437"/>
        <w:rPr>
          <w:rFonts w:hint="eastAsia" w:ascii="Times New Roman" w:hAnsi="Times New Roman" w:cs="Times New Roman" w:eastAsiaTheme="minorEastAsia"/>
          <w:bCs/>
          <w:color w:val="auto"/>
          <w:sz w:val="21"/>
          <w:lang w:val="en-US" w:eastAsia="zh-CN"/>
        </w:rPr>
      </w:pPr>
      <w:r>
        <w:rPr>
          <w:rFonts w:ascii="Times New Roman" w:hAnsi="Times New Roman" w:cs="Times New Roman" w:eastAsiaTheme="minorEastAsia"/>
          <w:bCs/>
          <w:color w:val="auto"/>
          <w:sz w:val="21"/>
        </w:rPr>
        <w:t>付款方式：</w:t>
      </w:r>
      <w:r>
        <w:rPr>
          <w:rFonts w:hint="eastAsia" w:ascii="Times New Roman" w:hAnsi="Times New Roman" w:cs="Times New Roman" w:eastAsiaTheme="minorEastAsia"/>
          <w:bCs/>
          <w:color w:val="auto"/>
          <w:sz w:val="21"/>
          <w:lang w:val="en-US" w:eastAsia="zh-CN"/>
        </w:rPr>
        <w:t>本合同无预付款，中标人完成所有服务后付至合同价的80%；审计完成后付清剩余款项。</w:t>
      </w:r>
    </w:p>
    <w:p w14:paraId="070FBAC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注：（1）在</w:t>
      </w:r>
      <w:r>
        <w:rPr>
          <w:rFonts w:hint="eastAsia" w:ascii="Times New Roman" w:hAnsi="Times New Roman" w:cs="Times New Roman" w:eastAsiaTheme="minorEastAsia"/>
          <w:bCs/>
          <w:sz w:val="21"/>
          <w:lang w:eastAsia="zh-CN"/>
        </w:rPr>
        <w:t>招标人</w:t>
      </w:r>
      <w:r>
        <w:rPr>
          <w:rFonts w:ascii="Times New Roman" w:hAnsi="Times New Roman" w:cs="Times New Roman" w:eastAsiaTheme="minorEastAsia"/>
          <w:bCs/>
          <w:sz w:val="21"/>
        </w:rPr>
        <w:t>付款前，中标人需向</w:t>
      </w:r>
      <w:r>
        <w:rPr>
          <w:rFonts w:hint="eastAsia" w:ascii="Times New Roman" w:hAnsi="Times New Roman" w:cs="Times New Roman" w:eastAsiaTheme="minorEastAsia"/>
          <w:bCs/>
          <w:sz w:val="21"/>
          <w:lang w:eastAsia="zh-CN"/>
        </w:rPr>
        <w:t>招标人</w:t>
      </w:r>
      <w:r>
        <w:rPr>
          <w:rFonts w:ascii="Times New Roman" w:hAnsi="Times New Roman" w:cs="Times New Roman" w:eastAsiaTheme="minorEastAsia"/>
          <w:bCs/>
          <w:sz w:val="21"/>
        </w:rPr>
        <w:t>交付等额的增值税专用发票，否则</w:t>
      </w:r>
      <w:r>
        <w:rPr>
          <w:rFonts w:hint="eastAsia" w:ascii="Times New Roman" w:hAnsi="Times New Roman" w:cs="Times New Roman" w:eastAsiaTheme="minorEastAsia"/>
          <w:bCs/>
          <w:sz w:val="21"/>
          <w:lang w:eastAsia="zh-CN"/>
        </w:rPr>
        <w:t>招标人</w:t>
      </w:r>
      <w:r>
        <w:rPr>
          <w:rFonts w:ascii="Times New Roman" w:hAnsi="Times New Roman" w:cs="Times New Roman" w:eastAsiaTheme="minorEastAsia"/>
          <w:bCs/>
          <w:sz w:val="21"/>
        </w:rPr>
        <w:t>有权拒绝或者延迟付款，且不承担违约责任。</w:t>
      </w:r>
    </w:p>
    <w:p w14:paraId="780D5AE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（2）投标人提交的投标文件中如有关于付款条件的表述与</w:t>
      </w:r>
      <w:r>
        <w:rPr>
          <w:rFonts w:hint="eastAsia" w:ascii="Times New Roman" w:hAnsi="Times New Roman" w:cs="Times New Roman" w:eastAsiaTheme="minorEastAsia"/>
          <w:bCs/>
          <w:sz w:val="21"/>
          <w:lang w:eastAsia="zh-CN"/>
        </w:rPr>
        <w:t>竞价文件</w:t>
      </w:r>
      <w:r>
        <w:rPr>
          <w:rFonts w:ascii="Times New Roman" w:hAnsi="Times New Roman" w:cs="Times New Roman" w:eastAsiaTheme="minorEastAsia"/>
          <w:bCs/>
          <w:sz w:val="21"/>
        </w:rPr>
        <w:t>规定不符，投标无效。</w:t>
      </w:r>
    </w:p>
    <w:bookmarkEnd w:id="46"/>
    <w:p w14:paraId="3FA475D0">
      <w:pPr>
        <w:spacing w:line="360" w:lineRule="auto"/>
        <w:jc w:val="center"/>
        <w:outlineLvl w:val="0"/>
        <w:rPr>
          <w:rFonts w:asciiTheme="minorEastAsia" w:hAnsiTheme="minorEastAsia" w:eastAsiaTheme="minorEastAsia"/>
          <w:b/>
          <w:sz w:val="28"/>
        </w:rPr>
      </w:pPr>
      <w:bookmarkStart w:id="47" w:name="_Toc14801"/>
      <w:r>
        <w:rPr>
          <w:rFonts w:hint="eastAsia" w:asciiTheme="minorEastAsia" w:hAnsiTheme="minorEastAsia" w:eastAsiaTheme="minorEastAsia"/>
          <w:b/>
          <w:sz w:val="28"/>
        </w:rPr>
        <w:t>第四章  评审方法和标准</w:t>
      </w:r>
      <w:bookmarkEnd w:id="47"/>
    </w:p>
    <w:p w14:paraId="3DD28E22">
      <w:pPr>
        <w:spacing w:line="360" w:lineRule="auto"/>
        <w:ind w:firstLine="437"/>
        <w:outlineLvl w:val="1"/>
        <w:rPr>
          <w:rFonts w:asciiTheme="minorEastAsia" w:hAnsiTheme="minorEastAsia" w:eastAsiaTheme="minorEastAsia"/>
          <w:b/>
          <w:sz w:val="24"/>
        </w:rPr>
      </w:pPr>
      <w:bookmarkStart w:id="48" w:name="_Toc29594"/>
      <w:r>
        <w:rPr>
          <w:rFonts w:hint="eastAsia" w:asciiTheme="minorEastAsia" w:hAnsiTheme="minorEastAsia" w:eastAsiaTheme="minorEastAsia"/>
          <w:b/>
          <w:sz w:val="24"/>
        </w:rPr>
        <w:t>一、总则</w:t>
      </w:r>
      <w:bookmarkEnd w:id="48"/>
    </w:p>
    <w:p w14:paraId="05FBD488">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31A056B1">
      <w:pPr>
        <w:spacing w:line="360" w:lineRule="auto"/>
        <w:ind w:firstLine="437"/>
        <w:outlineLvl w:val="1"/>
        <w:rPr>
          <w:rFonts w:asciiTheme="minorEastAsia" w:hAnsiTheme="minorEastAsia" w:eastAsiaTheme="minorEastAsia"/>
          <w:b/>
          <w:sz w:val="24"/>
        </w:rPr>
      </w:pPr>
      <w:bookmarkStart w:id="49" w:name="_Toc22999"/>
      <w:r>
        <w:rPr>
          <w:rFonts w:hint="eastAsia" w:asciiTheme="minorEastAsia" w:hAnsiTheme="minorEastAsia" w:eastAsiaTheme="minorEastAsia"/>
          <w:b/>
          <w:sz w:val="24"/>
        </w:rPr>
        <w:t>二、评审方法</w:t>
      </w:r>
      <w:bookmarkEnd w:id="49"/>
    </w:p>
    <w:p w14:paraId="174960AF">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223"/>
        <w:gridCol w:w="5607"/>
      </w:tblGrid>
      <w:tr w14:paraId="6F24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DDFF6E5">
            <w:pPr>
              <w:keepNext w:val="0"/>
              <w:keepLines w:val="0"/>
              <w:suppressLineNumbers w:val="0"/>
              <w:adjustRightInd w:val="0"/>
              <w:snapToGrid w:val="0"/>
              <w:spacing w:before="0" w:beforeAutospacing="0" w:after="0" w:afterAutospacing="0"/>
              <w:ind w:left="0" w:right="-10"/>
              <w:jc w:val="center"/>
              <w:rPr>
                <w:rFonts w:hint="default" w:ascii="Calibri" w:hAnsi="Calibri" w:cs="Times New Roman"/>
                <w:b/>
                <w:kern w:val="2"/>
                <w:sz w:val="21"/>
                <w:szCs w:val="21"/>
              </w:rPr>
            </w:pPr>
            <w:r>
              <w:rPr>
                <w:rFonts w:hint="eastAsia" w:ascii="Calibri" w:hAnsi="Calibri" w:cs="Times New Roman"/>
                <w:b/>
                <w:kern w:val="2"/>
                <w:sz w:val="21"/>
                <w:szCs w:val="21"/>
              </w:rPr>
              <w:t>初审表</w:t>
            </w:r>
          </w:p>
        </w:tc>
      </w:tr>
      <w:tr w14:paraId="00CA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6" w:type="pct"/>
            <w:tcBorders>
              <w:bottom w:val="single" w:color="auto" w:sz="4" w:space="0"/>
            </w:tcBorders>
            <w:vAlign w:val="center"/>
          </w:tcPr>
          <w:p w14:paraId="30A31912">
            <w:pPr>
              <w:keepNext w:val="0"/>
              <w:keepLines w:val="0"/>
              <w:suppressLineNumbers w:val="0"/>
              <w:adjustRightInd w:val="0"/>
              <w:snapToGrid w:val="0"/>
              <w:spacing w:before="0" w:beforeAutospacing="0" w:after="0" w:afterAutospacing="0"/>
              <w:ind w:left="0" w:right="-10"/>
              <w:jc w:val="center"/>
              <w:rPr>
                <w:rFonts w:hint="default"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101C2D7A">
            <w:pPr>
              <w:keepNext w:val="0"/>
              <w:keepLines w:val="0"/>
              <w:suppressLineNumbers w:val="0"/>
              <w:adjustRightInd w:val="0"/>
              <w:snapToGrid w:val="0"/>
              <w:spacing w:before="0" w:beforeAutospacing="0" w:after="0" w:afterAutospacing="0"/>
              <w:ind w:left="0" w:right="-10"/>
              <w:jc w:val="center"/>
              <w:rPr>
                <w:rFonts w:hint="default" w:ascii="Calibri" w:hAnsi="Calibri" w:cs="Times New Roman"/>
                <w:b/>
                <w:kern w:val="2"/>
                <w:sz w:val="21"/>
                <w:szCs w:val="21"/>
              </w:rPr>
            </w:pPr>
            <w:r>
              <w:rPr>
                <w:rFonts w:hint="eastAsia" w:ascii="Calibri" w:hAnsi="Calibri" w:cs="Times New Roman"/>
                <w:b/>
                <w:kern w:val="2"/>
                <w:sz w:val="21"/>
                <w:szCs w:val="21"/>
              </w:rPr>
              <w:t>评审指标</w:t>
            </w:r>
          </w:p>
        </w:tc>
        <w:tc>
          <w:tcPr>
            <w:tcW w:w="3289" w:type="pct"/>
            <w:tcBorders>
              <w:bottom w:val="single" w:color="auto" w:sz="4" w:space="0"/>
            </w:tcBorders>
            <w:vAlign w:val="center"/>
          </w:tcPr>
          <w:p w14:paraId="25C4E1A8">
            <w:pPr>
              <w:keepNext w:val="0"/>
              <w:keepLines w:val="0"/>
              <w:suppressLineNumbers w:val="0"/>
              <w:adjustRightInd w:val="0"/>
              <w:snapToGrid w:val="0"/>
              <w:spacing w:before="0" w:beforeAutospacing="0" w:after="0" w:afterAutospacing="0"/>
              <w:ind w:left="0" w:right="-10"/>
              <w:jc w:val="center"/>
              <w:rPr>
                <w:rFonts w:hint="default" w:ascii="Calibri" w:hAnsi="Calibri" w:cs="Times New Roman"/>
                <w:b/>
                <w:kern w:val="2"/>
                <w:sz w:val="21"/>
                <w:szCs w:val="21"/>
              </w:rPr>
            </w:pPr>
            <w:r>
              <w:rPr>
                <w:rFonts w:hint="eastAsia" w:ascii="Calibri" w:hAnsi="Calibri" w:cs="Times New Roman"/>
                <w:b/>
                <w:kern w:val="2"/>
                <w:sz w:val="21"/>
                <w:szCs w:val="21"/>
              </w:rPr>
              <w:t>合格条件</w:t>
            </w:r>
          </w:p>
        </w:tc>
      </w:tr>
      <w:tr w14:paraId="2E73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tcBorders>
              <w:bottom w:val="single" w:color="auto" w:sz="4" w:space="0"/>
            </w:tcBorders>
            <w:vAlign w:val="center"/>
          </w:tcPr>
          <w:p w14:paraId="209C35A0">
            <w:pPr>
              <w:keepNext w:val="0"/>
              <w:keepLines w:val="0"/>
              <w:suppressLineNumbers w:val="0"/>
              <w:adjustRightInd w:val="0"/>
              <w:snapToGrid w:val="0"/>
              <w:spacing w:before="0" w:beforeAutospacing="0" w:after="0" w:afterAutospacing="0"/>
              <w:ind w:left="0" w:right="-10"/>
              <w:jc w:val="center"/>
              <w:rPr>
                <w:rFonts w:hint="default"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40B1B801">
            <w:pPr>
              <w:keepNext w:val="0"/>
              <w:keepLines w:val="0"/>
              <w:suppressLineNumbers w:val="0"/>
              <w:adjustRightInd w:val="0"/>
              <w:snapToGrid w:val="0"/>
              <w:spacing w:before="0" w:beforeAutospacing="0" w:after="0" w:afterAutospacing="0"/>
              <w:ind w:left="0" w:right="-10"/>
              <w:jc w:val="left"/>
              <w:rPr>
                <w:rFonts w:hint="default" w:cs="Times New Roman"/>
                <w:kern w:val="2"/>
                <w:sz w:val="21"/>
                <w:szCs w:val="21"/>
              </w:rPr>
            </w:pPr>
            <w:r>
              <w:rPr>
                <w:rFonts w:hint="eastAsia" w:cs="Times New Roman"/>
                <w:kern w:val="2"/>
                <w:sz w:val="21"/>
                <w:szCs w:val="21"/>
              </w:rPr>
              <w:t>营业执照</w:t>
            </w:r>
          </w:p>
        </w:tc>
        <w:tc>
          <w:tcPr>
            <w:tcW w:w="3289" w:type="pct"/>
            <w:tcBorders>
              <w:bottom w:val="single" w:color="auto" w:sz="4" w:space="0"/>
            </w:tcBorders>
            <w:vAlign w:val="center"/>
          </w:tcPr>
          <w:p w14:paraId="3609D557">
            <w:pPr>
              <w:keepNext w:val="0"/>
              <w:keepLines w:val="0"/>
              <w:suppressLineNumbers w:val="0"/>
              <w:adjustRightInd w:val="0"/>
              <w:snapToGrid w:val="0"/>
              <w:spacing w:before="0" w:beforeAutospacing="0" w:after="0" w:afterAutospacing="0" w:line="240" w:lineRule="auto"/>
              <w:ind w:left="0" w:right="-10"/>
              <w:rPr>
                <w:rFonts w:hint="default"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2D49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6BA9EF">
            <w:pPr>
              <w:keepNext w:val="0"/>
              <w:keepLines w:val="0"/>
              <w:suppressLineNumbers w:val="0"/>
              <w:adjustRightInd w:val="0"/>
              <w:snapToGrid w:val="0"/>
              <w:spacing w:before="0" w:beforeAutospacing="0" w:after="0" w:afterAutospacing="0"/>
              <w:ind w:left="0" w:right="-10"/>
              <w:jc w:val="center"/>
              <w:rPr>
                <w:rFonts w:hint="default" w:cs="Times New Roman"/>
                <w:kern w:val="2"/>
                <w:sz w:val="21"/>
                <w:szCs w:val="21"/>
              </w:rPr>
            </w:pPr>
            <w:r>
              <w:rPr>
                <w:rFonts w:hint="eastAsia" w:cs="Times New Roman"/>
                <w:kern w:val="2"/>
                <w:sz w:val="21"/>
                <w:szCs w:val="21"/>
              </w:rPr>
              <w:t>2</w:t>
            </w:r>
          </w:p>
        </w:tc>
        <w:tc>
          <w:tcPr>
            <w:tcW w:w="1304" w:type="pct"/>
            <w:shd w:val="clear" w:color="auto" w:fill="auto"/>
            <w:vAlign w:val="center"/>
          </w:tcPr>
          <w:p w14:paraId="23A58CE1">
            <w:pPr>
              <w:keepNext w:val="0"/>
              <w:keepLines w:val="0"/>
              <w:suppressLineNumbers w:val="0"/>
              <w:adjustRightInd w:val="0"/>
              <w:snapToGrid w:val="0"/>
              <w:spacing w:before="0" w:beforeAutospacing="0" w:after="0" w:afterAutospacing="0"/>
              <w:ind w:left="0" w:leftChars="0" w:right="-10" w:rightChars="0"/>
              <w:jc w:val="left"/>
              <w:rPr>
                <w:rFonts w:hint="default" w:ascii="宋体" w:hAnsi="宋体" w:eastAsia="宋体" w:cs="Times New Roman"/>
                <w:kern w:val="2"/>
                <w:sz w:val="21"/>
                <w:szCs w:val="21"/>
                <w:lang w:val="en-US" w:eastAsia="zh-CN" w:bidi="ar-SA"/>
              </w:rPr>
            </w:pPr>
            <w:r>
              <w:rPr>
                <w:rFonts w:hint="eastAsia" w:cs="Times New Roman"/>
                <w:kern w:val="2"/>
                <w:sz w:val="21"/>
                <w:szCs w:val="21"/>
              </w:rPr>
              <w:t>投标人业绩</w:t>
            </w:r>
          </w:p>
        </w:tc>
        <w:tc>
          <w:tcPr>
            <w:tcW w:w="3289" w:type="pct"/>
            <w:shd w:val="clear" w:color="auto" w:fill="auto"/>
            <w:vAlign w:val="center"/>
          </w:tcPr>
          <w:p w14:paraId="08C27D45">
            <w:pPr>
              <w:keepNext w:val="0"/>
              <w:keepLines w:val="0"/>
              <w:suppressLineNumbers w:val="0"/>
              <w:spacing w:before="0" w:beforeAutospacing="0" w:after="0" w:afterAutospacing="0" w:line="240" w:lineRule="auto"/>
              <w:ind w:left="0" w:leftChars="0" w:right="-11" w:rightChars="0"/>
              <w:rPr>
                <w:rFonts w:hint="default" w:ascii="宋体" w:hAnsi="宋体" w:eastAsia="宋体" w:cs="Times New Roman"/>
                <w:kern w:val="2"/>
                <w:sz w:val="21"/>
                <w:szCs w:val="21"/>
                <w:lang w:val="en-US" w:eastAsia="zh-CN" w:bidi="ar-SA"/>
              </w:rPr>
            </w:pPr>
            <w:r>
              <w:rPr>
                <w:rFonts w:hint="eastAsia" w:cs="Times New Roman"/>
                <w:kern w:val="2"/>
                <w:sz w:val="21"/>
                <w:szCs w:val="21"/>
              </w:rPr>
              <w:t>提供符合</w:t>
            </w:r>
            <w:r>
              <w:rPr>
                <w:rFonts w:hint="eastAsia" w:ascii="Times New Roman" w:hAnsi="Times New Roman" w:cs="Times New Roman" w:eastAsiaTheme="minorEastAsia"/>
                <w:kern w:val="2"/>
                <w:sz w:val="21"/>
                <w:szCs w:val="21"/>
              </w:rPr>
              <w:t>竞价</w:t>
            </w:r>
            <w:r>
              <w:rPr>
                <w:rFonts w:hint="eastAsia" w:cs="Times New Roman"/>
                <w:kern w:val="2"/>
                <w:sz w:val="21"/>
                <w:szCs w:val="21"/>
              </w:rPr>
              <w:t>公告的投标人业绩。</w:t>
            </w:r>
          </w:p>
        </w:tc>
      </w:tr>
      <w:tr w14:paraId="1E95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6D81F6E">
            <w:pPr>
              <w:keepNext w:val="0"/>
              <w:keepLines w:val="0"/>
              <w:suppressLineNumbers w:val="0"/>
              <w:adjustRightInd w:val="0"/>
              <w:snapToGrid w:val="0"/>
              <w:spacing w:before="0" w:beforeAutospacing="0" w:after="0" w:afterAutospacing="0"/>
              <w:ind w:left="0"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shd w:val="clear" w:color="auto" w:fill="auto"/>
            <w:vAlign w:val="center"/>
          </w:tcPr>
          <w:p w14:paraId="260230B2">
            <w:pPr>
              <w:keepNext w:val="0"/>
              <w:keepLines w:val="0"/>
              <w:suppressLineNumbers w:val="0"/>
              <w:adjustRightInd w:val="0"/>
              <w:snapToGrid w:val="0"/>
              <w:spacing w:before="0" w:beforeAutospacing="0" w:after="0" w:afterAutospacing="0"/>
              <w:ind w:left="0" w:leftChars="0" w:right="-10" w:rightChars="0"/>
              <w:jc w:val="left"/>
              <w:rPr>
                <w:rFonts w:hint="default" w:ascii="宋体" w:hAnsi="宋体" w:eastAsia="宋体" w:cs="Times New Roman"/>
                <w:kern w:val="2"/>
                <w:sz w:val="21"/>
                <w:szCs w:val="21"/>
                <w:lang w:val="en-US" w:eastAsia="zh-CN" w:bidi="ar-SA"/>
              </w:rPr>
            </w:pPr>
            <w:r>
              <w:rPr>
                <w:rFonts w:hint="eastAsia" w:cs="Times New Roman"/>
                <w:kern w:val="2"/>
                <w:sz w:val="21"/>
                <w:szCs w:val="21"/>
              </w:rPr>
              <w:t>投标函</w:t>
            </w:r>
          </w:p>
        </w:tc>
        <w:tc>
          <w:tcPr>
            <w:tcW w:w="3289" w:type="pct"/>
            <w:shd w:val="clear" w:color="auto" w:fill="auto"/>
            <w:vAlign w:val="center"/>
          </w:tcPr>
          <w:p w14:paraId="5B6860CF">
            <w:pPr>
              <w:keepNext w:val="0"/>
              <w:keepLines w:val="0"/>
              <w:suppressLineNumbers w:val="0"/>
              <w:adjustRightInd w:val="0"/>
              <w:snapToGrid w:val="0"/>
              <w:spacing w:before="0" w:beforeAutospacing="0" w:after="0" w:afterAutospacing="0" w:line="240" w:lineRule="auto"/>
              <w:ind w:left="0" w:leftChars="0" w:right="-10" w:rightChars="0"/>
              <w:rPr>
                <w:rFonts w:hint="default" w:ascii="Calibri" w:hAnsi="Calibri" w:eastAsia="宋体" w:cs="Times New Roman"/>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kern w:val="2"/>
                <w:sz w:val="21"/>
                <w:szCs w:val="21"/>
              </w:rPr>
              <w:t>竞价</w:t>
            </w:r>
            <w:r>
              <w:rPr>
                <w:rFonts w:hint="eastAsia" w:cs="Times New Roman"/>
                <w:kern w:val="2"/>
                <w:sz w:val="21"/>
                <w:szCs w:val="21"/>
              </w:rPr>
              <w:t>文件要求。</w:t>
            </w:r>
          </w:p>
        </w:tc>
      </w:tr>
      <w:tr w14:paraId="06C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139C65C2">
            <w:pPr>
              <w:keepNext w:val="0"/>
              <w:keepLines w:val="0"/>
              <w:suppressLineNumbers w:val="0"/>
              <w:adjustRightInd w:val="0"/>
              <w:snapToGrid w:val="0"/>
              <w:spacing w:before="0" w:beforeAutospacing="0" w:after="0" w:afterAutospacing="0"/>
              <w:ind w:left="0"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shd w:val="clear" w:color="auto" w:fill="auto"/>
            <w:vAlign w:val="center"/>
          </w:tcPr>
          <w:p w14:paraId="6835697D">
            <w:pPr>
              <w:keepNext w:val="0"/>
              <w:keepLines w:val="0"/>
              <w:suppressLineNumbers w:val="0"/>
              <w:adjustRightInd w:val="0"/>
              <w:snapToGrid w:val="0"/>
              <w:spacing w:before="0" w:beforeAutospacing="0" w:after="0" w:afterAutospacing="0"/>
              <w:ind w:left="0" w:leftChars="0" w:right="-10" w:rightChars="0"/>
              <w:jc w:val="left"/>
              <w:rPr>
                <w:rFonts w:hint="default" w:ascii="宋体" w:hAnsi="宋体" w:eastAsia="宋体" w:cs="Times New Roman"/>
                <w:kern w:val="2"/>
                <w:sz w:val="21"/>
                <w:szCs w:val="21"/>
                <w:lang w:val="en-US" w:eastAsia="zh-CN" w:bidi="ar-SA"/>
              </w:rPr>
            </w:pPr>
            <w:r>
              <w:rPr>
                <w:rFonts w:hint="eastAsia" w:cs="Times New Roman"/>
                <w:kern w:val="2"/>
                <w:sz w:val="21"/>
                <w:szCs w:val="21"/>
              </w:rPr>
              <w:t>竞价文件获取情况</w:t>
            </w:r>
          </w:p>
        </w:tc>
        <w:tc>
          <w:tcPr>
            <w:tcW w:w="3289" w:type="pct"/>
            <w:shd w:val="clear" w:color="auto" w:fill="auto"/>
            <w:vAlign w:val="center"/>
          </w:tcPr>
          <w:p w14:paraId="6F4FFEDB">
            <w:pPr>
              <w:keepNext w:val="0"/>
              <w:keepLines w:val="0"/>
              <w:suppressLineNumbers w:val="0"/>
              <w:adjustRightInd w:val="0"/>
              <w:snapToGrid w:val="0"/>
              <w:spacing w:before="0" w:beforeAutospacing="0" w:after="0" w:afterAutospacing="0" w:line="240" w:lineRule="auto"/>
              <w:ind w:left="0" w:leftChars="0" w:right="-10" w:rightChars="0"/>
              <w:rPr>
                <w:rFonts w:hint="default" w:ascii="Calibri" w:hAnsi="Calibri" w:eastAsia="宋体" w:cs="Times New Roman"/>
                <w:kern w:val="2"/>
                <w:sz w:val="21"/>
                <w:szCs w:val="21"/>
                <w:lang w:val="en-US" w:eastAsia="zh-CN" w:bidi="ar-SA"/>
              </w:rPr>
            </w:pPr>
            <w:r>
              <w:rPr>
                <w:rFonts w:hint="eastAsia" w:asciiTheme="minorEastAsia" w:hAnsiTheme="minorEastAsia" w:eastAsiaTheme="minorEastAsia"/>
                <w:kern w:val="2"/>
                <w:sz w:val="21"/>
                <w:szCs w:val="21"/>
              </w:rPr>
              <w:t>在</w:t>
            </w:r>
            <w:r>
              <w:rPr>
                <w:rFonts w:hint="eastAsia" w:ascii="Times New Roman" w:hAnsi="Times New Roman" w:cs="Times New Roman" w:eastAsiaTheme="minorEastAsia"/>
                <w:kern w:val="2"/>
                <w:sz w:val="21"/>
                <w:szCs w:val="21"/>
              </w:rPr>
              <w:t>竞价</w:t>
            </w:r>
            <w:r>
              <w:rPr>
                <w:rFonts w:hint="eastAsia" w:asciiTheme="minorEastAsia" w:hAnsiTheme="minorEastAsia" w:eastAsiaTheme="minorEastAsia"/>
                <w:kern w:val="2"/>
                <w:sz w:val="21"/>
                <w:szCs w:val="21"/>
              </w:rPr>
              <w:t>文件获取截止时间前完成</w:t>
            </w:r>
            <w:r>
              <w:rPr>
                <w:rFonts w:hint="eastAsia" w:ascii="Times New Roman" w:hAnsi="Times New Roman" w:cs="Times New Roman" w:eastAsiaTheme="minorEastAsia"/>
                <w:kern w:val="2"/>
                <w:sz w:val="21"/>
                <w:szCs w:val="21"/>
              </w:rPr>
              <w:t>竞价</w:t>
            </w:r>
            <w:r>
              <w:rPr>
                <w:rFonts w:hint="eastAsia" w:asciiTheme="minorEastAsia" w:hAnsiTheme="minorEastAsia" w:eastAsiaTheme="minorEastAsia"/>
                <w:kern w:val="2"/>
                <w:sz w:val="21"/>
                <w:szCs w:val="21"/>
              </w:rPr>
              <w:t>文件获取</w:t>
            </w:r>
            <w:r>
              <w:rPr>
                <w:rFonts w:hint="eastAsia" w:cs="Times New Roman"/>
                <w:kern w:val="2"/>
                <w:sz w:val="21"/>
                <w:szCs w:val="21"/>
              </w:rPr>
              <w:t>。</w:t>
            </w:r>
          </w:p>
        </w:tc>
      </w:tr>
      <w:tr w14:paraId="1E68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17609A99">
            <w:pPr>
              <w:keepNext w:val="0"/>
              <w:keepLines w:val="0"/>
              <w:suppressLineNumbers w:val="0"/>
              <w:adjustRightInd w:val="0"/>
              <w:snapToGrid w:val="0"/>
              <w:spacing w:before="0" w:beforeAutospacing="0" w:after="0" w:afterAutospacing="0"/>
              <w:ind w:left="0"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shd w:val="clear" w:color="auto" w:fill="auto"/>
            <w:vAlign w:val="center"/>
          </w:tcPr>
          <w:p w14:paraId="18531059">
            <w:pPr>
              <w:keepNext w:val="0"/>
              <w:keepLines w:val="0"/>
              <w:suppressLineNumbers w:val="0"/>
              <w:adjustRightInd w:val="0"/>
              <w:snapToGrid w:val="0"/>
              <w:spacing w:before="0" w:beforeAutospacing="0" w:after="0" w:afterAutospacing="0"/>
              <w:ind w:left="0" w:leftChars="0" w:right="-10" w:rightChars="0"/>
              <w:jc w:val="left"/>
              <w:rPr>
                <w:rFonts w:hint="default" w:ascii="宋体" w:hAnsi="宋体" w:eastAsia="宋体" w:cs="Times New Roman"/>
                <w:kern w:val="2"/>
                <w:sz w:val="21"/>
                <w:szCs w:val="21"/>
                <w:lang w:val="en-US" w:eastAsia="zh-CN" w:bidi="ar-SA"/>
              </w:rPr>
            </w:pPr>
            <w:r>
              <w:rPr>
                <w:rFonts w:hint="eastAsia" w:cs="Times New Roman"/>
                <w:kern w:val="2"/>
                <w:sz w:val="21"/>
                <w:szCs w:val="21"/>
              </w:rPr>
              <w:t>授权书</w:t>
            </w:r>
          </w:p>
        </w:tc>
        <w:tc>
          <w:tcPr>
            <w:tcW w:w="3289" w:type="pct"/>
            <w:shd w:val="clear" w:color="auto" w:fill="auto"/>
            <w:vAlign w:val="center"/>
          </w:tcPr>
          <w:p w14:paraId="63099FB8">
            <w:pPr>
              <w:keepNext w:val="0"/>
              <w:keepLines w:val="0"/>
              <w:suppressLineNumbers w:val="0"/>
              <w:adjustRightInd w:val="0"/>
              <w:snapToGrid w:val="0"/>
              <w:spacing w:before="0" w:beforeAutospacing="0" w:after="0" w:afterAutospacing="0" w:line="240" w:lineRule="auto"/>
              <w:ind w:left="0" w:leftChars="0" w:right="-10" w:rightChars="0"/>
              <w:rPr>
                <w:rFonts w:hint="default" w:ascii="Calibri" w:hAnsi="Calibri" w:eastAsia="宋体" w:cs="Times New Roman"/>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kern w:val="2"/>
                <w:sz w:val="21"/>
                <w:szCs w:val="21"/>
              </w:rPr>
              <w:t>竞价</w:t>
            </w:r>
            <w:r>
              <w:rPr>
                <w:rFonts w:hint="eastAsia" w:cs="Times New Roman"/>
                <w:kern w:val="2"/>
                <w:sz w:val="21"/>
                <w:szCs w:val="21"/>
              </w:rPr>
              <w:t>文件要求。</w:t>
            </w:r>
          </w:p>
        </w:tc>
      </w:tr>
      <w:tr w14:paraId="6452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94E63DE">
            <w:pPr>
              <w:keepNext w:val="0"/>
              <w:keepLines w:val="0"/>
              <w:suppressLineNumbers w:val="0"/>
              <w:adjustRightInd w:val="0"/>
              <w:snapToGrid w:val="0"/>
              <w:spacing w:before="0" w:beforeAutospacing="0" w:after="0" w:afterAutospacing="0"/>
              <w:ind w:left="0"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shd w:val="clear" w:color="auto" w:fill="auto"/>
            <w:vAlign w:val="center"/>
          </w:tcPr>
          <w:p w14:paraId="603C31B9">
            <w:pPr>
              <w:keepNext w:val="0"/>
              <w:keepLines w:val="0"/>
              <w:suppressLineNumbers w:val="0"/>
              <w:adjustRightInd w:val="0"/>
              <w:snapToGrid w:val="0"/>
              <w:spacing w:before="0" w:beforeAutospacing="0" w:after="0" w:afterAutospacing="0"/>
              <w:ind w:left="0" w:leftChars="0" w:right="-10" w:rightChars="0"/>
              <w:jc w:val="left"/>
              <w:rPr>
                <w:rFonts w:hint="default" w:ascii="宋体" w:hAnsi="宋体" w:eastAsia="宋体" w:cs="Times New Roman"/>
                <w:kern w:val="2"/>
                <w:sz w:val="21"/>
                <w:szCs w:val="21"/>
                <w:lang w:val="en-US" w:eastAsia="zh-CN" w:bidi="ar-SA"/>
              </w:rPr>
            </w:pPr>
            <w:r>
              <w:rPr>
                <w:rFonts w:hint="eastAsia" w:cs="Times New Roman"/>
                <w:kern w:val="2"/>
                <w:sz w:val="21"/>
                <w:szCs w:val="21"/>
              </w:rPr>
              <w:t>投标报价</w:t>
            </w:r>
          </w:p>
        </w:tc>
        <w:tc>
          <w:tcPr>
            <w:tcW w:w="3289" w:type="pct"/>
            <w:shd w:val="clear" w:color="auto" w:fill="auto"/>
            <w:vAlign w:val="center"/>
          </w:tcPr>
          <w:p w14:paraId="4CDD3EB2">
            <w:pPr>
              <w:keepNext w:val="0"/>
              <w:keepLines w:val="0"/>
              <w:suppressLineNumbers w:val="0"/>
              <w:adjustRightInd w:val="0"/>
              <w:snapToGrid w:val="0"/>
              <w:spacing w:before="0" w:beforeAutospacing="0" w:after="0" w:afterAutospacing="0" w:line="240" w:lineRule="auto"/>
              <w:ind w:left="0" w:leftChars="0" w:right="-10" w:rightChars="0"/>
              <w:rPr>
                <w:rFonts w:hint="default" w:ascii="Calibri" w:hAnsi="Calibri" w:eastAsia="宋体" w:cs="Times New Roman"/>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kern w:val="2"/>
                <w:sz w:val="21"/>
                <w:szCs w:val="21"/>
              </w:rPr>
              <w:t>竞价</w:t>
            </w:r>
            <w:r>
              <w:rPr>
                <w:rFonts w:hint="eastAsia" w:cs="Times New Roman"/>
                <w:kern w:val="2"/>
                <w:sz w:val="21"/>
                <w:szCs w:val="21"/>
              </w:rPr>
              <w:t>文件要求。</w:t>
            </w:r>
          </w:p>
        </w:tc>
      </w:tr>
      <w:tr w14:paraId="6090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66E2E88D">
            <w:pPr>
              <w:keepNext w:val="0"/>
              <w:keepLines w:val="0"/>
              <w:suppressLineNumbers w:val="0"/>
              <w:adjustRightInd w:val="0"/>
              <w:snapToGrid w:val="0"/>
              <w:spacing w:before="0" w:beforeAutospacing="0" w:after="0" w:afterAutospacing="0"/>
              <w:ind w:left="0" w:right="-10"/>
              <w:jc w:val="left"/>
              <w:rPr>
                <w:rFonts w:hint="default"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49FC7B46">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757AEA58">
      <w:pPr>
        <w:spacing w:line="360" w:lineRule="auto"/>
        <w:ind w:firstLine="437"/>
        <w:outlineLvl w:val="1"/>
        <w:rPr>
          <w:rFonts w:asciiTheme="minorEastAsia" w:hAnsiTheme="minorEastAsia" w:eastAsiaTheme="minorEastAsia"/>
          <w:b/>
          <w:sz w:val="24"/>
        </w:rPr>
      </w:pPr>
      <w:bookmarkStart w:id="50" w:name="_Toc4545"/>
      <w:bookmarkStart w:id="51" w:name="_Toc29576"/>
      <w:r>
        <w:rPr>
          <w:rFonts w:asciiTheme="minorEastAsia" w:hAnsiTheme="minorEastAsia" w:eastAsiaTheme="minorEastAsia"/>
          <w:b/>
          <w:sz w:val="24"/>
        </w:rPr>
        <w:t>三、评审程序</w:t>
      </w:r>
      <w:bookmarkEnd w:id="50"/>
      <w:bookmarkEnd w:id="51"/>
    </w:p>
    <w:p w14:paraId="08380FF3">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60AD247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6167337E">
      <w:pPr>
        <w:spacing w:line="360" w:lineRule="auto"/>
        <w:ind w:firstLine="437"/>
        <w:outlineLvl w:val="1"/>
        <w:rPr>
          <w:rFonts w:asciiTheme="minorEastAsia" w:hAnsiTheme="minorEastAsia" w:eastAsiaTheme="minorEastAsia"/>
          <w:b/>
          <w:sz w:val="24"/>
        </w:rPr>
      </w:pPr>
      <w:bookmarkStart w:id="52" w:name="_Toc27565"/>
      <w:bookmarkStart w:id="53" w:name="_Toc11842"/>
      <w:r>
        <w:rPr>
          <w:rFonts w:asciiTheme="minorEastAsia" w:hAnsiTheme="minorEastAsia" w:eastAsiaTheme="minorEastAsia"/>
          <w:b/>
          <w:sz w:val="24"/>
        </w:rPr>
        <w:t>四、相关说明。</w:t>
      </w:r>
      <w:bookmarkEnd w:id="52"/>
      <w:bookmarkEnd w:id="53"/>
    </w:p>
    <w:p w14:paraId="793460C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355114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40587DCA"/>
    <w:p w14:paraId="160545D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64BD78F">
      <w:pPr>
        <w:spacing w:line="360" w:lineRule="auto"/>
        <w:jc w:val="center"/>
        <w:outlineLvl w:val="0"/>
        <w:rPr>
          <w:rFonts w:asciiTheme="minorEastAsia" w:hAnsiTheme="minorEastAsia" w:eastAsiaTheme="minorEastAsia"/>
          <w:b/>
          <w:sz w:val="28"/>
        </w:rPr>
      </w:pPr>
      <w:bookmarkStart w:id="54" w:name="_Toc29765"/>
      <w:r>
        <w:rPr>
          <w:rFonts w:hint="eastAsia" w:asciiTheme="minorEastAsia" w:hAnsiTheme="minorEastAsia" w:eastAsiaTheme="minorEastAsia"/>
          <w:b/>
          <w:sz w:val="28"/>
        </w:rPr>
        <w:t>第五章 合同</w:t>
      </w:r>
      <w:bookmarkEnd w:id="54"/>
    </w:p>
    <w:p w14:paraId="5EFC332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合肥文旅博览集团有限公司  </w:t>
      </w:r>
      <w:r>
        <w:rPr>
          <w:rFonts w:hint="eastAsia" w:asciiTheme="minorEastAsia" w:hAnsiTheme="minorEastAsia" w:eastAsiaTheme="minorEastAsia" w:cstheme="minorEastAsia"/>
          <w:sz w:val="21"/>
          <w:szCs w:val="21"/>
        </w:rPr>
        <w:t xml:space="preserve">  </w:t>
      </w:r>
    </w:p>
    <w:p w14:paraId="43537B6A">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DC4D45A">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2DE7047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合肥滨湖国际会展中心二期（含二期新建及一期提升改造）智能化及智慧会展工程，智慧会展系统等级保护测评</w:t>
      </w:r>
      <w:r>
        <w:rPr>
          <w:rFonts w:hint="eastAsia" w:asciiTheme="minorEastAsia" w:hAnsiTheme="minorEastAsia" w:eastAsiaTheme="minorEastAsia" w:cstheme="minorEastAsia"/>
          <w:sz w:val="21"/>
          <w:szCs w:val="21"/>
        </w:rPr>
        <w:t xml:space="preserve"> </w:t>
      </w:r>
    </w:p>
    <w:p w14:paraId="06FBA4E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2024WLBLZB00035号 </w:t>
      </w:r>
      <w:r>
        <w:rPr>
          <w:rFonts w:hint="eastAsia" w:asciiTheme="minorEastAsia" w:hAnsiTheme="minorEastAsia" w:eastAsiaTheme="minorEastAsia" w:cstheme="minorEastAsia"/>
          <w:sz w:val="21"/>
          <w:szCs w:val="21"/>
        </w:rPr>
        <w:t xml:space="preserve"> </w:t>
      </w:r>
    </w:p>
    <w:p w14:paraId="00836D95">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合肥文旅博览集团有限公司的竞价文件、中标通知书等相关资料的要求，经甲乙双方充分协商，特订立本合同，以便共同遵守。</w:t>
      </w:r>
    </w:p>
    <w:p w14:paraId="00D05C5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5" w:name="_Toc3029"/>
      <w:bookmarkStart w:id="56" w:name="_Toc24059"/>
      <w:bookmarkStart w:id="57" w:name="_Toc2232"/>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55"/>
      <w:bookmarkEnd w:id="56"/>
      <w:bookmarkEnd w:id="57"/>
    </w:p>
    <w:p w14:paraId="25113B7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6391374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7C1644D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6E2BAAB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4E06A35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14:paraId="5AFFC3F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2896E82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1E08003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智慧会展系统等级保护测评 </w:t>
      </w:r>
      <w:r>
        <w:rPr>
          <w:rFonts w:hint="eastAsia" w:asciiTheme="minorEastAsia" w:hAnsiTheme="minorEastAsia" w:eastAsiaTheme="minorEastAsia" w:cstheme="minorEastAsia"/>
          <w:sz w:val="21"/>
          <w:szCs w:val="21"/>
        </w:rPr>
        <w:t>；</w:t>
      </w:r>
    </w:p>
    <w:p w14:paraId="54ED87C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lang w:val="en-US" w:eastAsia="zh-CN"/>
        </w:rPr>
        <w:t>和工作要求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网</w:t>
      </w:r>
      <w:r>
        <w:rPr>
          <w:rFonts w:hint="eastAsia" w:asciiTheme="minorEastAsia" w:hAnsiTheme="minorEastAsia" w:eastAsiaTheme="minorEastAsia" w:cstheme="minorEastAsia"/>
          <w:color w:val="auto"/>
          <w:sz w:val="21"/>
          <w:szCs w:val="21"/>
          <w:u w:val="single"/>
        </w:rPr>
        <w:t>络安全等级保护测评</w:t>
      </w:r>
      <w:r>
        <w:rPr>
          <w:rFonts w:hint="eastAsia" w:asciiTheme="minorEastAsia" w:hAnsiTheme="minorEastAsia" w:eastAsiaTheme="minorEastAsia" w:cstheme="minorEastAsia"/>
          <w:color w:val="auto"/>
          <w:sz w:val="21"/>
          <w:szCs w:val="21"/>
          <w:u w:val="single"/>
          <w:lang w:val="en-US" w:eastAsia="zh-CN"/>
        </w:rPr>
        <w:t>并</w:t>
      </w:r>
      <w:r>
        <w:rPr>
          <w:rFonts w:hint="eastAsia" w:ascii="Times New Roman" w:hAnsi="Times New Roman" w:cs="Times New Roman" w:eastAsiaTheme="minorEastAsia"/>
          <w:bCs/>
          <w:color w:val="auto"/>
          <w:sz w:val="21"/>
        </w:rPr>
        <w:t>出具等级测评报告</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14:paraId="0D7E9B65">
      <w:pPr>
        <w:spacing w:line="360" w:lineRule="auto"/>
        <w:ind w:firstLine="437"/>
        <w:rPr>
          <w:rFonts w:hint="eastAsia" w:ascii="Times New Roman" w:hAnsi="Times New Roman" w:cs="Times New Roman" w:eastAsiaTheme="minorEastAsia"/>
          <w:bCs/>
          <w:color w:val="auto"/>
          <w:sz w:val="21"/>
        </w:rPr>
      </w:pPr>
      <w:r>
        <w:rPr>
          <w:rFonts w:hint="eastAsia" w:ascii="宋体" w:hAnsi="宋体" w:eastAsia="宋体" w:cs="Times New Roman"/>
          <w:b/>
          <w:color w:val="auto"/>
          <w:kern w:val="0"/>
          <w:sz w:val="24"/>
          <w:szCs w:val="24"/>
          <w14:ligatures w14:val="none"/>
        </w:rPr>
        <w:t>一</w:t>
      </w:r>
      <w:r>
        <w:rPr>
          <w:rFonts w:hint="eastAsia" w:ascii="Times New Roman" w:hAnsi="Times New Roman" w:cs="Times New Roman" w:eastAsiaTheme="minorEastAsia"/>
          <w:bCs/>
          <w:color w:val="auto"/>
          <w:sz w:val="21"/>
        </w:rPr>
        <w:t>、项目概况</w:t>
      </w:r>
    </w:p>
    <w:p w14:paraId="58A4FFF6">
      <w:pPr>
        <w:spacing w:line="360" w:lineRule="auto"/>
        <w:ind w:firstLine="437"/>
        <w:rPr>
          <w:rFonts w:hint="eastAsia" w:ascii="Times New Roman" w:hAnsi="Times New Roman" w:cs="Times New Roman" w:eastAsiaTheme="minorEastAsia"/>
          <w:bCs/>
          <w:color w:val="auto"/>
          <w:sz w:val="21"/>
        </w:rPr>
      </w:pPr>
      <w:r>
        <w:rPr>
          <w:rFonts w:hint="eastAsia" w:ascii="Times New Roman" w:hAnsi="Times New Roman" w:cs="Times New Roman" w:eastAsiaTheme="minorEastAsia"/>
          <w:bCs/>
          <w:color w:val="auto"/>
          <w:sz w:val="21"/>
        </w:rPr>
        <w:t>依据《中华人民共和国网络安全法》《信息安全等级保护管理办法》的相关要求及贯彻落实国家信息安全等级保护制度，进一步提高合肥滨湖会展中心的智慧会展系统信息系统的整体安全防护能力，现</w:t>
      </w:r>
      <w:r>
        <w:rPr>
          <w:rFonts w:hint="eastAsia" w:ascii="Times New Roman" w:hAnsi="Times New Roman" w:cs="Times New Roman" w:eastAsiaTheme="minorEastAsia"/>
          <w:bCs/>
          <w:color w:val="auto"/>
          <w:sz w:val="21"/>
          <w:lang w:val="en-US" w:eastAsia="zh-CN"/>
        </w:rPr>
        <w:t>拟对</w:t>
      </w:r>
      <w:r>
        <w:rPr>
          <w:rFonts w:hint="eastAsia" w:ascii="Times New Roman" w:hAnsi="Times New Roman" w:cs="Times New Roman" w:eastAsiaTheme="minorEastAsia"/>
          <w:bCs/>
          <w:color w:val="auto"/>
          <w:sz w:val="21"/>
        </w:rPr>
        <w:t>合肥滨湖会展中心的智慧会展</w:t>
      </w:r>
      <w:r>
        <w:rPr>
          <w:rFonts w:hint="eastAsia" w:ascii="Times New Roman" w:hAnsi="Times New Roman" w:cs="Times New Roman" w:eastAsiaTheme="minorEastAsia"/>
          <w:bCs/>
          <w:color w:val="auto"/>
          <w:sz w:val="21"/>
          <w:lang w:eastAsia="zh-CN"/>
        </w:rPr>
        <w:t>（</w:t>
      </w:r>
      <w:r>
        <w:rPr>
          <w:rFonts w:hint="eastAsia" w:asciiTheme="minorEastAsia" w:hAnsiTheme="minorEastAsia" w:eastAsiaTheme="minorEastAsia" w:cstheme="minorEastAsia"/>
          <w:color w:val="auto"/>
          <w:sz w:val="21"/>
          <w:szCs w:val="21"/>
          <w:u w:val="single"/>
        </w:rPr>
        <w:t>二期（含二期新建及一期提升改造）</w:t>
      </w:r>
      <w:r>
        <w:rPr>
          <w:rFonts w:hint="eastAsia" w:ascii="Times New Roman" w:hAnsi="Times New Roman" w:cs="Times New Roman" w:eastAsiaTheme="minorEastAsia"/>
          <w:bCs/>
          <w:color w:val="auto"/>
          <w:sz w:val="21"/>
          <w:lang w:eastAsia="zh-CN"/>
        </w:rPr>
        <w:t>）</w:t>
      </w:r>
      <w:r>
        <w:rPr>
          <w:rFonts w:hint="eastAsia" w:ascii="Times New Roman" w:hAnsi="Times New Roman" w:cs="Times New Roman" w:eastAsiaTheme="minorEastAsia"/>
          <w:bCs/>
          <w:color w:val="auto"/>
          <w:sz w:val="21"/>
        </w:rPr>
        <w:t>系统进行网络安全等级保护三级测评评服务，出具等级测评报告。</w:t>
      </w:r>
    </w:p>
    <w:p w14:paraId="43AEA474">
      <w:pPr>
        <w:spacing w:line="360" w:lineRule="auto"/>
        <w:ind w:firstLine="437"/>
        <w:rPr>
          <w:rFonts w:hint="eastAsia" w:ascii="Times New Roman" w:hAnsi="Times New Roman" w:cs="Times New Roman" w:eastAsiaTheme="minorEastAsia"/>
          <w:bCs/>
          <w:color w:val="auto"/>
          <w:sz w:val="21"/>
        </w:rPr>
      </w:pPr>
      <w:r>
        <w:rPr>
          <w:rFonts w:hint="eastAsia" w:ascii="Times New Roman" w:hAnsi="Times New Roman" w:cs="Times New Roman" w:eastAsiaTheme="minorEastAsia"/>
          <w:bCs/>
          <w:color w:val="auto"/>
          <w:sz w:val="21"/>
        </w:rPr>
        <w:t>二、</w:t>
      </w:r>
      <w:r>
        <w:rPr>
          <w:rFonts w:hint="eastAsia" w:ascii="Times New Roman" w:hAnsi="Times New Roman" w:cs="Times New Roman" w:eastAsiaTheme="minorEastAsia"/>
          <w:bCs/>
          <w:color w:val="auto"/>
          <w:sz w:val="21"/>
          <w:lang w:val="en-US" w:eastAsia="zh-CN"/>
        </w:rPr>
        <w:t>服务</w:t>
      </w:r>
      <w:r>
        <w:rPr>
          <w:rFonts w:hint="eastAsia" w:ascii="Times New Roman" w:hAnsi="Times New Roman" w:cs="Times New Roman" w:eastAsiaTheme="minorEastAsia"/>
          <w:bCs/>
          <w:color w:val="auto"/>
          <w:sz w:val="21"/>
        </w:rPr>
        <w:t>内容</w:t>
      </w:r>
    </w:p>
    <w:p w14:paraId="2B4037F2">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（一）指导思想和基本准则：</w:t>
      </w:r>
    </w:p>
    <w:p w14:paraId="40A8DFA3">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根据公安部、国家保密局、国家密码管理局、国信办联合印发的《信息系统安全等级保护管理办法》（公通字〔2007〕43 号）、《关于信息系统安全等级保护工作的实施意见》（公通字〔2004〕66 号）、《关于开展全国重要信息系统安全等级保护定级工作的通知》（公信安〔2007〕861 号）、公安部《关于开展信息安全等级保护安全建设整改工作的指导意见》（公信[2009]1429 号）等文件精神，结合</w:t>
      </w:r>
      <w:r>
        <w:rPr>
          <w:rFonts w:hint="eastAsia" w:ascii="Times New Roman" w:hAnsi="Times New Roman" w:cs="Times New Roman" w:eastAsiaTheme="minorEastAsia"/>
          <w:bCs/>
          <w:sz w:val="21"/>
          <w:lang w:val="en-US" w:eastAsia="zh-CN"/>
        </w:rPr>
        <w:t>合肥滨湖会展中心</w:t>
      </w:r>
      <w:r>
        <w:rPr>
          <w:rFonts w:hint="eastAsia" w:ascii="Times New Roman" w:hAnsi="Times New Roman" w:cs="Times New Roman" w:eastAsiaTheme="minorEastAsia"/>
          <w:bCs/>
          <w:sz w:val="21"/>
        </w:rPr>
        <w:t>工作实际，现拟对合肥滨湖会展中心的智慧会展系统实施等级保护测评，以进一步完善信息系统安全管理体系和技术防护体系，切实提高系统信息安全防护能力，为信息化建设的健康有序发展提供可靠保障。</w:t>
      </w:r>
    </w:p>
    <w:p w14:paraId="764027D2">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（二）等级保护测评主要包括以下几个方面：</w:t>
      </w:r>
    </w:p>
    <w:p w14:paraId="17EC523A">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安全技术测评：包括物理安全、网络安全、主机系统安全、应用安全和数据安全等五个方面的安全测评。</w:t>
      </w:r>
    </w:p>
    <w:p w14:paraId="53C6689A">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安全管理测评：包括安全管理机构、安全管理制度、人员安全管理、系统建设管理和系统运维管理等五个方面的安全测评。</w:t>
      </w:r>
    </w:p>
    <w:p w14:paraId="672AEF6C">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形成差距分析报告：依据测评结果和《信息系统安全等级保护基本要求》（GB/T22239），对各信息系统进行安全现状分析，形成相应的差距分析报告。</w:t>
      </w:r>
    </w:p>
    <w:p w14:paraId="0F5857EC">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编制系统安全整改方案：依据《信息系统安全等级保护基本要求》和《信息系统等级保护安全设计技术要求》，结合差距分析结果，编制针对各信息系统的安全整改建设方案。</w:t>
      </w:r>
    </w:p>
    <w:p w14:paraId="60725AC6">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编制和完善安全管理制度：依据《信息系统安全等级保护基本要求》和《信息系统等级保护安全设计技术要求》，协助制订和完善各项信息安全管理制度，规范信息安全日常管理工作，提高信息安全基础管理水平。</w:t>
      </w:r>
    </w:p>
    <w:p w14:paraId="22A376C5">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完成上述测评工作和实施整改后，最后中标人出具符合公安机关要求的（年度）信息系统安全保护等级测评报告。</w:t>
      </w:r>
    </w:p>
    <w:p w14:paraId="1F018394">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三、工作要求：</w:t>
      </w:r>
    </w:p>
    <w:p w14:paraId="058CB0ED">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实施原则</w:t>
      </w:r>
    </w:p>
    <w:p w14:paraId="461F99DA">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 xml:space="preserve">规范性原则：中标人工作中的过程和文档，具有很好的规范性，可以便于项目的跟踪和控制； </w:t>
      </w:r>
    </w:p>
    <w:p w14:paraId="60A0FAD9">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可控性原则：测评的工具、方法和过程需在双方认可的范围之内并符合进度表的安排，保证采购人对服务工作的可控性；</w:t>
      </w:r>
    </w:p>
    <w:p w14:paraId="42D98068">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整体性原则：测评和分析的范围和内容应当整体全面，包括安全涉及的各个层面，避免由于遗漏造成未来的安全隐患；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14:paraId="36A4DDE1">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保密原则：对测评的过程数据和结果数据严格保密，未经授权不得泄露给任何单位和个人，不得利用此数据进行任何侵害采购人网络的行为，否则采购人有权追究责任。</w:t>
      </w:r>
    </w:p>
    <w:p w14:paraId="04E1AEBF">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检测要求</w:t>
      </w:r>
    </w:p>
    <w:p w14:paraId="180932BF">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2.1访谈</w:t>
      </w:r>
    </w:p>
    <w:p w14:paraId="380C2200">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访谈是指测评人员通过与被测系统有关人员（个人/群体）进行交流、询问等活动，获取证据以证明信息系统安全保护措施是否有效的一类方法。在本次测评过程中，访谈方法主要应用于安全管理机构测评、人员安全管理测评、系统建设管理测评和系统运维管理测评等安全管理类测评任务中。</w:t>
      </w:r>
    </w:p>
    <w:p w14:paraId="34873D81">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在安全管理类测评任务中，测评人员依据定制的测评指导书（访谈问题列表）对相关人员进行访谈，获取与安全管理有关的测评证据用于判断特定的安全管理措施是否符合国家相关标准以及委托方的实际需求。</w:t>
      </w:r>
    </w:p>
    <w:p w14:paraId="7A066F24">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在安全功能检查任务中，测评人员依据定制的测评指导书（访谈问题列表）对相关人员进行访谈，为后续的检查和测试收集必要的系统基本信息并提供参考数据。</w:t>
      </w:r>
    </w:p>
    <w:p w14:paraId="6A91B22D">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2.2检查</w:t>
      </w:r>
    </w:p>
    <w:p w14:paraId="762BA9D0">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检查是指测评人员通过对测评对象进行观察、查验、分析等活动，获取证据以证明信息系统安全保护措施是否有效的一类方法。在本次测评过程中，检查方法的应用范围覆盖了物理安全测评、主机安全测评、网络安全测评、应用安全测评和数据安全及备份恢复等技术类测评任务，以及安全管理类测评任务。</w:t>
      </w:r>
    </w:p>
    <w:p w14:paraId="2E9DD596">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物理安全测评任务中，测评人员采用文档查阅与分析和现场观测等检查方法来获取测评证据（如机房的温湿度情况），用于判断目标系统在机房安全方面采用的特定安全技术措施是否符合国家相关标准以及委托方的实际需求。</w:t>
      </w:r>
    </w:p>
    <w:p w14:paraId="730C0371">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主机安全测评、网络安全测评、应用安全测评和数据安全及备份恢复等测评任务中，测评人员综合采用文档查阅与分析、安全配置核查和网络监听与分析等检查方法来获取测评证据（如相关措施的部署和配置情况，特定设备的端口开放情况等），用于判断目标系统在主机、网络和应用层面采用的特定安全技术措施是否符合国家相关标准以及委托方的实际需求。</w:t>
      </w:r>
    </w:p>
    <w:p w14:paraId="5EF6B05F">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在安全管理类测评任务中，测评人员主要采用文档查阅与分析的检查方法来获取测评证据（如制度文件的编制情况），用于判断特定的安全管理措施是否符合国家、行业相关标准的要求以及委托方的实际需求。</w:t>
      </w:r>
    </w:p>
    <w:p w14:paraId="6C10275B">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2.3测试</w:t>
      </w:r>
    </w:p>
    <w:p w14:paraId="1631F622">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测试是指测评人员使用预定的方法/工具使测评对象产生特定的行为，通过查看、分析这些行为的结果，获取证据以证明信息系统安全保护措施是否有效的一类方法。在本次测评过程中，测试方法主要应用在手工验证、漏洞扫描等测评任务中。</w:t>
      </w:r>
    </w:p>
    <w:p w14:paraId="12C056DD">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在网络安全、主机安全和应用安全等测评任务中，测评人员将综合采用手工验证和</w:t>
      </w:r>
      <w:r>
        <w:rPr>
          <w:rFonts w:hint="eastAsia" w:ascii="Times New Roman" w:hAnsi="Times New Roman" w:cs="Times New Roman" w:eastAsiaTheme="minorEastAsia"/>
          <w:bCs/>
          <w:sz w:val="21"/>
          <w:lang w:val="en-US" w:eastAsia="zh-CN"/>
        </w:rPr>
        <w:t>高效网络数据加密传输</w:t>
      </w:r>
      <w:r>
        <w:rPr>
          <w:rFonts w:hint="eastAsia" w:ascii="Times New Roman" w:hAnsi="Times New Roman" w:cs="Times New Roman" w:eastAsiaTheme="minorEastAsia"/>
          <w:bCs/>
          <w:sz w:val="21"/>
        </w:rPr>
        <w:t>系统</w:t>
      </w:r>
      <w:r>
        <w:rPr>
          <w:rFonts w:hint="eastAsia" w:ascii="Times New Roman" w:hAnsi="Times New Roman" w:cs="Times New Roman" w:eastAsiaTheme="minorEastAsia"/>
          <w:bCs/>
          <w:sz w:val="21"/>
          <w:lang w:val="en-US" w:eastAsia="zh-CN"/>
        </w:rPr>
        <w:t>及</w:t>
      </w:r>
      <w:r>
        <w:rPr>
          <w:rFonts w:hint="eastAsia" w:ascii="Times New Roman" w:hAnsi="Times New Roman" w:cs="Times New Roman" w:eastAsiaTheme="minorEastAsia"/>
          <w:bCs/>
          <w:sz w:val="21"/>
        </w:rPr>
        <w:t>信息系统</w:t>
      </w:r>
      <w:r>
        <w:rPr>
          <w:rFonts w:hint="eastAsia" w:ascii="Times New Roman" w:hAnsi="Times New Roman" w:cs="Times New Roman" w:eastAsiaTheme="minorEastAsia"/>
          <w:bCs/>
          <w:sz w:val="21"/>
          <w:lang w:val="en-US" w:eastAsia="zh-CN"/>
        </w:rPr>
        <w:t>远程安全评估</w:t>
      </w:r>
      <w:r>
        <w:rPr>
          <w:rFonts w:hint="eastAsia" w:ascii="Times New Roman" w:hAnsi="Times New Roman" w:cs="Times New Roman" w:eastAsiaTheme="minorEastAsia"/>
          <w:bCs/>
          <w:sz w:val="21"/>
        </w:rPr>
        <w:t>系统工具测试方法对特定安全技术措施的有效性进行测试，</w:t>
      </w:r>
      <w:r>
        <w:rPr>
          <w:rFonts w:hint="eastAsia" w:ascii="Times New Roman" w:hAnsi="Times New Roman" w:cs="Times New Roman" w:eastAsiaTheme="minorEastAsia"/>
          <w:bCs/>
          <w:sz w:val="21"/>
          <w:lang w:val="en-US" w:eastAsia="zh-CN"/>
        </w:rPr>
        <w:t>项目实施前</w:t>
      </w:r>
      <w:r>
        <w:rPr>
          <w:rFonts w:hint="eastAsia" w:ascii="Times New Roman" w:hAnsi="Times New Roman" w:cs="Times New Roman" w:eastAsiaTheme="minorEastAsia"/>
          <w:bCs/>
          <w:sz w:val="21"/>
        </w:rPr>
        <w:t>提供</w:t>
      </w:r>
      <w:r>
        <w:rPr>
          <w:rFonts w:hint="eastAsia" w:ascii="Times New Roman" w:hAnsi="Times New Roman" w:cs="Times New Roman" w:eastAsiaTheme="minorEastAsia"/>
          <w:bCs/>
          <w:sz w:val="21"/>
          <w:lang w:val="en-US" w:eastAsia="zh-CN"/>
        </w:rPr>
        <w:t>以上自主研发</w:t>
      </w:r>
      <w:r>
        <w:rPr>
          <w:rFonts w:hint="eastAsia" w:ascii="Times New Roman" w:hAnsi="Times New Roman" w:cs="Times New Roman" w:eastAsiaTheme="minorEastAsia"/>
          <w:bCs/>
          <w:sz w:val="21"/>
        </w:rPr>
        <w:t xml:space="preserve">工具的软著登记证书扫描件或复印件。 </w:t>
      </w:r>
    </w:p>
    <w:p w14:paraId="7E03F95C">
      <w:pPr>
        <w:spacing w:line="360" w:lineRule="auto"/>
        <w:ind w:firstLine="437"/>
        <w:rPr>
          <w:rFonts w:hint="eastAsia" w:asciiTheme="minorEastAsia" w:hAnsiTheme="minorEastAsia" w:eastAsiaTheme="minorEastAsia" w:cstheme="minorEastAsia"/>
          <w:sz w:val="21"/>
          <w:szCs w:val="21"/>
        </w:rPr>
      </w:pPr>
      <w:r>
        <w:rPr>
          <w:rFonts w:hint="eastAsia" w:ascii="Times New Roman" w:hAnsi="Times New Roman" w:cs="Times New Roman" w:eastAsiaTheme="minorEastAsia"/>
          <w:bCs/>
          <w:sz w:val="21"/>
        </w:rPr>
        <w:t>测试结果用于判断目标系统在网络、主机或应用层面采用的特定技术措施是否符合国家相关标准以及委托方的实际需求，并进一步应用于对目标系统进行安全性整体分析。</w:t>
      </w:r>
    </w:p>
    <w:p w14:paraId="0A89FCE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88E7BC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8" w:name="_Toc23292"/>
      <w:bookmarkStart w:id="59" w:name="_Toc21631"/>
      <w:bookmarkStart w:id="60" w:name="_Toc21551"/>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8"/>
      <w:bookmarkEnd w:id="59"/>
      <w:bookmarkEnd w:id="60"/>
    </w:p>
    <w:p w14:paraId="5A757C78">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61" w:name="_Toc22618"/>
      <w:bookmarkStart w:id="62" w:name="_Toc1814"/>
      <w:bookmarkStart w:id="63" w:name="_Toc10340"/>
    </w:p>
    <w:p w14:paraId="75240AD0">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61"/>
      <w:bookmarkEnd w:id="62"/>
      <w:bookmarkEnd w:id="63"/>
    </w:p>
    <w:p w14:paraId="4519529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本合同无预付款，中标人完成所有服务后付至合同价的80%；审计完成后付清剩余款项。   </w:t>
      </w:r>
      <w:r>
        <w:rPr>
          <w:rFonts w:hint="eastAsia" w:asciiTheme="minorEastAsia" w:hAnsiTheme="minorEastAsia" w:eastAsiaTheme="minorEastAsia" w:cstheme="minorEastAsia"/>
          <w:sz w:val="21"/>
          <w:szCs w:val="21"/>
        </w:rPr>
        <w:t>；</w:t>
      </w:r>
    </w:p>
    <w:p w14:paraId="636A00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C640C2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4" w:name="_Toc19304"/>
      <w:bookmarkStart w:id="65" w:name="_Toc32071"/>
      <w:bookmarkStart w:id="66" w:name="_Toc2846"/>
      <w:r>
        <w:rPr>
          <w:rFonts w:hint="eastAsia" w:asciiTheme="minorEastAsia" w:hAnsiTheme="minorEastAsia" w:eastAsiaTheme="minorEastAsia" w:cstheme="minorEastAsia"/>
          <w:b/>
          <w:bCs/>
          <w:sz w:val="21"/>
          <w:szCs w:val="21"/>
          <w:lang w:val="zh-CN"/>
        </w:rPr>
        <w:t>5.服务期限、地点和方式</w:t>
      </w:r>
      <w:bookmarkEnd w:id="64"/>
      <w:bookmarkEnd w:id="65"/>
      <w:bookmarkEnd w:id="66"/>
    </w:p>
    <w:p w14:paraId="1284E5E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合同签订之日起45个工作日完成合同约定的测评服务（不包括招标人整改时间）  </w:t>
      </w:r>
      <w:r>
        <w:rPr>
          <w:rFonts w:hint="eastAsia" w:asciiTheme="minorEastAsia" w:hAnsiTheme="minorEastAsia" w:eastAsiaTheme="minorEastAsia" w:cstheme="minorEastAsia"/>
          <w:sz w:val="21"/>
          <w:szCs w:val="21"/>
        </w:rPr>
        <w:t>；</w:t>
      </w:r>
    </w:p>
    <w:p w14:paraId="59D7D9F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合肥滨湖国际会展中心</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7828CA7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C97753D">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7" w:name="_Toc21423"/>
      <w:bookmarkStart w:id="68" w:name="_Toc27250"/>
      <w:bookmarkStart w:id="69" w:name="_Toc19554"/>
      <w:r>
        <w:rPr>
          <w:rFonts w:hint="eastAsia" w:asciiTheme="minorEastAsia" w:hAnsiTheme="minorEastAsia" w:eastAsiaTheme="minorEastAsia" w:cstheme="minorEastAsia"/>
          <w:b/>
          <w:bCs/>
          <w:sz w:val="21"/>
          <w:szCs w:val="21"/>
          <w:lang w:val="zh-CN"/>
        </w:rPr>
        <w:t>6.违约责任</w:t>
      </w:r>
      <w:bookmarkEnd w:id="67"/>
      <w:bookmarkEnd w:id="68"/>
      <w:bookmarkEnd w:id="69"/>
    </w:p>
    <w:p w14:paraId="39E9E97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3AF2419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lang w:val="en-US" w:eastAsia="zh-CN"/>
        </w:rPr>
        <w:t>LPR</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5</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7EA7C7D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D64B8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5D3D58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1B5326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4B58007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654BBB5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713F10F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乙方需向甲方支付合同金额30%违约金</w:t>
      </w:r>
      <w:r>
        <w:rPr>
          <w:rFonts w:hint="eastAsia" w:ascii="Times New Roman" w:hAnsi="Times New Roman" w:cs="Times New Roman"/>
          <w:kern w:val="2"/>
          <w:sz w:val="21"/>
          <w:szCs w:val="21"/>
        </w:rPr>
        <w:t>。因甲方原因导致合同解除的，如乙方未开始提供服务，乙方应当退还甲方支付的款项；如乙方开始提供服务，但未完成全部服务内容的，甲方按照</w:t>
      </w:r>
      <w:r>
        <w:rPr>
          <w:rFonts w:hint="eastAsia" w:ascii="Times New Roman" w:hAnsi="Times New Roman" w:cs="Times New Roman"/>
          <w:kern w:val="2"/>
          <w:sz w:val="21"/>
          <w:szCs w:val="21"/>
          <w:lang w:val="en-US" w:eastAsia="zh-CN"/>
        </w:rPr>
        <w:t>不超过</w:t>
      </w:r>
      <w:r>
        <w:rPr>
          <w:rFonts w:hint="eastAsia" w:ascii="Times New Roman" w:hAnsi="Times New Roman" w:cs="Times New Roman"/>
          <w:kern w:val="2"/>
          <w:sz w:val="21"/>
          <w:szCs w:val="21"/>
        </w:rPr>
        <w:t>合同总价款的30%与乙方进行结算；如乙方完成全部服务内容，但未进行甲方验收通过的，甲方</w:t>
      </w:r>
      <w:r>
        <w:rPr>
          <w:rFonts w:hint="eastAsia" w:ascii="Times New Roman" w:hAnsi="Times New Roman" w:cs="Times New Roman"/>
          <w:kern w:val="2"/>
          <w:sz w:val="21"/>
          <w:szCs w:val="21"/>
          <w:lang w:val="en-US" w:eastAsia="zh-CN"/>
        </w:rPr>
        <w:t>无需与</w:t>
      </w:r>
      <w:r>
        <w:rPr>
          <w:rFonts w:hint="eastAsia" w:ascii="Times New Roman" w:hAnsi="Times New Roman" w:cs="Times New Roman"/>
          <w:kern w:val="2"/>
          <w:sz w:val="21"/>
          <w:szCs w:val="21"/>
        </w:rPr>
        <w:t>乙方进行结算</w:t>
      </w:r>
      <w:r>
        <w:rPr>
          <w:rFonts w:hint="eastAsia" w:ascii="Times New Roman" w:hAnsi="Times New Roman" w:cs="Times New Roman"/>
          <w:kern w:val="2"/>
          <w:sz w:val="21"/>
          <w:szCs w:val="21"/>
          <w:lang w:val="en-US" w:eastAsia="zh-CN"/>
        </w:rPr>
        <w:t>付款</w:t>
      </w:r>
      <w:r>
        <w:rPr>
          <w:rFonts w:hint="eastAsia" w:ascii="Times New Roman" w:hAnsi="Times New Roman" w:cs="Times New Roman"/>
          <w:kern w:val="2"/>
          <w:sz w:val="21"/>
          <w:szCs w:val="21"/>
        </w:rPr>
        <w:t>。</w:t>
      </w:r>
    </w:p>
    <w:p w14:paraId="5B93706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履约保证金</w:t>
      </w:r>
      <w:r>
        <w:rPr>
          <w:rFonts w:hint="eastAsia" w:ascii="Times New Roman" w:hAnsi="Times New Roman" w:cs="Times New Roman"/>
          <w:kern w:val="2"/>
          <w:sz w:val="21"/>
          <w:szCs w:val="21"/>
        </w:rPr>
        <w:t>中扣除。</w:t>
      </w:r>
    </w:p>
    <w:p w14:paraId="352AA91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70" w:name="_Toc15583"/>
      <w:bookmarkStart w:id="71" w:name="_Toc28375"/>
      <w:bookmarkStart w:id="72" w:name="_Toc16021"/>
      <w:r>
        <w:rPr>
          <w:rFonts w:hint="eastAsia" w:asciiTheme="minorEastAsia" w:hAnsiTheme="minorEastAsia" w:eastAsiaTheme="minorEastAsia" w:cstheme="minorEastAsia"/>
          <w:b/>
          <w:bCs/>
          <w:sz w:val="21"/>
          <w:szCs w:val="21"/>
          <w:lang w:val="zh-CN"/>
        </w:rPr>
        <w:t>7.合同争议的解决</w:t>
      </w:r>
      <w:bookmarkEnd w:id="70"/>
      <w:bookmarkEnd w:id="71"/>
      <w:bookmarkEnd w:id="72"/>
    </w:p>
    <w:p w14:paraId="3CEEFF5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4E76B29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6E5CAA2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甲方住所地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494DB44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73" w:name="_Toc15322"/>
      <w:bookmarkStart w:id="74" w:name="_Toc11173"/>
      <w:bookmarkStart w:id="75" w:name="_Toc7245"/>
      <w:r>
        <w:rPr>
          <w:rFonts w:hint="eastAsia" w:asciiTheme="minorEastAsia" w:hAnsiTheme="minorEastAsia" w:eastAsiaTheme="minorEastAsia" w:cstheme="minorEastAsia"/>
          <w:b/>
          <w:bCs/>
          <w:sz w:val="21"/>
          <w:szCs w:val="21"/>
          <w:lang w:val="zh-CN"/>
        </w:rPr>
        <w:t>8.合同生效</w:t>
      </w:r>
      <w:bookmarkEnd w:id="73"/>
      <w:bookmarkEnd w:id="74"/>
      <w:bookmarkEnd w:id="75"/>
    </w:p>
    <w:p w14:paraId="6440DFC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76" w:name="_Hlk161978974"/>
    </w:p>
    <w:p w14:paraId="62B03AF5">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387352C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27E6CFB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77" w:name="_Hlk161979083"/>
      <w:r>
        <w:rPr>
          <w:rFonts w:hint="eastAsia" w:ascii="Times New Roman" w:hAnsi="Times New Roman" w:cs="Times New Roman"/>
          <w:kern w:val="2"/>
          <w:sz w:val="21"/>
          <w:szCs w:val="21"/>
        </w:rPr>
        <w:t>9.1本协议双方联系地址、联系人、联系方式如下：</w:t>
      </w:r>
    </w:p>
    <w:p w14:paraId="07BB485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10941DBC">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55763BC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6B4C552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754A29E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5440A97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4F9F830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570E5DD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76"/>
      <w:bookmarkEnd w:id="77"/>
    </w:p>
    <w:p w14:paraId="106AD1C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2CE7223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3D3C6EE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11EF321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4F61FA9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31C69616">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57A25D8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3C9A73AF">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10FA09FC">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6F745B9E">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058AE858">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545581E0">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14820C7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51343B08">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5F1FDDB0">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70ECAA2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5050016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76E85F5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CE93861">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7FDEB805">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B8BEBA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673683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2FDCBAF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40B45FA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3D9FF791">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19296417">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6B61040A">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283FBAD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A9A87F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7E1FDDC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5CAD1BE9">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382FDCA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23E4875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427EAD0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75C7A22F">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2E12538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366A6CB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647744F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5666C89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0193873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4D6CA54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088948A1">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40C7F2D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0DEFAD79">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50C0B10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350C04D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3878C063">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085F8AF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2CF825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7A1A800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0FCBB25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7245881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47950756">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26791E1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A334DF0">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5E5D7C3B">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0B4842E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14:paraId="1FE4A154">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0FC2A9E4">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113AB1FC">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1B5DFB61">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139BAC60">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D7F1FB7">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0BACA421">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4E0CFC64">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DC8333B">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49288BA3">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67E191A2">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78" w:name="_Toc1367"/>
    </w:p>
    <w:p w14:paraId="6854E701">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8"/>
    </w:p>
    <w:p w14:paraId="5E691C44">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4AB3276D">
      <w:pPr>
        <w:spacing w:line="900" w:lineRule="exact"/>
        <w:jc w:val="center"/>
        <w:rPr>
          <w:rFonts w:asciiTheme="minorEastAsia" w:hAnsiTheme="minorEastAsia" w:eastAsiaTheme="minorEastAsia"/>
          <w:b/>
          <w:sz w:val="72"/>
        </w:rPr>
      </w:pPr>
    </w:p>
    <w:p w14:paraId="22AFF3FE">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2510FB1C">
      <w:pPr>
        <w:spacing w:line="900" w:lineRule="exact"/>
        <w:jc w:val="center"/>
        <w:rPr>
          <w:rFonts w:asciiTheme="minorEastAsia" w:hAnsiTheme="minorEastAsia" w:eastAsiaTheme="minorEastAsia"/>
          <w:b/>
          <w:sz w:val="72"/>
        </w:rPr>
      </w:pPr>
    </w:p>
    <w:p w14:paraId="032AA2AB">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477C4E0C">
      <w:pPr>
        <w:spacing w:line="900" w:lineRule="exact"/>
        <w:jc w:val="center"/>
        <w:rPr>
          <w:rFonts w:asciiTheme="minorEastAsia" w:hAnsiTheme="minorEastAsia" w:eastAsiaTheme="minorEastAsia"/>
          <w:b/>
          <w:sz w:val="72"/>
        </w:rPr>
      </w:pPr>
    </w:p>
    <w:p w14:paraId="539BFF3E">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2293FBF5">
      <w:pPr>
        <w:spacing w:line="900" w:lineRule="exact"/>
        <w:jc w:val="center"/>
        <w:rPr>
          <w:rFonts w:asciiTheme="minorEastAsia" w:hAnsiTheme="minorEastAsia" w:eastAsiaTheme="minorEastAsia"/>
          <w:b/>
          <w:sz w:val="72"/>
        </w:rPr>
      </w:pPr>
    </w:p>
    <w:p w14:paraId="2D17664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2D409D0B">
      <w:pPr>
        <w:spacing w:after="156" w:afterLines="50"/>
        <w:jc w:val="center"/>
        <w:rPr>
          <w:rFonts w:asciiTheme="minorEastAsia" w:hAnsiTheme="minorEastAsia" w:eastAsiaTheme="minorEastAsia"/>
          <w:b/>
          <w:sz w:val="72"/>
        </w:rPr>
      </w:pPr>
    </w:p>
    <w:p w14:paraId="04DD3F13">
      <w:pPr>
        <w:spacing w:after="156" w:afterLines="50" w:line="500" w:lineRule="exact"/>
        <w:jc w:val="center"/>
        <w:rPr>
          <w:rFonts w:asciiTheme="minorEastAsia" w:hAnsiTheme="minorEastAsia" w:eastAsiaTheme="minorEastAsia"/>
          <w:b/>
          <w:sz w:val="28"/>
          <w:szCs w:val="28"/>
        </w:rPr>
      </w:pPr>
    </w:p>
    <w:p w14:paraId="01ED6B98">
      <w:pPr>
        <w:spacing w:after="156" w:afterLines="50" w:line="500" w:lineRule="exact"/>
        <w:jc w:val="center"/>
        <w:rPr>
          <w:rFonts w:asciiTheme="minorEastAsia" w:hAnsiTheme="minorEastAsia" w:eastAsiaTheme="minorEastAsia"/>
          <w:b/>
          <w:sz w:val="72"/>
        </w:rPr>
      </w:pPr>
    </w:p>
    <w:p w14:paraId="4E399492">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70E9E00F">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53841E81">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7850BC22">
      <w:pPr>
        <w:spacing w:line="360" w:lineRule="auto"/>
        <w:jc w:val="center"/>
        <w:outlineLvl w:val="1"/>
        <w:rPr>
          <w:rFonts w:asciiTheme="minorEastAsia" w:hAnsiTheme="minorEastAsia" w:eastAsiaTheme="minorEastAsia"/>
          <w:b/>
          <w:sz w:val="24"/>
        </w:rPr>
      </w:pPr>
      <w:bookmarkStart w:id="79" w:name="_Toc461053086"/>
      <w:bookmarkStart w:id="80" w:name="_Toc461056631"/>
      <w:bookmarkStart w:id="81" w:name="_Toc6077"/>
      <w:bookmarkStart w:id="82" w:name="_Toc520983587"/>
      <w:r>
        <w:rPr>
          <w:rFonts w:hint="eastAsia" w:asciiTheme="minorEastAsia" w:hAnsiTheme="minorEastAsia" w:eastAsiaTheme="minorEastAsia"/>
          <w:b/>
          <w:sz w:val="24"/>
        </w:rPr>
        <w:t>一</w:t>
      </w:r>
      <w:bookmarkEnd w:id="79"/>
      <w:bookmarkEnd w:id="80"/>
      <w:r>
        <w:rPr>
          <w:rFonts w:hint="eastAsia" w:asciiTheme="minorEastAsia" w:hAnsiTheme="minorEastAsia" w:eastAsiaTheme="minorEastAsia"/>
          <w:b/>
          <w:sz w:val="24"/>
        </w:rPr>
        <w:t>、报价表格式</w:t>
      </w:r>
      <w:bookmarkEnd w:id="81"/>
      <w:bookmarkEnd w:id="82"/>
    </w:p>
    <w:p w14:paraId="70507FDC">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7A35A6F5">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4EC0A848">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B32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9B1ED6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3F25DF1C">
            <w:pPr>
              <w:keepNext w:val="0"/>
              <w:keepLines w:val="0"/>
              <w:suppressLineNumbers w:val="0"/>
              <w:spacing w:before="0" w:beforeAutospacing="0" w:after="0" w:afterAutospacing="0"/>
              <w:ind w:left="0" w:right="0"/>
              <w:rPr>
                <w:rFonts w:hint="default" w:cs="宋体" w:asciiTheme="minorEastAsia" w:hAnsiTheme="minorEastAsia" w:eastAsiaTheme="minorEastAsia"/>
                <w:b/>
                <w:kern w:val="2"/>
                <w:sz w:val="24"/>
                <w:szCs w:val="24"/>
              </w:rPr>
            </w:pPr>
          </w:p>
        </w:tc>
      </w:tr>
      <w:tr w14:paraId="0128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34647D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3FB4391B">
            <w:pPr>
              <w:keepNext w:val="0"/>
              <w:keepLines w:val="0"/>
              <w:widowControl/>
              <w:suppressLineNumbers w:val="0"/>
              <w:spacing w:before="0" w:beforeAutospacing="0" w:after="0" w:afterAutospacing="0"/>
              <w:ind w:left="0" w:right="0"/>
              <w:rPr>
                <w:rFonts w:hint="default"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14:paraId="4424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A9850D5">
            <w:pPr>
              <w:keepNext w:val="0"/>
              <w:keepLines w:val="0"/>
              <w:suppressLineNumbers w:val="0"/>
              <w:spacing w:before="0" w:beforeAutospacing="0" w:after="0" w:afterAutospacing="0" w:line="360" w:lineRule="auto"/>
              <w:ind w:left="0" w:right="0"/>
              <w:jc w:val="center"/>
              <w:rPr>
                <w:rFonts w:hint="default" w:cs="@仿宋_GB2312"/>
                <w:b/>
                <w:kern w:val="2"/>
                <w:sz w:val="24"/>
                <w:szCs w:val="22"/>
              </w:rPr>
            </w:pPr>
            <w:r>
              <w:rPr>
                <w:rFonts w:hint="eastAsia" w:cs="@仿宋_GB2312"/>
                <w:b/>
                <w:kern w:val="2"/>
                <w:sz w:val="24"/>
                <w:szCs w:val="22"/>
              </w:rPr>
              <w:t>报价</w:t>
            </w:r>
          </w:p>
          <w:p w14:paraId="1A5073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6DFEE20B">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kern w:val="2"/>
                <w:sz w:val="24"/>
                <w:szCs w:val="24"/>
              </w:rPr>
            </w:pPr>
          </w:p>
          <w:p w14:paraId="3E9F4B2E">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50D95C0C">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w:t>
            </w:r>
            <w:r>
              <w:rPr>
                <w:rFonts w:hint="eastAsia" w:cs="宋体" w:asciiTheme="minorEastAsia" w:hAnsiTheme="minorEastAsia" w:eastAsiaTheme="minorEastAsia"/>
                <w:bCs/>
                <w:kern w:val="2"/>
                <w:sz w:val="24"/>
                <w:szCs w:val="24"/>
                <w:lang w:val="en-US" w:eastAsia="zh-CN"/>
              </w:rPr>
              <w:t>小</w:t>
            </w:r>
            <w:r>
              <w:rPr>
                <w:rFonts w:hint="eastAsia" w:cs="宋体" w:asciiTheme="minorEastAsia" w:hAnsiTheme="minorEastAsia" w:eastAsiaTheme="minorEastAsia"/>
                <w:bCs/>
                <w:kern w:val="2"/>
                <w:sz w:val="24"/>
                <w:szCs w:val="24"/>
              </w:rPr>
              <w:t>写：</w:t>
            </w:r>
            <w:r>
              <w:rPr>
                <w:rFonts w:hint="eastAsia" w:cs="宋体" w:asciiTheme="minorEastAsia" w:hAnsiTheme="minorEastAsia" w:eastAsiaTheme="minorEastAsia"/>
                <w:bCs/>
                <w:kern w:val="2"/>
                <w:sz w:val="24"/>
                <w:szCs w:val="24"/>
                <w:u w:val="single"/>
              </w:rPr>
              <w:t xml:space="preserve">                        </w:t>
            </w:r>
          </w:p>
          <w:p w14:paraId="3FD0A3EC">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kern w:val="2"/>
                <w:sz w:val="24"/>
                <w:szCs w:val="24"/>
              </w:rPr>
            </w:pPr>
          </w:p>
        </w:tc>
      </w:tr>
      <w:tr w14:paraId="63EE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23DB5B4E">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0E81B540">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strike/>
                <w:kern w:val="2"/>
                <w:sz w:val="24"/>
                <w:szCs w:val="24"/>
                <w:highlight w:val="yellow"/>
              </w:rPr>
            </w:pPr>
          </w:p>
        </w:tc>
      </w:tr>
      <w:tr w14:paraId="00CC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A2079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5D3E2DC6">
            <w:pPr>
              <w:keepNext w:val="0"/>
              <w:keepLines w:val="0"/>
              <w:suppressLineNumbers w:val="0"/>
              <w:spacing w:before="0" w:beforeAutospacing="0" w:after="0" w:afterAutospacing="0"/>
              <w:ind w:left="0" w:right="0"/>
              <w:rPr>
                <w:rFonts w:hint="default" w:cs="宋体" w:asciiTheme="minorEastAsia" w:hAnsiTheme="minorEastAsia" w:eastAsiaTheme="minorEastAsia"/>
                <w:b/>
                <w:kern w:val="2"/>
                <w:sz w:val="24"/>
                <w:szCs w:val="24"/>
              </w:rPr>
            </w:pPr>
          </w:p>
        </w:tc>
      </w:tr>
    </w:tbl>
    <w:p w14:paraId="08C0E4A2">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210CB616">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4687EE74">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3E935200">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308BBA35">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63F2676E">
      <w:pPr>
        <w:pageBreakBefore/>
        <w:adjustRightInd w:val="0"/>
        <w:snapToGrid w:val="0"/>
        <w:spacing w:line="360" w:lineRule="auto"/>
        <w:rPr>
          <w:b/>
          <w:sz w:val="24"/>
          <w:szCs w:val="28"/>
        </w:rPr>
      </w:pPr>
      <w:r>
        <w:rPr>
          <w:rFonts w:hint="eastAsia"/>
          <w:b/>
          <w:sz w:val="24"/>
          <w:szCs w:val="28"/>
        </w:rPr>
        <w:t>1-2 分项报价明细表</w:t>
      </w:r>
    </w:p>
    <w:p w14:paraId="2D977389">
      <w:pPr>
        <w:jc w:val="center"/>
        <w:rPr>
          <w:i/>
          <w:iCs/>
          <w:color w:val="FF0000"/>
          <w:sz w:val="24"/>
          <w:szCs w:val="24"/>
        </w:rPr>
      </w:pPr>
      <w:r>
        <w:rPr>
          <w:rFonts w:hint="eastAsia"/>
          <w:b/>
          <w:i/>
          <w:iCs/>
          <w:color w:val="FF0000"/>
          <w:sz w:val="24"/>
          <w:szCs w:val="24"/>
        </w:rPr>
        <w:t>（如有，格式自拟）</w:t>
      </w:r>
    </w:p>
    <w:p w14:paraId="0048F5AE">
      <w:pPr>
        <w:pageBreakBefore/>
        <w:spacing w:line="360" w:lineRule="auto"/>
        <w:jc w:val="center"/>
        <w:outlineLvl w:val="1"/>
        <w:rPr>
          <w:rFonts w:asciiTheme="minorEastAsia" w:hAnsiTheme="minorEastAsia" w:eastAsiaTheme="minorEastAsia"/>
          <w:b/>
          <w:sz w:val="24"/>
        </w:rPr>
      </w:pPr>
      <w:bookmarkStart w:id="83" w:name="_Toc461053087"/>
      <w:bookmarkStart w:id="84" w:name="_Toc461056632"/>
      <w:bookmarkStart w:id="85" w:name="_Toc520983588"/>
      <w:bookmarkStart w:id="86" w:name="_Toc32037"/>
      <w:r>
        <w:rPr>
          <w:rFonts w:hint="eastAsia" w:asciiTheme="minorEastAsia" w:hAnsiTheme="minorEastAsia" w:eastAsiaTheme="minorEastAsia"/>
          <w:b/>
          <w:sz w:val="24"/>
        </w:rPr>
        <w:t>二</w:t>
      </w:r>
      <w:bookmarkEnd w:id="83"/>
      <w:bookmarkEnd w:id="84"/>
      <w:r>
        <w:rPr>
          <w:rFonts w:hint="eastAsia" w:asciiTheme="minorEastAsia" w:hAnsiTheme="minorEastAsia" w:eastAsiaTheme="minorEastAsia"/>
          <w:b/>
          <w:sz w:val="24"/>
        </w:rPr>
        <w:t>、第_____轮报价</w:t>
      </w:r>
      <w:bookmarkEnd w:id="85"/>
      <w:bookmarkEnd w:id="86"/>
    </w:p>
    <w:p w14:paraId="56DD004B">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24328543">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145C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99CF48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37E52D99">
            <w:pPr>
              <w:keepNext w:val="0"/>
              <w:keepLines w:val="0"/>
              <w:suppressLineNumbers w:val="0"/>
              <w:spacing w:before="0" w:beforeAutospacing="0" w:after="0" w:afterAutospacing="0"/>
              <w:ind w:left="0" w:right="0"/>
              <w:rPr>
                <w:rFonts w:hint="default" w:cs="宋体" w:asciiTheme="minorEastAsia" w:hAnsiTheme="minorEastAsia" w:eastAsiaTheme="minorEastAsia"/>
                <w:b/>
                <w:kern w:val="2"/>
                <w:sz w:val="24"/>
                <w:szCs w:val="24"/>
              </w:rPr>
            </w:pPr>
          </w:p>
        </w:tc>
      </w:tr>
      <w:tr w14:paraId="46D8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B06D86A">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4D4BCCF9">
            <w:pPr>
              <w:keepNext w:val="0"/>
              <w:keepLines w:val="0"/>
              <w:widowControl/>
              <w:suppressLineNumbers w:val="0"/>
              <w:spacing w:before="0" w:beforeAutospacing="0" w:after="0" w:afterAutospacing="0"/>
              <w:ind w:left="0" w:right="0"/>
              <w:rPr>
                <w:rFonts w:hint="default"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14:paraId="1B0B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75E1A66">
            <w:pPr>
              <w:keepNext w:val="0"/>
              <w:keepLines w:val="0"/>
              <w:suppressLineNumbers w:val="0"/>
              <w:spacing w:before="0" w:beforeAutospacing="0" w:after="0" w:afterAutospacing="0" w:line="360" w:lineRule="auto"/>
              <w:ind w:left="0" w:right="0"/>
              <w:jc w:val="center"/>
              <w:rPr>
                <w:rFonts w:hint="default" w:cs="@仿宋_GB2312"/>
                <w:b/>
                <w:kern w:val="2"/>
                <w:sz w:val="24"/>
                <w:szCs w:val="22"/>
              </w:rPr>
            </w:pPr>
            <w:r>
              <w:rPr>
                <w:rFonts w:hint="eastAsia" w:cs="@仿宋_GB2312"/>
                <w:b/>
                <w:bCs/>
                <w:kern w:val="2"/>
                <w:sz w:val="24"/>
                <w:szCs w:val="28"/>
              </w:rPr>
              <w:t>最终投标报价</w:t>
            </w:r>
          </w:p>
          <w:p w14:paraId="2D8BB6B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61717215">
            <w:pPr>
              <w:keepNext w:val="0"/>
              <w:keepLines w:val="0"/>
              <w:suppressLineNumbers w:val="0"/>
              <w:snapToGrid w:val="0"/>
              <w:spacing w:before="0" w:beforeAutospacing="0" w:after="0" w:afterAutospacing="0"/>
              <w:ind w:left="0" w:right="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27DD0104">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w:t>
            </w:r>
            <w:r>
              <w:rPr>
                <w:rFonts w:hint="eastAsia" w:cs="宋体" w:asciiTheme="minorEastAsia" w:hAnsiTheme="minorEastAsia" w:eastAsiaTheme="minorEastAsia"/>
                <w:bCs/>
                <w:kern w:val="2"/>
                <w:sz w:val="24"/>
                <w:szCs w:val="24"/>
                <w:lang w:val="en-US" w:eastAsia="zh-CN"/>
              </w:rPr>
              <w:t>小</w:t>
            </w:r>
            <w:r>
              <w:rPr>
                <w:rFonts w:hint="eastAsia" w:cs="宋体" w:asciiTheme="minorEastAsia" w:hAnsiTheme="minorEastAsia" w:eastAsiaTheme="minorEastAsia"/>
                <w:bCs/>
                <w:kern w:val="2"/>
                <w:sz w:val="24"/>
                <w:szCs w:val="24"/>
              </w:rPr>
              <w:t>写：</w:t>
            </w:r>
            <w:r>
              <w:rPr>
                <w:rFonts w:hint="eastAsia" w:cs="宋体" w:asciiTheme="minorEastAsia" w:hAnsiTheme="minorEastAsia" w:eastAsiaTheme="minorEastAsia"/>
                <w:bCs/>
                <w:kern w:val="2"/>
                <w:sz w:val="24"/>
                <w:szCs w:val="24"/>
                <w:u w:val="single"/>
              </w:rPr>
              <w:t xml:space="preserve">                        </w:t>
            </w:r>
          </w:p>
          <w:p w14:paraId="4F6278E2">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kern w:val="2"/>
                <w:sz w:val="24"/>
                <w:szCs w:val="24"/>
              </w:rPr>
            </w:pPr>
          </w:p>
        </w:tc>
      </w:tr>
      <w:tr w14:paraId="0361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A08E9B5">
            <w:pPr>
              <w:keepNext w:val="0"/>
              <w:keepLines w:val="0"/>
              <w:suppressLineNumbers w:val="0"/>
              <w:snapToGrid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1FBE89A6">
            <w:pPr>
              <w:keepNext w:val="0"/>
              <w:keepLines w:val="0"/>
              <w:suppressLineNumbers w:val="0"/>
              <w:snapToGrid w:val="0"/>
              <w:spacing w:before="0" w:beforeAutospacing="0" w:after="0" w:afterAutospacing="0"/>
              <w:ind w:left="0" w:right="0"/>
              <w:rPr>
                <w:rFonts w:hint="default" w:cs="宋体" w:asciiTheme="minorEastAsia" w:hAnsiTheme="minorEastAsia" w:eastAsiaTheme="minorEastAsia"/>
                <w:b/>
                <w:kern w:val="2"/>
                <w:sz w:val="24"/>
                <w:szCs w:val="24"/>
              </w:rPr>
            </w:pPr>
          </w:p>
        </w:tc>
      </w:tr>
      <w:tr w14:paraId="2A07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547874D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70112002">
            <w:pPr>
              <w:keepNext w:val="0"/>
              <w:keepLines w:val="0"/>
              <w:suppressLineNumbers w:val="0"/>
              <w:spacing w:before="0" w:beforeAutospacing="0" w:after="0" w:afterAutospacing="0"/>
              <w:ind w:left="0" w:right="0"/>
              <w:rPr>
                <w:rFonts w:hint="default" w:cs="宋体" w:asciiTheme="minorEastAsia" w:hAnsiTheme="minorEastAsia" w:eastAsiaTheme="minorEastAsia"/>
                <w:b/>
                <w:kern w:val="2"/>
                <w:sz w:val="24"/>
                <w:szCs w:val="24"/>
              </w:rPr>
            </w:pPr>
          </w:p>
        </w:tc>
      </w:tr>
      <w:tr w14:paraId="4C3D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145C12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133B17B3">
            <w:pPr>
              <w:keepNext w:val="0"/>
              <w:keepLines w:val="0"/>
              <w:suppressLineNumbers w:val="0"/>
              <w:spacing w:before="0" w:beforeAutospacing="0" w:after="0" w:afterAutospacing="0"/>
              <w:ind w:left="0" w:right="0"/>
              <w:rPr>
                <w:rFonts w:hint="default" w:cs="宋体" w:asciiTheme="minorEastAsia" w:hAnsiTheme="minorEastAsia" w:eastAsiaTheme="minorEastAsia"/>
                <w:b/>
                <w:kern w:val="2"/>
                <w:sz w:val="24"/>
                <w:szCs w:val="24"/>
              </w:rPr>
            </w:pPr>
          </w:p>
        </w:tc>
      </w:tr>
    </w:tbl>
    <w:p w14:paraId="1536B377">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2ECA7AF3">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5D62CA2A">
      <w:pPr>
        <w:spacing w:line="360" w:lineRule="auto"/>
        <w:jc w:val="left"/>
        <w:rPr>
          <w:rFonts w:cs="宋体" w:asciiTheme="minorEastAsia" w:hAnsiTheme="minorEastAsia" w:eastAsiaTheme="minorEastAsia"/>
          <w:b/>
          <w:bCs/>
          <w:kern w:val="2"/>
          <w:sz w:val="24"/>
          <w:szCs w:val="24"/>
        </w:rPr>
      </w:pPr>
    </w:p>
    <w:p w14:paraId="3329DA67">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7278B945">
      <w:pPr>
        <w:widowControl/>
        <w:jc w:val="left"/>
        <w:rPr>
          <w:rFonts w:asciiTheme="minorEastAsia" w:hAnsiTheme="minorEastAsia" w:eastAsiaTheme="minorEastAsia"/>
          <w:b/>
          <w:sz w:val="24"/>
        </w:rPr>
      </w:pPr>
      <w:r>
        <w:rPr>
          <w:bCs/>
          <w:sz w:val="24"/>
        </w:rPr>
        <w:br w:type="page"/>
      </w:r>
      <w:bookmarkStart w:id="87" w:name="_Toc520983591"/>
    </w:p>
    <w:p w14:paraId="0C17CDED">
      <w:pPr>
        <w:spacing w:line="360" w:lineRule="auto"/>
        <w:jc w:val="center"/>
        <w:outlineLvl w:val="1"/>
        <w:rPr>
          <w:rFonts w:asciiTheme="minorEastAsia" w:hAnsiTheme="minorEastAsia" w:eastAsiaTheme="minorEastAsia"/>
          <w:b/>
          <w:sz w:val="24"/>
        </w:rPr>
      </w:pPr>
      <w:bookmarkStart w:id="88" w:name="_Toc28368"/>
      <w:r>
        <w:rPr>
          <w:rFonts w:hint="eastAsia" w:asciiTheme="minorEastAsia" w:hAnsiTheme="minorEastAsia" w:eastAsiaTheme="minorEastAsia"/>
          <w:b/>
          <w:sz w:val="24"/>
        </w:rPr>
        <w:t>三、投标函</w:t>
      </w:r>
      <w:bookmarkEnd w:id="87"/>
      <w:bookmarkEnd w:id="88"/>
    </w:p>
    <w:p w14:paraId="7041EF5C">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31F9B65F">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192A87EC">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348FD5B0">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4F81FB82">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455079C7">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3EA90058">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24830BDE">
      <w:pPr>
        <w:spacing w:line="360" w:lineRule="auto"/>
        <w:ind w:firstLine="480" w:firstLineChars="200"/>
        <w:rPr>
          <w:sz w:val="24"/>
        </w:rPr>
      </w:pPr>
      <w:r>
        <w:rPr>
          <w:rFonts w:hint="eastAsia"/>
          <w:sz w:val="24"/>
        </w:rPr>
        <w:t>7.我方同意竞价文件规定的付款方式、服务期限。</w:t>
      </w:r>
    </w:p>
    <w:p w14:paraId="0FA9DD13">
      <w:pPr>
        <w:spacing w:line="360" w:lineRule="auto"/>
        <w:ind w:firstLine="480" w:firstLineChars="200"/>
        <w:rPr>
          <w:sz w:val="24"/>
        </w:rPr>
      </w:pPr>
      <w:r>
        <w:rPr>
          <w:rFonts w:hint="eastAsia"/>
          <w:sz w:val="24"/>
        </w:rPr>
        <w:t>8.我方对投标文件中所提供资料、文件、证书及证件的真实性和有效性负责。</w:t>
      </w:r>
    </w:p>
    <w:p w14:paraId="4E85EC7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50D0919C">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7CC113AB">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7896DC77">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05D277D8">
      <w:pPr>
        <w:pStyle w:val="54"/>
        <w:ind w:firstLine="200"/>
      </w:pPr>
    </w:p>
    <w:p w14:paraId="5471853B">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51CFEEA7">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09175FC5">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89" w:name="_Toc520983594"/>
      <w:bookmarkStart w:id="90" w:name="_Toc121626298"/>
      <w:bookmarkStart w:id="91" w:name="_Toc3356"/>
      <w:bookmarkStart w:id="92" w:name="_Toc204594911"/>
      <w:bookmarkStart w:id="93" w:name="_Toc516969106"/>
      <w:r>
        <w:rPr>
          <w:rFonts w:hint="eastAsia" w:asciiTheme="minorEastAsia" w:hAnsiTheme="minorEastAsia" w:eastAsiaTheme="minorEastAsia"/>
          <w:b/>
          <w:sz w:val="24"/>
        </w:rPr>
        <w:t>四、授权书</w:t>
      </w:r>
      <w:bookmarkEnd w:id="89"/>
      <w:bookmarkEnd w:id="90"/>
      <w:bookmarkEnd w:id="91"/>
      <w:bookmarkEnd w:id="92"/>
      <w:bookmarkEnd w:id="93"/>
    </w:p>
    <w:p w14:paraId="1E51E3A0">
      <w:pPr>
        <w:spacing w:line="360" w:lineRule="auto"/>
        <w:jc w:val="center"/>
        <w:rPr>
          <w:rFonts w:asciiTheme="minorEastAsia" w:hAnsiTheme="minorEastAsia" w:eastAsiaTheme="minorEastAsia"/>
          <w:b/>
          <w:sz w:val="24"/>
        </w:rPr>
      </w:pPr>
    </w:p>
    <w:p w14:paraId="08EE18BA">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0679419D">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A860A6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4E4480BC">
      <w:pPr>
        <w:pStyle w:val="27"/>
        <w:snapToGrid w:val="0"/>
        <w:spacing w:line="360" w:lineRule="auto"/>
        <w:ind w:firstLine="480" w:firstLineChars="200"/>
        <w:jc w:val="left"/>
        <w:rPr>
          <w:rFonts w:hAnsi="宋体" w:eastAsia="宋体"/>
          <w:sz w:val="24"/>
          <w:szCs w:val="28"/>
        </w:rPr>
      </w:pPr>
    </w:p>
    <w:p w14:paraId="6C80B32D">
      <w:pPr>
        <w:pStyle w:val="27"/>
        <w:snapToGrid w:val="0"/>
        <w:spacing w:line="360" w:lineRule="auto"/>
        <w:ind w:firstLine="480" w:firstLineChars="200"/>
        <w:jc w:val="left"/>
        <w:rPr>
          <w:rFonts w:hAnsi="宋体" w:eastAsia="宋体"/>
          <w:sz w:val="24"/>
        </w:rPr>
      </w:pPr>
    </w:p>
    <w:p w14:paraId="29CBDE84">
      <w:pPr>
        <w:pStyle w:val="27"/>
        <w:snapToGrid w:val="0"/>
        <w:spacing w:line="360" w:lineRule="auto"/>
        <w:ind w:firstLine="480" w:firstLineChars="200"/>
        <w:jc w:val="left"/>
        <w:rPr>
          <w:rFonts w:hAnsi="宋体" w:eastAsia="宋体"/>
          <w:sz w:val="24"/>
        </w:rPr>
      </w:pPr>
    </w:p>
    <w:p w14:paraId="218587E6">
      <w:pPr>
        <w:pStyle w:val="27"/>
        <w:snapToGrid w:val="0"/>
        <w:spacing w:line="360" w:lineRule="auto"/>
        <w:ind w:firstLine="480" w:firstLineChars="200"/>
        <w:jc w:val="left"/>
        <w:rPr>
          <w:rFonts w:hAnsi="宋体" w:eastAsia="宋体"/>
          <w:sz w:val="24"/>
        </w:rPr>
      </w:pPr>
    </w:p>
    <w:p w14:paraId="4D91A95F">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1651D42D">
      <w:pPr>
        <w:pStyle w:val="27"/>
        <w:snapToGrid w:val="0"/>
        <w:spacing w:line="360" w:lineRule="auto"/>
        <w:ind w:firstLine="480" w:firstLineChars="200"/>
        <w:jc w:val="left"/>
        <w:rPr>
          <w:rFonts w:hAnsi="宋体" w:eastAsia="宋体"/>
          <w:sz w:val="24"/>
          <w:szCs w:val="28"/>
        </w:rPr>
      </w:pPr>
    </w:p>
    <w:p w14:paraId="10A999B0">
      <w:pPr>
        <w:spacing w:line="360" w:lineRule="auto"/>
        <w:ind w:firstLine="360" w:firstLineChars="150"/>
        <w:rPr>
          <w:sz w:val="24"/>
          <w:szCs w:val="28"/>
        </w:rPr>
      </w:pPr>
      <w:r>
        <w:rPr>
          <w:rFonts w:hint="eastAsia"/>
          <w:sz w:val="24"/>
          <w:szCs w:val="28"/>
        </w:rPr>
        <w:t>特此声明。</w:t>
      </w:r>
    </w:p>
    <w:p w14:paraId="3307ECAA">
      <w:pPr>
        <w:spacing w:line="360" w:lineRule="auto"/>
        <w:rPr>
          <w:sz w:val="24"/>
          <w:szCs w:val="28"/>
        </w:rPr>
      </w:pPr>
    </w:p>
    <w:p w14:paraId="39BC0881">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29770D4C">
      <w:pPr>
        <w:spacing w:line="360" w:lineRule="auto"/>
        <w:rPr>
          <w:sz w:val="24"/>
          <w:szCs w:val="28"/>
        </w:rPr>
      </w:pPr>
      <w:r>
        <w:rPr>
          <w:rFonts w:hint="eastAsia"/>
          <w:sz w:val="24"/>
          <w:szCs w:val="28"/>
        </w:rPr>
        <w:t>日      期：</w:t>
      </w:r>
      <w:r>
        <w:rPr>
          <w:rFonts w:hint="eastAsia"/>
          <w:sz w:val="24"/>
          <w:szCs w:val="28"/>
          <w:u w:val="single"/>
        </w:rPr>
        <w:t xml:space="preserve">                    </w:t>
      </w:r>
    </w:p>
    <w:p w14:paraId="6773596A">
      <w:pPr>
        <w:spacing w:line="360" w:lineRule="auto"/>
        <w:rPr>
          <w:sz w:val="24"/>
          <w:szCs w:val="28"/>
        </w:rPr>
      </w:pPr>
    </w:p>
    <w:p w14:paraId="187925B0">
      <w:pPr>
        <w:spacing w:line="360" w:lineRule="auto"/>
        <w:rPr>
          <w:sz w:val="24"/>
          <w:szCs w:val="28"/>
        </w:rPr>
      </w:pPr>
    </w:p>
    <w:p w14:paraId="0476C958">
      <w:pPr>
        <w:pStyle w:val="27"/>
        <w:snapToGrid w:val="0"/>
        <w:spacing w:line="360" w:lineRule="auto"/>
        <w:jc w:val="left"/>
        <w:rPr>
          <w:rFonts w:hAnsi="宋体" w:eastAsia="宋体"/>
          <w:sz w:val="24"/>
          <w:szCs w:val="28"/>
        </w:rPr>
      </w:pPr>
      <w:r>
        <w:rPr>
          <w:rFonts w:hint="eastAsia" w:hAnsi="宋体" w:eastAsia="宋体"/>
          <w:sz w:val="24"/>
          <w:szCs w:val="28"/>
        </w:rPr>
        <w:t>注：</w:t>
      </w:r>
    </w:p>
    <w:p w14:paraId="6EEAF686">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77F610E6">
      <w:pPr>
        <w:spacing w:line="360" w:lineRule="auto"/>
        <w:jc w:val="left"/>
        <w:rPr>
          <w:sz w:val="24"/>
        </w:rPr>
      </w:pPr>
      <w:r>
        <w:rPr>
          <w:rFonts w:hint="eastAsia"/>
          <w:sz w:val="24"/>
        </w:rPr>
        <w:t>2.法定代表人参加竞价的无需提供授权书，仅提供法定代表人身份证明书。</w:t>
      </w:r>
    </w:p>
    <w:p w14:paraId="37E8C688">
      <w:pPr>
        <w:widowControl/>
        <w:jc w:val="left"/>
        <w:rPr>
          <w:sz w:val="24"/>
        </w:rPr>
      </w:pPr>
      <w:r>
        <w:rPr>
          <w:sz w:val="24"/>
        </w:rPr>
        <w:br w:type="page"/>
      </w:r>
    </w:p>
    <w:p w14:paraId="46536704">
      <w:pPr>
        <w:spacing w:line="360" w:lineRule="auto"/>
        <w:jc w:val="center"/>
        <w:outlineLvl w:val="1"/>
        <w:rPr>
          <w:rFonts w:asciiTheme="minorEastAsia" w:hAnsiTheme="minorEastAsia" w:eastAsiaTheme="minorEastAsia"/>
          <w:b/>
          <w:sz w:val="24"/>
        </w:rPr>
      </w:pPr>
      <w:bookmarkStart w:id="94" w:name="_Toc3460"/>
      <w:r>
        <w:rPr>
          <w:rFonts w:hint="eastAsia" w:asciiTheme="minorEastAsia" w:hAnsiTheme="minorEastAsia" w:eastAsiaTheme="minorEastAsia"/>
          <w:b/>
          <w:sz w:val="24"/>
        </w:rPr>
        <w:t>五、法定代表人身份证明书</w:t>
      </w:r>
      <w:bookmarkEnd w:id="94"/>
    </w:p>
    <w:p w14:paraId="577DEF83">
      <w:pPr>
        <w:autoSpaceDE w:val="0"/>
        <w:autoSpaceDN w:val="0"/>
        <w:adjustRightInd w:val="0"/>
        <w:spacing w:line="360" w:lineRule="auto"/>
        <w:jc w:val="center"/>
        <w:rPr>
          <w:rFonts w:ascii="@仿宋_GB2312" w:eastAsia="@仿宋_GB2312" w:cs="宋体"/>
          <w:b/>
          <w:kern w:val="2"/>
          <w:sz w:val="21"/>
          <w:szCs w:val="24"/>
          <w:lang w:val="zh-CN"/>
        </w:rPr>
      </w:pPr>
    </w:p>
    <w:p w14:paraId="620DBCFA">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689979C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260033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0E97622">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559511A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156D65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4633844C">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4BF5CDD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43C58D6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2355A197">
      <w:pPr>
        <w:spacing w:before="62" w:beforeLines="20" w:after="62" w:afterLines="20" w:line="540" w:lineRule="exact"/>
        <w:ind w:firstLine="610"/>
        <w:rPr>
          <w:rFonts w:ascii="@仿宋_GB2312" w:hAnsi="Calibri" w:eastAsia="@仿宋_GB2312" w:cs="宋体"/>
          <w:kern w:val="2"/>
          <w:sz w:val="24"/>
          <w:szCs w:val="24"/>
        </w:rPr>
      </w:pPr>
    </w:p>
    <w:p w14:paraId="7B79FA32">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31CAC61F">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77B01778">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105AB400">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3DD2CD66">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07A3BB0">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C79156C">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47C2EC09">
      <w:pPr>
        <w:spacing w:line="360" w:lineRule="auto"/>
        <w:jc w:val="center"/>
        <w:outlineLvl w:val="1"/>
        <w:rPr>
          <w:rFonts w:asciiTheme="minorEastAsia" w:hAnsiTheme="minorEastAsia" w:eastAsiaTheme="minorEastAsia"/>
          <w:b/>
          <w:sz w:val="24"/>
        </w:rPr>
      </w:pPr>
      <w:bookmarkStart w:id="95" w:name="_Toc6867"/>
      <w:r>
        <w:rPr>
          <w:rFonts w:hint="eastAsia" w:asciiTheme="minorEastAsia" w:hAnsiTheme="minorEastAsia" w:eastAsiaTheme="minorEastAsia"/>
          <w:b/>
          <w:sz w:val="24"/>
        </w:rPr>
        <w:t>六、投标业绩</w:t>
      </w:r>
      <w:bookmarkEnd w:id="95"/>
    </w:p>
    <w:p w14:paraId="7B49332E">
      <w:pPr>
        <w:keepNext/>
        <w:keepLines/>
        <w:numPr>
          <w:ilvl w:val="0"/>
          <w:numId w:val="2"/>
        </w:numPr>
        <w:jc w:val="center"/>
        <w:rPr>
          <w:sz w:val="24"/>
          <w:szCs w:val="24"/>
        </w:rPr>
      </w:pPr>
      <w:r>
        <w:rPr>
          <w:rFonts w:hint="eastAsia"/>
          <w:sz w:val="24"/>
          <w:szCs w:val="24"/>
        </w:rPr>
        <w:t>业绩表</w:t>
      </w:r>
    </w:p>
    <w:p w14:paraId="45EC81A9">
      <w:pPr>
        <w:keepNext/>
        <w:keepLines/>
        <w:jc w:val="center"/>
        <w:rPr>
          <w:sz w:val="24"/>
          <w:szCs w:val="24"/>
        </w:rPr>
      </w:pPr>
      <w:r>
        <w:rPr>
          <w:rFonts w:hint="eastAsia"/>
          <w:sz w:val="24"/>
          <w:szCs w:val="24"/>
        </w:rPr>
        <w:t>（格式仅供参考）</w:t>
      </w:r>
    </w:p>
    <w:p w14:paraId="2690C74D">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529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01AF7E5E">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3CB2DB48">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6BC06412">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2B1D9364">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1323A600">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2A75D541">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219A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00E0203">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0DFA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1F60FF3">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562FD4AA">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874" w:type="pct"/>
            <w:vAlign w:val="center"/>
          </w:tcPr>
          <w:p w14:paraId="7897B71F">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918" w:type="pct"/>
            <w:vAlign w:val="center"/>
          </w:tcPr>
          <w:p w14:paraId="3F9D8F37">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1043" w:type="pct"/>
            <w:vAlign w:val="center"/>
          </w:tcPr>
          <w:p w14:paraId="53D4EBF0">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637" w:type="pct"/>
            <w:vAlign w:val="center"/>
          </w:tcPr>
          <w:p w14:paraId="070BAEBB">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r>
      <w:tr w14:paraId="456B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1C007BE">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46C0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D950E48">
            <w:pPr>
              <w:keepNext w:val="0"/>
              <w:keepLines w:val="0"/>
              <w:suppressLineNumbers w:val="0"/>
              <w:spacing w:before="0" w:beforeAutospacing="0" w:after="0" w:afterAutospacing="0" w:line="360" w:lineRule="auto"/>
              <w:ind w:left="0" w:right="0"/>
              <w:jc w:val="center"/>
              <w:rPr>
                <w:rFonts w:hint="default"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38B401E1">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874" w:type="pct"/>
            <w:vAlign w:val="center"/>
          </w:tcPr>
          <w:p w14:paraId="302F76C2">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918" w:type="pct"/>
            <w:vAlign w:val="center"/>
          </w:tcPr>
          <w:p w14:paraId="2371FE9A">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1043" w:type="pct"/>
            <w:vAlign w:val="center"/>
          </w:tcPr>
          <w:p w14:paraId="2D279BB0">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c>
          <w:tcPr>
            <w:tcW w:w="637" w:type="pct"/>
            <w:vAlign w:val="center"/>
          </w:tcPr>
          <w:p w14:paraId="26C70DE3">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bCs/>
                <w:kern w:val="2"/>
                <w:sz w:val="24"/>
                <w:szCs w:val="24"/>
              </w:rPr>
            </w:pPr>
          </w:p>
        </w:tc>
      </w:tr>
    </w:tbl>
    <w:p w14:paraId="715CE271">
      <w:pPr>
        <w:widowControl/>
        <w:jc w:val="left"/>
        <w:rPr>
          <w:rFonts w:asciiTheme="minorEastAsia" w:hAnsiTheme="minorEastAsia" w:eastAsiaTheme="minorEastAsia"/>
          <w:b/>
          <w:sz w:val="24"/>
        </w:rPr>
      </w:pPr>
    </w:p>
    <w:p w14:paraId="7A3734AE">
      <w:pPr>
        <w:keepNext/>
        <w:keepLines/>
        <w:rPr>
          <w:sz w:val="24"/>
          <w:szCs w:val="24"/>
        </w:rPr>
      </w:pPr>
    </w:p>
    <w:p w14:paraId="78DA2727">
      <w:pPr>
        <w:keepNext/>
        <w:keepLines/>
        <w:numPr>
          <w:ilvl w:val="0"/>
          <w:numId w:val="2"/>
        </w:numPr>
        <w:spacing w:line="360" w:lineRule="auto"/>
        <w:jc w:val="center"/>
        <w:rPr>
          <w:sz w:val="24"/>
          <w:szCs w:val="24"/>
        </w:rPr>
      </w:pPr>
      <w:r>
        <w:rPr>
          <w:rFonts w:hint="eastAsia"/>
          <w:sz w:val="24"/>
          <w:szCs w:val="24"/>
        </w:rPr>
        <w:t>业绩证明材料</w:t>
      </w:r>
    </w:p>
    <w:p w14:paraId="227DE587">
      <w:pPr>
        <w:keepNext/>
        <w:keepLines/>
        <w:spacing w:line="360" w:lineRule="auto"/>
        <w:jc w:val="center"/>
        <w:rPr>
          <w:rFonts w:asciiTheme="minorEastAsia" w:hAnsiTheme="minorEastAsia" w:eastAsiaTheme="minorEastAsia"/>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5AB99FC7">
      <w:pPr>
        <w:spacing w:line="360" w:lineRule="auto"/>
        <w:ind w:right="480" w:firstLine="4680" w:firstLineChars="1950"/>
        <w:rPr>
          <w:rFonts w:asciiTheme="minorEastAsia" w:hAnsiTheme="minorEastAsia" w:eastAsiaTheme="minorEastAsia"/>
          <w:sz w:val="24"/>
        </w:rPr>
      </w:pPr>
    </w:p>
    <w:p w14:paraId="2346EC38">
      <w:pPr>
        <w:spacing w:line="360" w:lineRule="auto"/>
        <w:jc w:val="center"/>
        <w:outlineLvl w:val="1"/>
        <w:rPr>
          <w:rFonts w:asciiTheme="minorEastAsia" w:hAnsiTheme="minorEastAsia" w:eastAsiaTheme="minorEastAsia"/>
          <w:b/>
          <w:sz w:val="24"/>
        </w:rPr>
      </w:pPr>
      <w:bookmarkStart w:id="96"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96"/>
    </w:p>
    <w:p w14:paraId="52AEF7B0">
      <w:pPr>
        <w:spacing w:line="360" w:lineRule="auto"/>
        <w:jc w:val="center"/>
        <w:rPr>
          <w:sz w:val="24"/>
          <w:szCs w:val="22"/>
        </w:rPr>
      </w:pPr>
      <w:bookmarkStart w:id="97" w:name="_Toc19685"/>
      <w:r>
        <w:rPr>
          <w:rFonts w:hint="eastAsia"/>
          <w:sz w:val="24"/>
          <w:szCs w:val="22"/>
        </w:rPr>
        <w:t>投标人按照第四章评审方法和标准放置的其他资料。</w:t>
      </w:r>
      <w:bookmarkEnd w:id="97"/>
    </w:p>
    <w:p w14:paraId="3422702C">
      <w:pPr>
        <w:rPr>
          <w:sz w:val="24"/>
          <w:szCs w:val="22"/>
        </w:rPr>
      </w:pP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武律师" w:date="2024-08-21T10:16:02Z" w:initials="">
    <w:p w14:paraId="7F12123F">
      <w:pPr>
        <w:pStyle w:val="16"/>
        <w:rPr>
          <w:rFonts w:hint="eastAsia" w:eastAsia="黑体"/>
          <w:lang w:eastAsia="zh-CN"/>
        </w:rPr>
      </w:pP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1212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9EC1A">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688893E">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BE28">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3DDA">
    <w:pPr>
      <w:pStyle w:val="34"/>
      <w:pBdr>
        <w:bottom w:val="none" w:color="auto" w:sz="0" w:space="1"/>
      </w:pBdr>
      <w:jc w:val="both"/>
      <w:rPr>
        <w:rFonts w:hint="eastAsia" w:eastAsia="宋体"/>
        <w:sz w:val="24"/>
        <w:szCs w:val="24"/>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合肥文旅博览集团有限公司竞价文件</w:t>
    </w:r>
    <w:r>
      <w:rPr>
        <w:rFonts w:hint="eastAsia"/>
        <w:sz w:val="24"/>
        <w:szCs w:val="24"/>
        <w:u w:val="single"/>
        <w:lang w:val="en-US" w:eastAsia="zh-CN"/>
      </w:rPr>
      <w:t>示范文</w:t>
    </w:r>
    <w:r>
      <w:rPr>
        <w:rFonts w:hint="eastAsia"/>
        <w:sz w:val="24"/>
        <w:szCs w:val="24"/>
        <w:u w:val="single"/>
      </w:rPr>
      <w:t>本</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50CB9FBB">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武律师">
    <w15:presenceInfo w15:providerId="WPS Office" w15:userId="3023640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4B91"/>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0D4B60"/>
    <w:rsid w:val="08125403"/>
    <w:rsid w:val="08337E2C"/>
    <w:rsid w:val="08636A5A"/>
    <w:rsid w:val="086A0E2C"/>
    <w:rsid w:val="08946CD7"/>
    <w:rsid w:val="08A46BE7"/>
    <w:rsid w:val="08BB1E7B"/>
    <w:rsid w:val="08DA0EE6"/>
    <w:rsid w:val="08DB07BA"/>
    <w:rsid w:val="09417F81"/>
    <w:rsid w:val="0946657C"/>
    <w:rsid w:val="09A0519F"/>
    <w:rsid w:val="09A52083"/>
    <w:rsid w:val="09CF5E40"/>
    <w:rsid w:val="09DF6712"/>
    <w:rsid w:val="09E33DCA"/>
    <w:rsid w:val="09F9539C"/>
    <w:rsid w:val="0A1A6666"/>
    <w:rsid w:val="0A365FB3"/>
    <w:rsid w:val="0A56459C"/>
    <w:rsid w:val="0A77544C"/>
    <w:rsid w:val="0AA65F45"/>
    <w:rsid w:val="0AC86268"/>
    <w:rsid w:val="0AD656DD"/>
    <w:rsid w:val="0AD825C4"/>
    <w:rsid w:val="0AFA5870"/>
    <w:rsid w:val="0AFE2088"/>
    <w:rsid w:val="0B032D5F"/>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0636C"/>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4C7025"/>
    <w:rsid w:val="147A532B"/>
    <w:rsid w:val="14C412D5"/>
    <w:rsid w:val="14E36BC9"/>
    <w:rsid w:val="14F051F6"/>
    <w:rsid w:val="14F96B98"/>
    <w:rsid w:val="151E215B"/>
    <w:rsid w:val="15376D6F"/>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9F3C67"/>
    <w:rsid w:val="1BA4397A"/>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26197C"/>
    <w:rsid w:val="1D3E783E"/>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EDD63AB"/>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1E1B66"/>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AD74CB"/>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591487"/>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6C1BC8"/>
    <w:rsid w:val="2A7523C5"/>
    <w:rsid w:val="2A8645D2"/>
    <w:rsid w:val="2A97058D"/>
    <w:rsid w:val="2AC51206"/>
    <w:rsid w:val="2AE40997"/>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2B34"/>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40B8E"/>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0F0DC0"/>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A91900"/>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2F6B41"/>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0976F7"/>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110A11"/>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6A1035"/>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55403"/>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4A27E8"/>
    <w:rsid w:val="51706AE7"/>
    <w:rsid w:val="517F39A6"/>
    <w:rsid w:val="5221002A"/>
    <w:rsid w:val="52324E4E"/>
    <w:rsid w:val="52642B9B"/>
    <w:rsid w:val="526F3A1A"/>
    <w:rsid w:val="52816DE8"/>
    <w:rsid w:val="52976ACD"/>
    <w:rsid w:val="529F5982"/>
    <w:rsid w:val="52AF3C79"/>
    <w:rsid w:val="52E617B5"/>
    <w:rsid w:val="52FF78E7"/>
    <w:rsid w:val="530E4BF4"/>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6256F6"/>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0647F0"/>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0B4958"/>
    <w:rsid w:val="650C0660"/>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826D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0D7B50"/>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984D79"/>
    <w:rsid w:val="6DD42C17"/>
    <w:rsid w:val="6DF02B8E"/>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A346CD"/>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B6537"/>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83C24"/>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BD4068"/>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270"/>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标题 3 Char"/>
    <w:basedOn w:val="58"/>
    <w:link w:val="2"/>
    <w:qFormat/>
    <w:uiPriority w:val="0"/>
    <w:rPr>
      <w:rFonts w:hint="default" w:ascii="Calibri" w:hAnsi="Calibri" w:cs="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18496</Words>
  <Characters>19144</Characters>
  <Lines>101</Lines>
  <Paragraphs>28</Paragraphs>
  <TotalTime>28</TotalTime>
  <ScaleCrop>false</ScaleCrop>
  <LinksUpToDate>false</LinksUpToDate>
  <CharactersWithSpaces>20993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worker</cp:lastModifiedBy>
  <cp:lastPrinted>2023-05-30T07:28:00Z</cp:lastPrinted>
  <dcterms:modified xsi:type="dcterms:W3CDTF">2024-08-22T01:06:22Z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ED70A515E3EB4ACCA6371BA55A61824D_13</vt:lpwstr>
  </property>
</Properties>
</file>