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8"/>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ind w:firstLine="723" w:firstLineChars="200"/>
        <w:rPr>
          <w:rFonts w:hint="eastAsia" w:ascii="Times New Roman" w:hAnsi="Times New Roman" w:cs="Times New Roman"/>
          <w:b/>
          <w:spacing w:val="20"/>
          <w:kern w:val="0"/>
          <w:sz w:val="32"/>
          <w:szCs w:val="32"/>
          <w:u w:val="single"/>
          <w:lang w:eastAsia="zh-CN"/>
        </w:rPr>
      </w:pPr>
      <w:r>
        <w:rPr>
          <w:rFonts w:hint="eastAsia"/>
          <w:b/>
          <w:spacing w:val="20"/>
          <w:sz w:val="32"/>
          <w:szCs w:val="32"/>
        </w:rPr>
        <w:t>项目名称：</w:t>
      </w:r>
      <w:r>
        <w:rPr>
          <w:rFonts w:hint="eastAsia"/>
          <w:b/>
          <w:spacing w:val="20"/>
          <w:sz w:val="32"/>
          <w:szCs w:val="32"/>
          <w:u w:val="single"/>
          <w:lang w:val="en-US" w:eastAsia="zh-CN"/>
        </w:rPr>
        <w:t>2024年</w:t>
      </w:r>
      <w:r>
        <w:rPr>
          <w:rFonts w:hint="eastAsia" w:ascii="Times New Roman" w:hAnsi="Times New Roman" w:cs="Times New Roman" w:eastAsiaTheme="minorEastAsia"/>
          <w:b/>
          <w:spacing w:val="20"/>
          <w:kern w:val="0"/>
          <w:sz w:val="32"/>
          <w:szCs w:val="32"/>
          <w:u w:val="single"/>
          <w:lang w:eastAsia="zh-CN"/>
        </w:rPr>
        <w:t>滨湖国际会展中心</w:t>
      </w:r>
      <w:r>
        <w:rPr>
          <w:rFonts w:hint="eastAsia" w:ascii="Times New Roman" w:hAnsi="Times New Roman" w:cs="Times New Roman"/>
          <w:b/>
          <w:spacing w:val="20"/>
          <w:kern w:val="0"/>
          <w:sz w:val="32"/>
          <w:szCs w:val="32"/>
          <w:u w:val="single"/>
          <w:lang w:eastAsia="zh-CN"/>
        </w:rPr>
        <w:t>废旧物资处置项目</w:t>
      </w:r>
    </w:p>
    <w:p>
      <w:pPr>
        <w:tabs>
          <w:tab w:val="left" w:pos="2410"/>
        </w:tabs>
        <w:autoSpaceDE w:val="0"/>
        <w:autoSpaceDN w:val="0"/>
        <w:adjustRightInd w:val="0"/>
        <w:snapToGrid w:val="0"/>
        <w:spacing w:line="360" w:lineRule="auto"/>
        <w:ind w:firstLine="723" w:firstLineChars="200"/>
        <w:outlineLvl w:val="0"/>
        <w:rPr>
          <w:b/>
          <w:spacing w:val="20"/>
          <w:sz w:val="32"/>
          <w:szCs w:val="32"/>
        </w:rPr>
      </w:pPr>
      <w:r>
        <w:rPr>
          <w:rFonts w:hint="eastAsia"/>
          <w:b/>
          <w:spacing w:val="20"/>
          <w:sz w:val="32"/>
          <w:szCs w:val="32"/>
        </w:rPr>
        <w:t>项目编号：</w:t>
      </w:r>
      <w:r>
        <w:rPr>
          <w:rFonts w:hint="eastAsia"/>
          <w:b/>
          <w:spacing w:val="20"/>
          <w:sz w:val="32"/>
          <w:szCs w:val="32"/>
          <w:u w:val="single"/>
        </w:rPr>
        <w:t>2024ZWHZXJ00018号</w:t>
      </w:r>
    </w:p>
    <w:p>
      <w:pPr>
        <w:tabs>
          <w:tab w:val="left" w:pos="2410"/>
        </w:tabs>
        <w:autoSpaceDE w:val="0"/>
        <w:autoSpaceDN w:val="0"/>
        <w:adjustRightInd w:val="0"/>
        <w:snapToGrid w:val="0"/>
        <w:spacing w:line="360" w:lineRule="auto"/>
        <w:ind w:firstLine="723" w:firstLineChars="200"/>
        <w:outlineLvl w:val="0"/>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 xml:space="preserve"> 9</w:t>
      </w:r>
      <w:r>
        <w:rPr>
          <w:rFonts w:eastAsiaTheme="majorEastAsia"/>
          <w:b/>
          <w:sz w:val="36"/>
          <w:u w:val="single"/>
        </w:rPr>
        <w:t xml:space="preserve"> </w:t>
      </w:r>
      <w:r>
        <w:rPr>
          <w:rFonts w:hint="eastAsia" w:eastAsiaTheme="majorEastAsia"/>
          <w:b/>
          <w:sz w:val="36"/>
          <w:u w:val="single"/>
          <w:lang w:val="en-US" w:eastAsia="zh-CN"/>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5"/>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4</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17</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19</w:t>
      </w:r>
      <w:r>
        <w:rPr>
          <w:b/>
          <w:bCs/>
        </w:rPr>
        <w:fldChar w:fldCharType="end"/>
      </w:r>
      <w:r>
        <w:rPr>
          <w:b/>
          <w:bCs/>
        </w:rPr>
        <w:fldChar w:fldCharType="end"/>
      </w:r>
    </w:p>
    <w:p>
      <w:pPr>
        <w:pStyle w:val="35"/>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27</w:t>
      </w:r>
      <w:r>
        <w:rPr>
          <w:b/>
          <w:bCs/>
        </w:rPr>
        <w:fldChar w:fldCharType="end"/>
      </w:r>
      <w:r>
        <w:rPr>
          <w:b/>
          <w:bCs/>
        </w:rPr>
        <w:fldChar w:fldCharType="end"/>
      </w:r>
    </w:p>
    <w:p>
      <w:pPr>
        <w:pStyle w:val="45"/>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sz w:val="21"/>
          <w:szCs w:val="21"/>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hint="eastAsia" w:ascii="Times New Roman" w:hAnsi="Times New Roman" w:cs="Times New Roman"/>
          <w:bCs/>
          <w:color w:val="000000"/>
          <w:sz w:val="21"/>
          <w:szCs w:val="21"/>
          <w:u w:val="single"/>
          <w:lang w:val="en-US" w:eastAsia="zh-CN"/>
        </w:rPr>
        <w:t>2024年滨湖国际</w:t>
      </w:r>
      <w:r>
        <w:rPr>
          <w:rFonts w:hint="eastAsia" w:ascii="Times New Roman" w:hAnsi="Times New Roman" w:cs="Times New Roman" w:eastAsiaTheme="minorEastAsia"/>
          <w:sz w:val="21"/>
          <w:szCs w:val="21"/>
          <w:u w:val="single"/>
        </w:rPr>
        <w:t>会展公司废旧物资处置项目</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imes New Roman" w:hAnsi="Times New Roman" w:cs="Times New Roman" w:eastAsiaTheme="minorEastAsia"/>
          <w:sz w:val="21"/>
          <w:szCs w:val="21"/>
          <w:u w:val="single"/>
          <w:lang w:eastAsia="zh-CN"/>
        </w:rPr>
        <w:t>2024ZWHZXJ00018号</w:t>
      </w:r>
    </w:p>
    <w:p>
      <w:pPr>
        <w:spacing w:line="360" w:lineRule="auto"/>
        <w:ind w:firstLine="420" w:firstLineChars="200"/>
        <w:rPr>
          <w:rFonts w:ascii="Times New Roman" w:hAnsi="Times New Roman" w:cs="Times New Roman"/>
          <w:bCs/>
          <w:color w:val="000000"/>
          <w:sz w:val="21"/>
          <w:szCs w:val="21"/>
          <w:u w:val="single"/>
        </w:rPr>
      </w:pPr>
      <w:r>
        <w:rPr>
          <w:rFonts w:hint="eastAsia" w:asciiTheme="majorEastAsia" w:hAnsiTheme="majorEastAsia" w:eastAsiaTheme="majorEastAsia" w:cstheme="majorEastAsia"/>
          <w:sz w:val="21"/>
          <w:szCs w:val="21"/>
        </w:rPr>
        <w:t>2.项目名称：</w:t>
      </w:r>
      <w:r>
        <w:rPr>
          <w:rFonts w:hint="eastAsia" w:ascii="Times New Roman" w:hAnsi="Times New Roman" w:cs="Times New Roman"/>
          <w:bCs/>
          <w:color w:val="000000"/>
          <w:sz w:val="21"/>
          <w:szCs w:val="21"/>
          <w:u w:val="single"/>
          <w:lang w:val="en-US" w:eastAsia="zh-CN"/>
        </w:rPr>
        <w:t>2024年滨湖国际</w:t>
      </w:r>
      <w:r>
        <w:rPr>
          <w:rFonts w:hint="eastAsia" w:ascii="Times New Roman" w:hAnsi="Times New Roman" w:cs="Times New Roman" w:eastAsiaTheme="minorEastAsia"/>
          <w:sz w:val="21"/>
          <w:szCs w:val="21"/>
          <w:u w:val="single"/>
        </w:rPr>
        <w:t>会展公司废旧物资处置项目</w:t>
      </w:r>
      <w:r>
        <w:rPr>
          <w:rFonts w:ascii="Times New Roman" w:hAnsi="Times New Roman" w:cs="Times New Roman"/>
          <w:bCs/>
          <w:color w:val="000000"/>
          <w:sz w:val="21"/>
          <w:szCs w:val="21"/>
          <w:u w:val="single"/>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sz w:val="21"/>
          <w:szCs w:val="21"/>
          <w:u w:val="single"/>
          <w:lang w:eastAsia="zh-CN"/>
        </w:rPr>
        <w:t>合肥滨湖国际会展中心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spacing w:line="360" w:lineRule="auto"/>
        <w:ind w:firstLine="420" w:firstLineChars="200"/>
        <w:rPr>
          <w:rFonts w:hint="eastAsia" w:ascii="Times New Roman" w:hAnsi="Times New Roman" w:cs="Times New Roman" w:eastAsiaTheme="minorEastAsia"/>
          <w:sz w:val="21"/>
          <w:szCs w:val="21"/>
          <w:u w:val="single"/>
          <w:lang w:eastAsia="zh-CN"/>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eastAsiaTheme="minorEastAsia"/>
          <w:sz w:val="21"/>
          <w:szCs w:val="21"/>
          <w:u w:val="single"/>
        </w:rPr>
        <w:t>政文会展公司废旧物资</w:t>
      </w:r>
      <w:r>
        <w:rPr>
          <w:rFonts w:hint="eastAsia" w:ascii="Times New Roman" w:hAnsi="Times New Roman" w:cs="Times New Roman"/>
          <w:sz w:val="21"/>
          <w:szCs w:val="21"/>
          <w:u w:val="single"/>
          <w:lang w:eastAsia="zh-CN"/>
        </w:rPr>
        <w:t>进行转让</w:t>
      </w:r>
      <w:r>
        <w:rPr>
          <w:rFonts w:hint="eastAsia" w:ascii="Times New Roman" w:hAnsi="Times New Roman" w:cs="Times New Roman" w:eastAsiaTheme="minorEastAsia"/>
          <w:sz w:val="21"/>
          <w:szCs w:val="21"/>
          <w:u w:val="single"/>
        </w:rPr>
        <w:t>处置</w:t>
      </w:r>
      <w:r>
        <w:rPr>
          <w:rFonts w:hint="eastAsia" w:ascii="Times New Roman" w:hAnsi="Times New Roman" w:cs="Times New Roman"/>
          <w:sz w:val="21"/>
          <w:szCs w:val="21"/>
          <w:u w:val="single"/>
          <w:lang w:eastAsia="zh-CN"/>
        </w:rPr>
        <w:t>，具体内容需现场勘查</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heme="majorEastAsia" w:hAnsiTheme="majorEastAsia" w:eastAsiaTheme="majorEastAsia" w:cstheme="majorEastAsia"/>
          <w:sz w:val="21"/>
          <w:szCs w:val="21"/>
          <w:u w:val="single"/>
          <w:lang w:val="en-US" w:eastAsia="zh-CN"/>
        </w:rPr>
        <w:t xml:space="preserve">  </w:t>
      </w:r>
      <w:r>
        <w:rPr>
          <w:rFonts w:hint="eastAsia" w:ascii="Times New Roman" w:hAnsi="Times New Roman" w:cs="Times New Roman"/>
          <w:sz w:val="21"/>
          <w:szCs w:val="21"/>
          <w:u w:val="single"/>
          <w:lang w:val="en-US" w:eastAsia="zh-CN"/>
        </w:rPr>
        <w:t>17.9588万元</w:t>
      </w:r>
      <w:r>
        <w:rPr>
          <w:rFonts w:ascii="Times New Roman" w:hAnsi="Times New Roman" w:cs="Times New Roman" w:eastAsiaTheme="minorEastAsia"/>
          <w:sz w:val="21"/>
          <w:szCs w:val="21"/>
          <w:u w:val="single"/>
        </w:rPr>
        <w:t xml:space="preserve">     </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imes New Roman" w:hAnsi="Times New Roman" w:cs="Times New Roman" w:eastAsiaTheme="majorEastAsia"/>
          <w:sz w:val="21"/>
          <w:szCs w:val="21"/>
          <w:u w:val="single"/>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eastAsia="zh-CN"/>
        </w:rPr>
        <w:t>货物</w:t>
      </w:r>
      <w:r>
        <w:rPr>
          <w:rFonts w:ascii="Times New Roman" w:hAnsi="Times New Roman" w:cs="Times New Roman" w:eastAsiaTheme="majorEastAsia"/>
          <w:sz w:val="21"/>
          <w:szCs w:val="21"/>
          <w:u w:val="single"/>
        </w:rPr>
        <w:t xml:space="preserve">类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highlight w:val="yellow"/>
          <w:u w:val="none"/>
        </w:rPr>
      </w:pPr>
      <w:r>
        <w:rPr>
          <w:rFonts w:hint="eastAsia" w:ascii="Times New Roman" w:hAnsi="Times New Roman" w:cs="Times New Roman" w:eastAsiaTheme="majorEastAsia"/>
          <w:sz w:val="21"/>
          <w:szCs w:val="21"/>
          <w:highlight w:val="yellow"/>
          <w:u w:val="none"/>
          <w:lang w:val="en-US" w:eastAsia="zh-CN"/>
        </w:rPr>
        <w:t>9.本项目采用一次报价形式</w:t>
      </w:r>
      <w:r>
        <w:rPr>
          <w:rFonts w:ascii="Times New Roman" w:hAnsi="Times New Roman" w:cs="Times New Roman" w:eastAsiaTheme="majorEastAsia"/>
          <w:sz w:val="21"/>
          <w:szCs w:val="21"/>
          <w:highlight w:val="yellow"/>
          <w:u w:val="none"/>
        </w:rPr>
        <w:t xml:space="preserve">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本项目不接受联合体投标。</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投标人须在本公告期截止前现场踏勘转让标的，自行了解标的权属关系和可能涉及的相关法律法规及政策规定，自行承担因政策变化带来的一切后果及责任。并于转让价款全部付清之日起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日内将转让标的全部清运出场</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t>勘查现场:</w:t>
      </w:r>
      <w:r>
        <w:rPr>
          <w:rFonts w:hint="eastAsia" w:ascii="宋体" w:hAnsi="宋体" w:eastAsia="宋体" w:cs="宋体"/>
          <w:b w:val="0"/>
          <w:bCs w:val="0"/>
          <w:color w:val="000000" w:themeColor="text1"/>
          <w:sz w:val="21"/>
          <w:szCs w:val="21"/>
          <w:highlight w:val="none"/>
          <w14:textFill>
            <w14:solidFill>
              <w14:schemeClr w14:val="tx1"/>
            </w14:solidFill>
          </w14:textFill>
        </w:rPr>
        <w:t>供应商自行勘查，以获取报价和签署合同所需的资料。勘查现场所发生的的费用由供应商自己承担</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中标人须遵守国家、省、市相关再生资源利用方面的法律、法规和政策规定，否则由此引起的一切责任均由</w:t>
      </w:r>
      <w:r>
        <w:rPr>
          <w:rFonts w:hint="eastAsia"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承担。如在对转让标的拆卸、搬运或残余物处置过程中造成人身伤亡、财产损失的，由此产生的一切经济赔偿责任和法律后果均由中标人自行承担。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i w:val="0"/>
          <w:iCs w:val="0"/>
          <w:caps w:val="0"/>
          <w:color w:val="000000" w:themeColor="text1"/>
          <w:spacing w:val="0"/>
          <w:sz w:val="21"/>
          <w:szCs w:val="21"/>
          <w:highlight w:val="none"/>
          <w14:textFill>
            <w14:solidFill>
              <w14:schemeClr w14:val="tx1"/>
            </w14:solidFill>
          </w14:textFill>
        </w:rPr>
      </w:pPr>
      <w:r>
        <w:rPr>
          <w:rFonts w:hint="eastAsia"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本次转让的标的资产均已报废，无使用价值。委托方不提供任何质量方面的担保或保证。</w:t>
      </w:r>
      <w:r>
        <w:rPr>
          <w:rFonts w:hint="eastAsia"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中标人</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在处置过程中，产生的</w:t>
      </w:r>
      <w:r>
        <w:rPr>
          <w:rFonts w:hint="eastAsia"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搬迁费用</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w:t>
      </w:r>
      <w:r>
        <w:rPr>
          <w:rFonts w:hint="eastAsia"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运费</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w:t>
      </w:r>
      <w:r>
        <w:rPr>
          <w:rFonts w:hint="eastAsia"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劳务费</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、质量、安全和环保等问题，委托方不承担任何责任，由此产生的一切责任及后果由</w:t>
      </w:r>
      <w:r>
        <w:rPr>
          <w:rFonts w:hint="eastAsia"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中标人</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承担。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0" w:lineRule="atLeast"/>
        <w:ind w:left="0" w:right="0" w:firstLine="48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7.</w:t>
      </w: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上述资产转让上级主管单位批准同意处置，国众联资产评估土地房地产估价有限公司出具了国众联评报字（2024）第2-1296号《资产评估报告》，资产评估总价值为人民币179588元（含税）</w:t>
      </w:r>
      <w:r>
        <w:rPr>
          <w:rFonts w:hint="eastAsia"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意向</w:t>
      </w:r>
      <w:r>
        <w:rPr>
          <w:rFonts w:hint="eastAsia"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等，并认可转让资产现状及转让要求，自愿承担因上述原因导致的一切后果和法律责任。</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color w:val="000000"/>
          <w:sz w:val="21"/>
          <w:szCs w:val="21"/>
          <w:u w:val="single"/>
          <w:lang w:val="en-US" w:eastAsia="zh-CN"/>
        </w:rPr>
        <w:t>21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color w:val="000000"/>
          <w:sz w:val="21"/>
          <w:szCs w:val="21"/>
          <w:u w:val="single"/>
          <w:lang w:val="en-US" w:eastAsia="zh-CN"/>
        </w:rPr>
        <w:t>29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keepNext w:val="0"/>
        <w:keepLines w:val="0"/>
        <w:pageBreakBefore w:val="0"/>
        <w:widowControl/>
        <w:kinsoku/>
        <w:wordWrap/>
        <w:overflowPunct/>
        <w:topLinePunct w:val="0"/>
        <w:autoSpaceDE/>
        <w:autoSpaceDN/>
        <w:bidi w:val="0"/>
        <w:adjustRightInd/>
        <w:snapToGrid/>
        <w:spacing w:line="420" w:lineRule="exact"/>
        <w:ind w:firstLine="420" w:firstLineChars="200"/>
        <w:jc w:val="left"/>
        <w:textAlignment w:val="auto"/>
        <w:rPr>
          <w:rFonts w:ascii="Times New Roman" w:hAnsi="Times New Roman" w:cs="Times New Roman"/>
          <w:bCs/>
          <w:snapToGrid w:val="0"/>
          <w:color w:val="000000" w:themeColor="text1"/>
          <w:sz w:val="21"/>
          <w14:textFill>
            <w14:solidFill>
              <w14:schemeClr w14:val="tx1"/>
            </w14:solidFill>
          </w14:textFill>
        </w:rPr>
      </w:pPr>
      <w:r>
        <w:rPr>
          <w:rFonts w:ascii="Times New Roman" w:hAnsi="Times New Roman" w:cs="Times New Roman" w:eastAsiaTheme="majorEastAsia"/>
          <w:color w:val="000000" w:themeColor="text1"/>
          <w:sz w:val="21"/>
          <w:szCs w:val="21"/>
          <w14:textFill>
            <w14:solidFill>
              <w14:schemeClr w14:val="tx1"/>
            </w14:solidFill>
          </w14:textFill>
        </w:rPr>
        <w:t>3.</w:t>
      </w:r>
      <w:r>
        <w:rPr>
          <w:rFonts w:ascii="Times New Roman" w:hAnsi="Times New Roman" w:cs="Times New Roman"/>
          <w:bCs/>
          <w:snapToGrid w:val="0"/>
          <w:color w:val="000000" w:themeColor="text1"/>
          <w:sz w:val="21"/>
          <w14:textFill>
            <w14:solidFill>
              <w14:schemeClr w14:val="tx1"/>
            </w14:solidFill>
          </w14:textFill>
        </w:rPr>
        <w:t>报名方法：投标人下载附件《投标报名信息表》并完整填写信息后在规定的报名日期内发送至邮箱：</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"mailto:******@qq.com" </w:instrText>
      </w:r>
      <w:r>
        <w:rPr>
          <w:color w:val="000000" w:themeColor="text1"/>
          <w14:textFill>
            <w14:solidFill>
              <w14:schemeClr w14:val="tx1"/>
            </w14:solidFill>
          </w14:textFill>
        </w:rPr>
        <w:fldChar w:fldCharType="separate"/>
      </w:r>
      <w:r>
        <w:rPr>
          <w:rFonts w:ascii="Times New Roman" w:hAnsi="Times New Roman" w:eastAsia="宋体" w:cs="Times New Roman"/>
          <w:bCs/>
          <w:snapToGrid w:val="0"/>
          <w:color w:val="000000" w:themeColor="text1"/>
          <w:sz w:val="21"/>
          <w14:textFill>
            <w14:solidFill>
              <w14:schemeClr w14:val="tx1"/>
            </w14:solidFill>
          </w14:textFill>
        </w:rPr>
        <w:t>942219419@qq.</w:t>
      </w:r>
      <w:r>
        <w:rPr>
          <w:rFonts w:ascii="Times New Roman" w:hAnsi="Times New Roman" w:cs="Times New Roman"/>
          <w:bCs/>
          <w:snapToGrid w:val="0"/>
          <w:color w:val="000000" w:themeColor="text1"/>
          <w:sz w:val="21"/>
          <w14:textFill>
            <w14:solidFill>
              <w14:schemeClr w14:val="tx1"/>
            </w14:solidFill>
          </w14:textFill>
        </w:rPr>
        <w:t>com</w:t>
      </w:r>
      <w:r>
        <w:rPr>
          <w:rFonts w:ascii="Times New Roman" w:hAnsi="Times New Roman" w:cs="Times New Roman"/>
          <w:bCs/>
          <w:snapToGrid w:val="0"/>
          <w:color w:val="000000" w:themeColor="text1"/>
          <w:sz w:val="21"/>
          <w14:textFill>
            <w14:solidFill>
              <w14:schemeClr w14:val="tx1"/>
            </w14:solidFill>
          </w14:textFill>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color w:val="000000"/>
          <w:sz w:val="21"/>
          <w:szCs w:val="21"/>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10</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2"/>
          <w:szCs w:val="22"/>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 w:val="21"/>
          <w:szCs w:val="16"/>
          <w:u w:val="single"/>
        </w:rPr>
        <w:t>安徽省合肥市</w:t>
      </w:r>
      <w:r>
        <w:rPr>
          <w:rFonts w:hint="eastAsia" w:ascii="Times New Roman" w:hAnsi="Times New Roman" w:cs="Times New Roman" w:eastAsiaTheme="minorEastAsia"/>
          <w:sz w:val="21"/>
          <w:szCs w:val="16"/>
          <w:u w:val="single"/>
          <w:lang w:val="en-US" w:eastAsia="zh-CN"/>
        </w:rPr>
        <w:t>滨湖新区</w:t>
      </w:r>
      <w:r>
        <w:rPr>
          <w:rFonts w:hint="eastAsia" w:ascii="Times New Roman" w:hAnsi="Times New Roman" w:cs="Times New Roman" w:eastAsiaTheme="minorEastAsia"/>
          <w:sz w:val="21"/>
          <w:szCs w:val="16"/>
          <w:u w:val="single"/>
        </w:rPr>
        <w:t>锦绣大道3899号合肥滨湖国际会展中心</w:t>
      </w:r>
      <w:r>
        <w:rPr>
          <w:rFonts w:hint="eastAsia" w:ascii="Times New Roman" w:hAnsi="Times New Roman" w:cs="Times New Roman"/>
          <w:sz w:val="21"/>
          <w:szCs w:val="16"/>
          <w:u w:val="single"/>
          <w:lang w:val="en-US" w:eastAsia="zh-CN"/>
        </w:rPr>
        <w:t>行政办公楼</w:t>
      </w:r>
      <w:r>
        <w:rPr>
          <w:rFonts w:hint="eastAsia" w:ascii="Times New Roman" w:hAnsi="Times New Roman" w:cs="Times New Roman" w:eastAsiaTheme="minorEastAsia"/>
          <w:sz w:val="21"/>
          <w:szCs w:val="16"/>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outlineLvl w:val="2"/>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 w:val="21"/>
          <w:szCs w:val="22"/>
          <w:u w:val="single"/>
          <w:lang w:eastAsia="zh-CN"/>
        </w:rPr>
      </w:pPr>
      <w:r>
        <w:rPr>
          <w:rFonts w:ascii="Times New Roman" w:hAnsi="Times New Roman"/>
          <w:bCs/>
          <w:snapToGrid w:val="0"/>
          <w:kern w:val="0"/>
          <w:sz w:val="21"/>
          <w:szCs w:val="22"/>
        </w:rPr>
        <w:t>招标人：</w:t>
      </w:r>
      <w:r>
        <w:rPr>
          <w:rFonts w:hint="eastAsia" w:ascii="Times New Roman" w:hAnsi="Times New Roman"/>
          <w:bCs/>
          <w:snapToGrid w:val="0"/>
          <w:kern w:val="0"/>
          <w:sz w:val="21"/>
          <w:szCs w:val="22"/>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 w:val="21"/>
          <w:szCs w:val="22"/>
        </w:rPr>
      </w:pPr>
      <w:r>
        <w:rPr>
          <w:rFonts w:ascii="Times New Roman" w:hAnsi="Times New Roman"/>
          <w:bCs/>
          <w:snapToGrid w:val="0"/>
          <w:kern w:val="0"/>
          <w:sz w:val="21"/>
          <w:szCs w:val="22"/>
        </w:rPr>
        <w:t>地  址：</w:t>
      </w:r>
      <w:r>
        <w:rPr>
          <w:rFonts w:hint="eastAsia" w:ascii="Times New Roman" w:hAnsi="Times New Roman"/>
          <w:bCs/>
          <w:strike w:val="0"/>
          <w:dstrike w:val="0"/>
          <w:snapToGrid w:val="0"/>
          <w:kern w:val="0"/>
          <w:sz w:val="21"/>
          <w:szCs w:val="22"/>
          <w:u w:val="single"/>
        </w:rPr>
        <w:t>安徽省合肥市</w:t>
      </w:r>
      <w:r>
        <w:rPr>
          <w:rFonts w:hint="eastAsia" w:ascii="Times New Roman" w:hAnsi="Times New Roman"/>
          <w:bCs/>
          <w:strike w:val="0"/>
          <w:dstrike w:val="0"/>
          <w:snapToGrid w:val="0"/>
          <w:kern w:val="0"/>
          <w:sz w:val="21"/>
          <w:szCs w:val="22"/>
          <w:u w:val="single"/>
          <w:lang w:val="en-US" w:eastAsia="zh-CN"/>
        </w:rPr>
        <w:t>滨湖新</w:t>
      </w:r>
      <w:r>
        <w:rPr>
          <w:rFonts w:hint="eastAsia" w:ascii="Times New Roman" w:hAnsi="Times New Roman"/>
          <w:bCs/>
          <w:strike w:val="0"/>
          <w:dstrike w:val="0"/>
          <w:snapToGrid w:val="0"/>
          <w:kern w:val="0"/>
          <w:sz w:val="21"/>
          <w:szCs w:val="22"/>
          <w:u w:val="single"/>
        </w:rPr>
        <w:t>区锦绣大道3899号合肥滨湖国际会展中心</w:t>
      </w:r>
      <w:r>
        <w:rPr>
          <w:rFonts w:ascii="Times New Roman" w:hAnsi="Times New Roman"/>
          <w:bCs/>
          <w:strike w:val="0"/>
          <w:dstrike w:val="0"/>
          <w:snapToGrid w:val="0"/>
          <w:kern w:val="0"/>
          <w:sz w:val="21"/>
          <w:szCs w:val="22"/>
          <w:u w:val="none"/>
        </w:rPr>
        <w:t xml:space="preserve"> </w:t>
      </w:r>
      <w:r>
        <w:rPr>
          <w:rFonts w:ascii="Times New Roman" w:hAnsi="Times New Roman"/>
          <w:bCs/>
          <w:snapToGrid w:val="0"/>
          <w:kern w:val="0"/>
          <w:sz w:val="21"/>
          <w:szCs w:val="22"/>
        </w:rPr>
        <w:t xml:space="preserve">         </w:t>
      </w:r>
    </w:p>
    <w:p>
      <w:pPr>
        <w:widowControl/>
        <w:spacing w:line="460" w:lineRule="exact"/>
        <w:ind w:firstLine="420" w:firstLineChars="200"/>
        <w:jc w:val="left"/>
        <w:rPr>
          <w:rFonts w:ascii="Times New Roman" w:hAnsi="Times New Roman"/>
          <w:bCs/>
          <w:snapToGrid w:val="0"/>
          <w:kern w:val="0"/>
          <w:sz w:val="21"/>
          <w:szCs w:val="22"/>
        </w:rPr>
      </w:pPr>
      <w:r>
        <w:rPr>
          <w:rFonts w:ascii="Times New Roman" w:hAnsi="Times New Roman"/>
          <w:bCs/>
          <w:snapToGrid w:val="0"/>
          <w:kern w:val="0"/>
          <w:sz w:val="21"/>
          <w:szCs w:val="22"/>
        </w:rPr>
        <w:t>联系人：</w:t>
      </w:r>
      <w:r>
        <w:rPr>
          <w:rFonts w:hint="eastAsia" w:ascii="Times New Roman" w:hAnsi="Times New Roman"/>
          <w:bCs/>
          <w:strike w:val="0"/>
          <w:dstrike w:val="0"/>
          <w:snapToGrid w:val="0"/>
          <w:kern w:val="0"/>
          <w:sz w:val="21"/>
          <w:szCs w:val="22"/>
          <w:u w:val="single"/>
          <w:lang w:eastAsia="zh-CN"/>
        </w:rPr>
        <w:t>高</w:t>
      </w:r>
      <w:r>
        <w:rPr>
          <w:rFonts w:hint="eastAsia" w:ascii="Times New Roman" w:hAnsi="Times New Roman"/>
          <w:bCs/>
          <w:strike w:val="0"/>
          <w:dstrike w:val="0"/>
          <w:snapToGrid w:val="0"/>
          <w:kern w:val="0"/>
          <w:sz w:val="21"/>
          <w:szCs w:val="22"/>
          <w:u w:val="single"/>
          <w:lang w:val="en-US" w:eastAsia="zh-CN"/>
        </w:rPr>
        <w:t>工</w:t>
      </w:r>
      <w:r>
        <w:rPr>
          <w:rFonts w:ascii="Times New Roman" w:hAnsi="Times New Roman"/>
          <w:bCs/>
          <w:snapToGrid w:val="0"/>
          <w:kern w:val="0"/>
          <w:sz w:val="21"/>
          <w:szCs w:val="22"/>
          <w:u w:val="single"/>
        </w:rPr>
        <w:t xml:space="preserve"> </w:t>
      </w:r>
      <w:r>
        <w:rPr>
          <w:rFonts w:ascii="Times New Roman" w:hAnsi="Times New Roman"/>
          <w:bCs/>
          <w:snapToGrid w:val="0"/>
          <w:kern w:val="0"/>
          <w:sz w:val="21"/>
          <w:szCs w:val="22"/>
        </w:rPr>
        <w:t xml:space="preserve">        </w:t>
      </w:r>
    </w:p>
    <w:p>
      <w:pPr>
        <w:widowControl/>
        <w:spacing w:line="460" w:lineRule="exact"/>
        <w:ind w:firstLine="420" w:firstLineChars="200"/>
        <w:jc w:val="left"/>
        <w:rPr>
          <w:rFonts w:ascii="Times New Roman" w:hAnsi="Times New Roman"/>
          <w:bCs/>
          <w:snapToGrid w:val="0"/>
          <w:kern w:val="0"/>
          <w:sz w:val="21"/>
          <w:szCs w:val="22"/>
        </w:rPr>
      </w:pPr>
      <w:r>
        <w:rPr>
          <w:rFonts w:ascii="Times New Roman" w:hAnsi="Times New Roman"/>
          <w:bCs/>
          <w:snapToGrid w:val="0"/>
          <w:kern w:val="0"/>
          <w:sz w:val="21"/>
          <w:szCs w:val="22"/>
        </w:rPr>
        <w:t>电  话：</w:t>
      </w:r>
      <w:r>
        <w:rPr>
          <w:rFonts w:hint="eastAsia" w:ascii="Times New Roman" w:hAnsi="Times New Roman"/>
          <w:bCs/>
          <w:snapToGrid w:val="0"/>
          <w:kern w:val="0"/>
          <w:sz w:val="21"/>
          <w:szCs w:val="22"/>
          <w:u w:val="single"/>
          <w:lang w:val="en-US" w:eastAsia="zh-CN"/>
        </w:rPr>
        <w:t>0551-65790295</w:t>
      </w:r>
      <w:r>
        <w:rPr>
          <w:rFonts w:ascii="Times New Roman" w:hAnsi="Times New Roman"/>
          <w:bCs/>
          <w:snapToGrid w:val="0"/>
          <w:kern w:val="0"/>
          <w:sz w:val="21"/>
          <w:szCs w:val="22"/>
        </w:rPr>
        <w:t xml:space="preserve"> </w:t>
      </w:r>
    </w:p>
    <w:p>
      <w:pPr>
        <w:spacing w:line="500" w:lineRule="exact"/>
        <w:ind w:firstLine="435"/>
        <w:outlineLvl w:val="2"/>
        <w:rPr>
          <w:rFonts w:ascii="Times New Roman" w:hAnsi="Times New Roman" w:cs="Times New Roman" w:eastAsiaTheme="minorEastAsia"/>
          <w:b/>
          <w:sz w:val="22"/>
          <w:szCs w:val="16"/>
        </w:rPr>
      </w:pPr>
      <w:r>
        <w:rPr>
          <w:rFonts w:hint="eastAsia" w:ascii="Times New Roman" w:hAnsi="Times New Roman" w:cs="Times New Roman" w:eastAsiaTheme="minorEastAsia"/>
          <w:sz w:val="22"/>
          <w:szCs w:val="16"/>
        </w:rPr>
        <w:t>2</w:t>
      </w:r>
      <w:r>
        <w:rPr>
          <w:rFonts w:ascii="Times New Roman" w:hAnsi="Times New Roman" w:cs="Times New Roman" w:eastAsiaTheme="minorEastAsia"/>
          <w:b/>
          <w:sz w:val="22"/>
          <w:szCs w:val="16"/>
        </w:rPr>
        <w:t>.</w:t>
      </w:r>
      <w:r>
        <w:rPr>
          <w:rFonts w:ascii="Times New Roman" w:hAnsi="Times New Roman" w:cs="Times New Roman" w:eastAsiaTheme="minorEastAsia"/>
          <w:sz w:val="22"/>
          <w:szCs w:val="16"/>
        </w:rPr>
        <w:t>监督管理部门</w:t>
      </w:r>
    </w:p>
    <w:p>
      <w:pPr>
        <w:widowControl/>
        <w:spacing w:line="460" w:lineRule="exact"/>
        <w:ind w:firstLine="420" w:firstLineChars="200"/>
        <w:jc w:val="left"/>
        <w:rPr>
          <w:rFonts w:hint="default" w:ascii="Times New Roman" w:hAnsi="Times New Roman" w:eastAsia="宋体"/>
          <w:bCs/>
          <w:snapToGrid w:val="0"/>
          <w:kern w:val="0"/>
          <w:sz w:val="21"/>
          <w:szCs w:val="22"/>
          <w:lang w:val="en-US" w:eastAsia="zh-CN"/>
        </w:rPr>
      </w:pPr>
      <w:r>
        <w:rPr>
          <w:rFonts w:ascii="Times New Roman" w:hAnsi="Times New Roman"/>
          <w:bCs/>
          <w:snapToGrid w:val="0"/>
          <w:kern w:val="0"/>
          <w:sz w:val="21"/>
          <w:szCs w:val="22"/>
        </w:rPr>
        <w:t>监督管理部门：</w:t>
      </w:r>
      <w:r>
        <w:rPr>
          <w:rFonts w:hint="eastAsia" w:ascii="Times New Roman" w:hAnsi="Times New Roman"/>
          <w:bCs/>
          <w:snapToGrid w:val="0"/>
          <w:kern w:val="0"/>
          <w:sz w:val="21"/>
          <w:szCs w:val="22"/>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 w:val="21"/>
          <w:szCs w:val="22"/>
        </w:rPr>
      </w:pPr>
      <w:r>
        <w:rPr>
          <w:rFonts w:ascii="Times New Roman" w:hAnsi="Times New Roman"/>
          <w:bCs/>
          <w:snapToGrid w:val="0"/>
          <w:kern w:val="0"/>
          <w:sz w:val="21"/>
          <w:szCs w:val="22"/>
        </w:rPr>
        <w:t>地  址：</w:t>
      </w:r>
      <w:r>
        <w:rPr>
          <w:rFonts w:hint="eastAsia" w:ascii="Times New Roman" w:hAnsi="Times New Roman"/>
          <w:bCs/>
          <w:strike w:val="0"/>
          <w:dstrike w:val="0"/>
          <w:snapToGrid w:val="0"/>
          <w:kern w:val="0"/>
          <w:sz w:val="21"/>
          <w:szCs w:val="22"/>
          <w:u w:val="single"/>
        </w:rPr>
        <w:t>安徽省合肥市</w:t>
      </w:r>
      <w:r>
        <w:rPr>
          <w:rFonts w:hint="eastAsia" w:ascii="Times New Roman" w:hAnsi="Times New Roman"/>
          <w:bCs/>
          <w:strike w:val="0"/>
          <w:dstrike w:val="0"/>
          <w:snapToGrid w:val="0"/>
          <w:kern w:val="0"/>
          <w:sz w:val="21"/>
          <w:szCs w:val="22"/>
          <w:u w:val="single"/>
          <w:lang w:val="en-US" w:eastAsia="zh-CN"/>
        </w:rPr>
        <w:t>滨湖</w:t>
      </w:r>
      <w:r>
        <w:rPr>
          <w:rFonts w:hint="eastAsia" w:ascii="Times New Roman" w:hAnsi="Times New Roman"/>
          <w:bCs/>
          <w:strike w:val="0"/>
          <w:dstrike w:val="0"/>
          <w:snapToGrid w:val="0"/>
          <w:kern w:val="0"/>
          <w:sz w:val="21"/>
          <w:szCs w:val="22"/>
          <w:u w:val="single"/>
        </w:rPr>
        <w:t>区锦绣大道3899号合肥滨湖国际会展中心</w:t>
      </w:r>
      <w:r>
        <w:rPr>
          <w:rFonts w:ascii="Times New Roman" w:hAnsi="Times New Roman"/>
          <w:bCs/>
          <w:strike w:val="0"/>
          <w:dstrike w:val="0"/>
          <w:snapToGrid w:val="0"/>
          <w:kern w:val="0"/>
          <w:sz w:val="21"/>
          <w:szCs w:val="22"/>
          <w:u w:val="none"/>
        </w:rPr>
        <w:t xml:space="preserve"> </w:t>
      </w:r>
      <w:r>
        <w:rPr>
          <w:rFonts w:ascii="Times New Roman" w:hAnsi="Times New Roman"/>
          <w:bCs/>
          <w:snapToGrid w:val="0"/>
          <w:kern w:val="0"/>
          <w:sz w:val="21"/>
          <w:szCs w:val="22"/>
        </w:rPr>
        <w:t xml:space="preserve">   </w:t>
      </w:r>
    </w:p>
    <w:p>
      <w:pPr>
        <w:widowControl/>
        <w:spacing w:line="460" w:lineRule="exact"/>
        <w:ind w:firstLine="420" w:firstLineChars="200"/>
        <w:jc w:val="left"/>
        <w:rPr>
          <w:rFonts w:hint="default" w:ascii="Times New Roman" w:hAnsi="Times New Roman" w:eastAsia="宋体"/>
          <w:bCs/>
          <w:snapToGrid w:val="0"/>
          <w:kern w:val="0"/>
          <w:sz w:val="21"/>
          <w:szCs w:val="22"/>
          <w:lang w:val="en-US" w:eastAsia="zh-CN"/>
        </w:rPr>
      </w:pPr>
      <w:r>
        <w:rPr>
          <w:rFonts w:ascii="Times New Roman" w:hAnsi="Times New Roman"/>
          <w:bCs/>
          <w:snapToGrid w:val="0"/>
          <w:kern w:val="0"/>
          <w:sz w:val="21"/>
          <w:szCs w:val="22"/>
        </w:rPr>
        <w:t>电  话：</w:t>
      </w:r>
      <w:r>
        <w:rPr>
          <w:rFonts w:hint="eastAsia" w:ascii="Times New Roman" w:hAnsi="Times New Roman"/>
          <w:bCs/>
          <w:snapToGrid w:val="0"/>
          <w:kern w:val="0"/>
          <w:sz w:val="21"/>
          <w:szCs w:val="22"/>
          <w:u w:val="single"/>
          <w:lang w:val="en-US" w:eastAsia="zh-CN"/>
        </w:rPr>
        <w:t>0551-65790230</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pPr>
        <w:widowControl/>
        <w:spacing w:line="500" w:lineRule="exact"/>
        <w:ind w:firstLine="420" w:firstLineChars="200"/>
        <w:jc w:val="left"/>
        <w:rPr>
          <w:bCs/>
          <w:snapToGrid w:val="0"/>
          <w:kern w:val="0"/>
          <w:sz w:val="21"/>
          <w:szCs w:val="22"/>
        </w:rPr>
      </w:pPr>
      <w:r>
        <w:rPr>
          <w:bCs/>
          <w:snapToGrid w:val="0"/>
          <w:kern w:val="0"/>
          <w:sz w:val="21"/>
          <w:szCs w:val="22"/>
        </w:rPr>
        <w:t>有任何疑问或问题，请在工作时间（周一至周五，上午08:</w:t>
      </w:r>
      <w:r>
        <w:rPr>
          <w:rFonts w:hint="eastAsia"/>
          <w:bCs/>
          <w:snapToGrid w:val="0"/>
          <w:kern w:val="0"/>
          <w:sz w:val="21"/>
          <w:szCs w:val="22"/>
          <w:lang w:val="en-US" w:eastAsia="zh-CN"/>
        </w:rPr>
        <w:t>3</w:t>
      </w:r>
      <w:r>
        <w:rPr>
          <w:bCs/>
          <w:snapToGrid w:val="0"/>
          <w:kern w:val="0"/>
          <w:sz w:val="21"/>
          <w:szCs w:val="22"/>
        </w:rPr>
        <w:t>0-1</w:t>
      </w:r>
      <w:r>
        <w:rPr>
          <w:rFonts w:hint="eastAsia"/>
          <w:bCs/>
          <w:snapToGrid w:val="0"/>
          <w:kern w:val="0"/>
          <w:sz w:val="21"/>
          <w:szCs w:val="22"/>
          <w:lang w:val="en-US" w:eastAsia="zh-CN"/>
        </w:rPr>
        <w:t>1</w:t>
      </w:r>
      <w:r>
        <w:rPr>
          <w:bCs/>
          <w:snapToGrid w:val="0"/>
          <w:kern w:val="0"/>
          <w:sz w:val="21"/>
          <w:szCs w:val="22"/>
        </w:rPr>
        <w:t>:</w:t>
      </w:r>
      <w:r>
        <w:rPr>
          <w:rFonts w:hint="eastAsia"/>
          <w:bCs/>
          <w:snapToGrid w:val="0"/>
          <w:kern w:val="0"/>
          <w:sz w:val="21"/>
          <w:szCs w:val="22"/>
          <w:lang w:val="en-US" w:eastAsia="zh-CN"/>
        </w:rPr>
        <w:t>3</w:t>
      </w:r>
      <w:r>
        <w:rPr>
          <w:bCs/>
          <w:snapToGrid w:val="0"/>
          <w:kern w:val="0"/>
          <w:sz w:val="21"/>
          <w:szCs w:val="22"/>
        </w:rPr>
        <w:t>0，下午</w:t>
      </w:r>
      <w:r>
        <w:rPr>
          <w:rFonts w:hint="eastAsia"/>
          <w:bCs/>
          <w:snapToGrid w:val="0"/>
          <w:kern w:val="0"/>
          <w:sz w:val="21"/>
          <w:szCs w:val="22"/>
          <w:lang w:val="en-US" w:eastAsia="zh-CN"/>
        </w:rPr>
        <w:t>1</w:t>
      </w:r>
      <w:r>
        <w:rPr>
          <w:bCs/>
          <w:snapToGrid w:val="0"/>
          <w:kern w:val="0"/>
          <w:sz w:val="21"/>
          <w:szCs w:val="22"/>
        </w:rPr>
        <w:t>:30-5:</w:t>
      </w:r>
      <w:r>
        <w:rPr>
          <w:rFonts w:hint="eastAsia"/>
          <w:bCs/>
          <w:snapToGrid w:val="0"/>
          <w:kern w:val="0"/>
          <w:sz w:val="21"/>
          <w:szCs w:val="22"/>
          <w:lang w:val="en-US" w:eastAsia="zh-CN"/>
        </w:rPr>
        <w:t>0</w:t>
      </w:r>
      <w:r>
        <w:rPr>
          <w:bCs/>
          <w:snapToGrid w:val="0"/>
          <w:kern w:val="0"/>
          <w:sz w:val="21"/>
          <w:szCs w:val="22"/>
        </w:rPr>
        <w:t>0，节假日休息）与项目联系人联系。</w:t>
      </w:r>
    </w:p>
    <w:p>
      <w:pPr>
        <w:spacing w:line="500" w:lineRule="exact"/>
        <w:ind w:firstLine="482" w:firstLineChars="200"/>
        <w:outlineLvl w:val="1"/>
        <w:rPr>
          <w:rFonts w:ascii="Times New Roman" w:hAnsi="Times New Roman" w:cs="Times New Roman" w:eastAsiaTheme="majorEastAsia"/>
          <w:b/>
          <w:bCs/>
          <w:sz w:val="24"/>
          <w:szCs w:val="24"/>
        </w:rPr>
      </w:pPr>
      <w:r>
        <w:rPr>
          <w:rFonts w:hint="eastAsia" w:ascii="Times New Roman" w:hAnsi="Times New Roman" w:cs="Times New Roman" w:eastAsiaTheme="majorEastAsia"/>
          <w:b/>
          <w:bCs/>
          <w:sz w:val="24"/>
          <w:szCs w:val="24"/>
          <w:lang w:val="en-US" w:eastAsia="zh-CN"/>
        </w:rPr>
        <w:t>八、</w:t>
      </w:r>
      <w:r>
        <w:rPr>
          <w:rFonts w:ascii="Times New Roman" w:hAnsi="Times New Roman" w:cs="Times New Roman" w:eastAsiaTheme="majorEastAsia"/>
          <w:b/>
          <w:bCs/>
          <w:sz w:val="24"/>
          <w:szCs w:val="24"/>
        </w:rPr>
        <w:t>投标保证金账户</w:t>
      </w:r>
    </w:p>
    <w:p>
      <w:pPr>
        <w:widowControl/>
        <w:spacing w:line="460" w:lineRule="exact"/>
        <w:ind w:firstLine="420" w:firstLineChars="200"/>
        <w:jc w:val="left"/>
        <w:rPr>
          <w:rFonts w:hint="eastAsia" w:ascii="Times New Roman" w:hAnsi="Times New Roman"/>
          <w:bCs/>
          <w:snapToGrid w:val="0"/>
          <w:kern w:val="0"/>
          <w:sz w:val="21"/>
          <w:szCs w:val="22"/>
          <w:u w:val="none"/>
        </w:rPr>
      </w:pPr>
      <w:r>
        <w:rPr>
          <w:rFonts w:ascii="Times New Roman" w:hAnsi="Times New Roman"/>
          <w:bCs/>
          <w:snapToGrid w:val="0"/>
          <w:kern w:val="0"/>
          <w:sz w:val="21"/>
          <w:szCs w:val="22"/>
        </w:rPr>
        <w:t>单位名称</w:t>
      </w:r>
      <w:r>
        <w:rPr>
          <w:rFonts w:ascii="Times New Roman" w:hAnsi="Times New Roman"/>
          <w:bCs/>
          <w:snapToGrid w:val="0"/>
          <w:kern w:val="0"/>
          <w:sz w:val="21"/>
          <w:szCs w:val="22"/>
          <w:u w:val="none"/>
        </w:rPr>
        <w:t>：</w:t>
      </w:r>
      <w:r>
        <w:rPr>
          <w:rFonts w:hint="eastAsia" w:ascii="Times New Roman" w:hAnsi="Times New Roman"/>
          <w:bCs/>
          <w:snapToGrid w:val="0"/>
          <w:kern w:val="0"/>
          <w:sz w:val="21"/>
          <w:szCs w:val="22"/>
          <w:u w:val="none"/>
        </w:rPr>
        <w:t>合肥政文国际会展管理有限公司</w:t>
      </w:r>
    </w:p>
    <w:p>
      <w:pPr>
        <w:widowControl/>
        <w:spacing w:line="460" w:lineRule="exact"/>
        <w:ind w:firstLine="420" w:firstLineChars="200"/>
        <w:jc w:val="left"/>
        <w:rPr>
          <w:rFonts w:ascii="Times New Roman" w:hAnsi="Times New Roman"/>
          <w:bCs/>
          <w:snapToGrid w:val="0"/>
          <w:kern w:val="0"/>
          <w:sz w:val="21"/>
          <w:szCs w:val="22"/>
          <w:u w:val="none"/>
        </w:rPr>
      </w:pPr>
      <w:r>
        <w:rPr>
          <w:rFonts w:ascii="Times New Roman" w:hAnsi="Times New Roman"/>
          <w:bCs/>
          <w:snapToGrid w:val="0"/>
          <w:kern w:val="0"/>
          <w:sz w:val="21"/>
          <w:szCs w:val="22"/>
          <w:u w:val="none"/>
        </w:rPr>
        <w:t>开户银行账号：</w:t>
      </w:r>
      <w:r>
        <w:rPr>
          <w:rFonts w:hint="eastAsia" w:ascii="Times New Roman" w:hAnsi="Times New Roman"/>
          <w:bCs/>
          <w:snapToGrid w:val="0"/>
          <w:kern w:val="0"/>
          <w:sz w:val="21"/>
          <w:szCs w:val="22"/>
          <w:u w:val="none"/>
        </w:rPr>
        <w:t>76690188000476007</w:t>
      </w:r>
    </w:p>
    <w:p>
      <w:pPr>
        <w:widowControl/>
        <w:spacing w:line="460" w:lineRule="exact"/>
        <w:ind w:firstLine="420" w:firstLineChars="200"/>
        <w:jc w:val="left"/>
        <w:rPr>
          <w:rFonts w:ascii="Times New Roman" w:hAnsi="Times New Roman"/>
          <w:bCs/>
          <w:snapToGrid w:val="0"/>
          <w:kern w:val="0"/>
          <w:sz w:val="21"/>
          <w:szCs w:val="22"/>
          <w:u w:val="none"/>
        </w:rPr>
      </w:pPr>
      <w:r>
        <w:rPr>
          <w:rFonts w:ascii="Times New Roman" w:hAnsi="Times New Roman"/>
          <w:bCs/>
          <w:snapToGrid w:val="0"/>
          <w:kern w:val="0"/>
          <w:sz w:val="21"/>
          <w:szCs w:val="22"/>
          <w:u w:val="none"/>
        </w:rPr>
        <w:t>开户银行：</w:t>
      </w:r>
      <w:r>
        <w:rPr>
          <w:rFonts w:hint="eastAsia" w:ascii="Times New Roman" w:hAnsi="Times New Roman"/>
          <w:bCs/>
          <w:snapToGrid w:val="0"/>
          <w:kern w:val="0"/>
          <w:sz w:val="21"/>
          <w:szCs w:val="22"/>
          <w:u w:val="none"/>
        </w:rPr>
        <w:t>光大银行合肥分行营业部</w:t>
      </w:r>
    </w:p>
    <w:p>
      <w:pPr>
        <w:widowControl/>
        <w:spacing w:line="500" w:lineRule="exact"/>
        <w:ind w:firstLine="420" w:firstLineChars="200"/>
        <w:jc w:val="left"/>
        <w:rPr>
          <w:rFonts w:ascii="Times New Roman" w:hAnsi="Times New Roman" w:eastAsia="宋体" w:cs="Times New Roman"/>
          <w:bCs/>
          <w:snapToGrid w:val="0"/>
          <w:color w:val="auto"/>
          <w:kern w:val="0"/>
          <w:sz w:val="21"/>
          <w:szCs w:val="22"/>
        </w:rPr>
      </w:pPr>
      <w:r>
        <w:rPr>
          <w:rFonts w:hint="eastAsia" w:ascii="Times New Roman" w:hAnsi="Times New Roman" w:eastAsia="宋体" w:cs="Times New Roman"/>
          <w:bCs/>
          <w:snapToGrid w:val="0"/>
          <w:color w:val="auto"/>
          <w:kern w:val="0"/>
          <w:sz w:val="21"/>
          <w:szCs w:val="22"/>
        </w:rPr>
        <w:t>备注：</w:t>
      </w:r>
    </w:p>
    <w:p>
      <w:pPr>
        <w:widowControl/>
        <w:spacing w:line="500" w:lineRule="exact"/>
        <w:ind w:left="836" w:leftChars="208" w:hanging="420" w:hangingChars="200"/>
        <w:jc w:val="left"/>
        <w:rPr>
          <w:rFonts w:ascii="Times New Roman" w:hAnsi="Times New Roman" w:eastAsia="宋体" w:cs="Times New Roman"/>
          <w:bCs/>
          <w:snapToGrid w:val="0"/>
          <w:color w:val="auto"/>
          <w:kern w:val="0"/>
          <w:sz w:val="21"/>
          <w:szCs w:val="22"/>
        </w:rPr>
      </w:pPr>
      <w:r>
        <w:rPr>
          <w:rFonts w:hint="eastAsia" w:ascii="Times New Roman" w:hAnsi="Times New Roman" w:eastAsia="宋体" w:cs="Times New Roman"/>
          <w:bCs/>
          <w:snapToGrid w:val="0"/>
          <w:color w:val="auto"/>
          <w:kern w:val="0"/>
          <w:sz w:val="21"/>
          <w:szCs w:val="22"/>
        </w:rPr>
        <w:t>（1）转帐时请备注“××项目投标保证金，并将转账凭证扫描件</w:t>
      </w:r>
      <w:r>
        <w:rPr>
          <w:rFonts w:hint="eastAsia" w:ascii="Times New Roman" w:hAnsi="Times New Roman" w:cs="Times New Roman"/>
          <w:bCs/>
          <w:snapToGrid w:val="0"/>
          <w:color w:val="auto"/>
          <w:kern w:val="0"/>
          <w:sz w:val="21"/>
          <w:szCs w:val="22"/>
          <w:lang w:eastAsia="zh-CN"/>
        </w:rPr>
        <w:t>发送至</w:t>
      </w:r>
      <w:r>
        <w:rPr>
          <w:bCs/>
          <w:snapToGrid w:val="0"/>
          <w:color w:val="000000"/>
          <w:sz w:val="21"/>
          <w:szCs w:val="21"/>
        </w:rPr>
        <w:fldChar w:fldCharType="begin"/>
      </w:r>
      <w:r>
        <w:rPr>
          <w:bCs/>
          <w:snapToGrid w:val="0"/>
          <w:color w:val="000000"/>
          <w:sz w:val="21"/>
          <w:szCs w:val="21"/>
        </w:rPr>
        <w:instrText xml:space="preserve"> HYPERLINK "mailto:******@qq.com" </w:instrText>
      </w:r>
      <w:r>
        <w:rPr>
          <w:bCs/>
          <w:snapToGrid w:val="0"/>
          <w:color w:val="000000"/>
          <w:sz w:val="21"/>
          <w:szCs w:val="21"/>
        </w:rPr>
        <w:fldChar w:fldCharType="separate"/>
      </w:r>
      <w:r>
        <w:rPr>
          <w:rFonts w:ascii="微软雅黑" w:hAnsi="微软雅黑" w:eastAsia="微软雅黑" w:cs="微软雅黑"/>
          <w:i w:val="0"/>
          <w:iCs w:val="0"/>
          <w:caps w:val="0"/>
          <w:spacing w:val="0"/>
          <w:sz w:val="20"/>
          <w:szCs w:val="20"/>
          <w:shd w:val="clear" w:color="auto" w:fill="FFFFFF"/>
        </w:rPr>
        <w:t>942219419</w:t>
      </w:r>
      <w:r>
        <w:rPr>
          <w:bCs/>
          <w:snapToGrid w:val="0"/>
          <w:color w:val="000000"/>
          <w:sz w:val="21"/>
          <w:szCs w:val="21"/>
        </w:rPr>
        <w:t>@qq.com</w:t>
      </w:r>
      <w:r>
        <w:rPr>
          <w:bCs/>
          <w:snapToGrid w:val="0"/>
          <w:color w:val="000000"/>
          <w:sz w:val="21"/>
          <w:szCs w:val="21"/>
        </w:rPr>
        <w:fldChar w:fldCharType="end"/>
      </w:r>
      <w:r>
        <w:rPr>
          <w:rFonts w:hint="eastAsia" w:ascii="Times New Roman" w:hAnsi="Times New Roman" w:eastAsia="宋体" w:cs="Times New Roman"/>
          <w:bCs/>
          <w:snapToGrid w:val="0"/>
          <w:color w:val="auto"/>
          <w:kern w:val="0"/>
          <w:sz w:val="21"/>
          <w:szCs w:val="22"/>
        </w:rPr>
        <w:t>邮箱；</w:t>
      </w:r>
    </w:p>
    <w:p>
      <w:pPr>
        <w:widowControl/>
        <w:spacing w:line="500" w:lineRule="exact"/>
        <w:ind w:firstLine="420" w:firstLineChars="200"/>
        <w:jc w:val="left"/>
        <w:outlineLvl w:val="2"/>
        <w:rPr>
          <w:rFonts w:hint="default" w:ascii="Times New Roman" w:hAnsi="Times New Roman" w:eastAsia="宋体" w:cs="Times New Roman"/>
          <w:bCs/>
          <w:snapToGrid w:val="0"/>
          <w:color w:val="auto"/>
          <w:kern w:val="0"/>
          <w:sz w:val="21"/>
          <w:szCs w:val="22"/>
          <w:lang w:val="en-US" w:eastAsia="zh-CN"/>
        </w:rPr>
      </w:pPr>
      <w:r>
        <w:rPr>
          <w:rFonts w:hint="eastAsia" w:ascii="Times New Roman" w:hAnsi="Times New Roman" w:eastAsia="宋体" w:cs="Times New Roman"/>
          <w:bCs/>
          <w:snapToGrid w:val="0"/>
          <w:color w:val="auto"/>
          <w:kern w:val="0"/>
          <w:sz w:val="21"/>
          <w:szCs w:val="22"/>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2"/>
          <w:szCs w:val="22"/>
        </w:rPr>
      </w:pPr>
      <w:r>
        <w:rPr>
          <w:rFonts w:hint="eastAsia" w:asciiTheme="majorEastAsia" w:hAnsiTheme="majorEastAsia" w:eastAsiaTheme="majorEastAsia" w:cstheme="majorEastAsia"/>
          <w:sz w:val="22"/>
          <w:szCs w:val="22"/>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395"/>
        <w:gridCol w:w="6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widowControl w:val="0"/>
              <w:spacing w:before="0" w:beforeAutospacing="0" w:after="0" w:afterAutospacing="0" w:line="360" w:lineRule="auto"/>
              <w:jc w:val="both"/>
              <w:rPr>
                <w:rFonts w:cs="宋体"/>
                <w:b w:val="0"/>
                <w:strike/>
                <w:sz w:val="21"/>
                <w:szCs w:val="21"/>
              </w:rPr>
            </w:pPr>
            <w:r>
              <w:rPr>
                <w:rFonts w:hint="eastAsia" w:ascii="Times New Roman" w:hAnsi="Times New Roman" w:cs="Times New Roman"/>
                <w:b w:val="0"/>
                <w:sz w:val="21"/>
                <w:szCs w:val="21"/>
                <w:u w:val="none"/>
                <w:lang w:val="en-US" w:eastAsia="zh-CN"/>
              </w:rPr>
              <w:t>合肥滨湖国际会展中心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服务期限</w:t>
            </w:r>
          </w:p>
        </w:tc>
        <w:tc>
          <w:tcPr>
            <w:tcW w:w="3625" w:type="pct"/>
            <w:vAlign w:val="center"/>
          </w:tcPr>
          <w:p>
            <w:pPr>
              <w:pStyle w:val="96"/>
              <w:tabs>
                <w:tab w:val="left" w:pos="1152"/>
              </w:tabs>
              <w:spacing w:before="0" w:beforeAutospacing="0" w:after="0" w:afterAutospacing="0" w:line="360" w:lineRule="auto"/>
              <w:rPr>
                <w:rFonts w:hint="eastAsia" w:eastAsia="宋体" w:cs="宋体"/>
                <w:b/>
                <w:strike/>
                <w:sz w:val="21"/>
                <w:szCs w:val="21"/>
                <w:lang w:eastAsia="zh-CN"/>
              </w:rPr>
            </w:pPr>
            <w:r>
              <w:rPr>
                <w:rFonts w:hint="eastAsia" w:ascii="Times New Roman" w:hAnsi="Times New Roman" w:eastAsia="宋体" w:cs="Times New Roman"/>
                <w:b w:val="0"/>
                <w:bCs/>
                <w:sz w:val="21"/>
                <w:szCs w:val="21"/>
                <w:u w:val="none"/>
                <w:lang w:val="en-US" w:eastAsia="zh-CN" w:bidi="ar-SA"/>
              </w:rPr>
              <w:t>以招标人通知为准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9</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lang w:val="en-US" w:eastAsia="zh-CN"/>
              </w:rPr>
              <w:t>25</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14</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r>
              <w:rPr>
                <w:rFonts w:hint="eastAsia" w:cs="宋体"/>
                <w:bCs/>
                <w:kern w:val="2"/>
                <w:sz w:val="21"/>
                <w:szCs w:val="21"/>
                <w:u w:val="single"/>
                <w:lang w:val="en-US" w:eastAsia="zh-CN"/>
              </w:rPr>
              <w:t>15855171773，0551-65790291</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w:t>
            </w:r>
            <w:r>
              <w:rPr>
                <w:rFonts w:hint="eastAsia" w:cs="宋体"/>
                <w:b w:val="0"/>
                <w:bCs/>
                <w:kern w:val="2"/>
                <w:sz w:val="21"/>
                <w:szCs w:val="21"/>
              </w:rPr>
              <w:t>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ascii="宋体" w:hAnsi="宋体" w:eastAsia="宋体" w:cs="宋体"/>
                <w:b w:val="0"/>
                <w:bCs w:val="0"/>
                <w:color w:val="000000" w:themeColor="text1"/>
                <w:sz w:val="21"/>
                <w:szCs w:val="21"/>
                <w:highlight w:val="none"/>
                <w14:textFill>
                  <w14:solidFill>
                    <w14:schemeClr w14:val="tx1"/>
                  </w14:solidFill>
                </w14:textFill>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eastAsia="宋体"/>
                <w:sz w:val="16"/>
                <w:szCs w:val="16"/>
                <w:lang w:val="en-US" w:eastAsia="zh-CN"/>
              </w:rPr>
            </w:pPr>
            <w:r>
              <w:rPr>
                <w:rFonts w:hint="eastAsia"/>
                <w:sz w:val="16"/>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2023</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u w:val="single"/>
                <w:lang w:val="en-US" w:eastAsia="zh-CN"/>
              </w:rPr>
              <w:t>9</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25</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bookmarkStart w:id="60" w:name="_GoBack"/>
            <w:bookmarkEnd w:id="60"/>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b w:val="0"/>
                <w:bCs w:val="0"/>
                <w:sz w:val="21"/>
                <w:szCs w:val="21"/>
              </w:rPr>
              <w:t>招标人确定中标人后，通过书面</w:t>
            </w:r>
            <w:r>
              <w:rPr>
                <w:rFonts w:hint="eastAsia" w:ascii="Times New Roman" w:hAnsi="Times New Roman" w:cs="Times New Roman"/>
                <w:b w:val="0"/>
                <w:bCs w:val="0"/>
                <w:sz w:val="21"/>
                <w:szCs w:val="21"/>
                <w:lang w:eastAsia="zh-CN"/>
              </w:rPr>
              <w:t>或邮箱</w:t>
            </w:r>
            <w:r>
              <w:rPr>
                <w:rFonts w:ascii="Times New Roman" w:hAnsi="Times New Roman" w:cs="Times New Roman"/>
                <w:b w:val="0"/>
                <w:bCs w:val="0"/>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u w:val="single"/>
                <w:lang w:val="en-US" w:eastAsia="zh-CN"/>
              </w:rPr>
              <w:t xml:space="preserve"> 3600 </w:t>
            </w:r>
            <w:r>
              <w:rPr>
                <w:rFonts w:hint="eastAsia" w:ascii="Times New Roman" w:hAnsi="Times New Roman" w:cs="Times New Roman"/>
                <w:bCs/>
                <w:snapToGrid w:val="0"/>
                <w:sz w:val="21"/>
                <w:szCs w:val="21"/>
                <w:lang w:val="en-US" w:eastAsia="zh-CN"/>
              </w:rPr>
              <w:t xml:space="preserve"> </w:t>
            </w:r>
            <w:r>
              <w:rPr>
                <w:rFonts w:hint="eastAsia" w:ascii="Times New Roman" w:hAnsi="Times New Roman" w:eastAsia="宋体" w:cs="Times New Roman"/>
                <w:bCs/>
                <w:snapToGrid w:val="0"/>
                <w:sz w:val="21"/>
                <w:szCs w:val="21"/>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val="en-US" w:eastAsia="zh-CN"/>
              </w:rPr>
              <w:t>/</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A3"/>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 w:val="0"/>
                <w:bCs/>
                <w:kern w:val="2"/>
                <w:sz w:val="21"/>
                <w:szCs w:val="21"/>
              </w:rPr>
            </w:pPr>
            <w:r>
              <w:rPr>
                <w:rFonts w:hint="eastAsia" w:cs="宋体"/>
                <w:bCs/>
                <w:kern w:val="2"/>
                <w:sz w:val="21"/>
                <w:szCs w:val="21"/>
              </w:rPr>
              <w:t>（1）</w:t>
            </w:r>
            <w:r>
              <w:rPr>
                <w:rFonts w:hint="eastAsia" w:cs="宋体"/>
                <w:b w:val="0"/>
                <w:bCs/>
                <w:kern w:val="2"/>
                <w:sz w:val="21"/>
                <w:szCs w:val="21"/>
              </w:rPr>
              <w:t>投标人最终投标报价不得</w:t>
            </w:r>
            <w:r>
              <w:rPr>
                <w:rFonts w:hint="eastAsia" w:cs="宋体"/>
                <w:b w:val="0"/>
                <w:bCs/>
                <w:kern w:val="2"/>
                <w:sz w:val="21"/>
                <w:szCs w:val="21"/>
                <w:lang w:eastAsia="zh-CN"/>
              </w:rPr>
              <w:t>低</w:t>
            </w:r>
            <w:r>
              <w:rPr>
                <w:rFonts w:hint="eastAsia" w:cs="宋体"/>
                <w:b w:val="0"/>
                <w:bCs/>
                <w:kern w:val="2"/>
                <w:sz w:val="21"/>
                <w:szCs w:val="21"/>
              </w:rPr>
              <w:t>于</w:t>
            </w:r>
            <w:r>
              <w:rPr>
                <w:rFonts w:hint="eastAsia" w:ascii="Times New Roman" w:hAnsi="Times New Roman" w:cs="Times New Roman"/>
                <w:b w:val="0"/>
                <w:bCs/>
                <w:kern w:val="2"/>
                <w:sz w:val="21"/>
                <w:szCs w:val="21"/>
              </w:rPr>
              <w:t>竞价</w:t>
            </w:r>
            <w:r>
              <w:rPr>
                <w:rFonts w:hint="eastAsia" w:cs="宋体"/>
                <w:b w:val="0"/>
                <w:bCs/>
                <w:kern w:val="2"/>
                <w:sz w:val="21"/>
                <w:szCs w:val="21"/>
              </w:rPr>
              <w:t>文件（公告）列明的项目预算，否则其投标文件将被否决。</w:t>
            </w:r>
          </w:p>
          <w:p>
            <w:pPr>
              <w:spacing w:line="360" w:lineRule="auto"/>
              <w:rPr>
                <w:sz w:val="16"/>
                <w:szCs w:val="16"/>
              </w:rPr>
            </w:pPr>
            <w:r>
              <w:rPr>
                <w:rFonts w:hint="eastAsia" w:cs="宋体"/>
                <w:kern w:val="2"/>
                <w:sz w:val="21"/>
                <w:szCs w:val="21"/>
              </w:rPr>
              <w:t>（2）在项目评标过程中，投标人最终投标报价与公布的</w:t>
            </w:r>
            <w:r>
              <w:rPr>
                <w:rFonts w:hint="eastAsia" w:cs="宋体"/>
                <w:kern w:val="2"/>
                <w:sz w:val="21"/>
                <w:szCs w:val="21"/>
                <w:lang w:eastAsia="zh-CN"/>
              </w:rPr>
              <w:t>项目</w:t>
            </w:r>
            <w:r>
              <w:rPr>
                <w:rFonts w:hint="eastAsia" w:cs="宋体"/>
                <w:sz w:val="21"/>
                <w:szCs w:val="21"/>
              </w:rPr>
              <w:t>预算</w:t>
            </w:r>
            <w:r>
              <w:rPr>
                <w:rFonts w:hint="eastAsia" w:cs="宋体"/>
                <w:kern w:val="2"/>
                <w:sz w:val="21"/>
                <w:szCs w:val="21"/>
              </w:rPr>
              <w:t>相比</w:t>
            </w:r>
            <w:r>
              <w:rPr>
                <w:rFonts w:hint="eastAsia" w:cs="宋体"/>
                <w:kern w:val="2"/>
                <w:sz w:val="21"/>
                <w:szCs w:val="21"/>
                <w:lang w:eastAsia="zh-CN"/>
              </w:rPr>
              <w:t>涨</w:t>
            </w:r>
            <w:r>
              <w:rPr>
                <w:rFonts w:hint="eastAsia" w:cs="宋体"/>
                <w:kern w:val="2"/>
                <w:sz w:val="21"/>
                <w:szCs w:val="21"/>
              </w:rPr>
              <w:t>幅过小，或投标人最终投标报价明显缺乏竞争性的，评审小组可以否决其投标。</w:t>
            </w:r>
          </w:p>
          <w:p>
            <w:pPr>
              <w:spacing w:line="360" w:lineRule="auto"/>
              <w:rPr>
                <w:rFonts w:hint="default" w:eastAsia="宋体" w:cs="宋体"/>
                <w:sz w:val="21"/>
                <w:szCs w:val="21"/>
                <w:lang w:val="en-US" w:eastAsia="zh-CN"/>
              </w:rPr>
            </w:pPr>
            <w:r>
              <w:rPr>
                <w:rFonts w:hint="eastAsia" w:cs="宋体"/>
                <w:sz w:val="21"/>
                <w:szCs w:val="21"/>
                <w:highlight w:val="yellow"/>
              </w:rPr>
              <w:t>（3）</w:t>
            </w:r>
            <w:r>
              <w:rPr>
                <w:rFonts w:hint="eastAsia" w:ascii="Times New Roman" w:hAnsi="Times New Roman" w:cs="Times New Roman"/>
                <w:b w:val="0"/>
                <w:bCs w:val="0"/>
                <w:sz w:val="22"/>
                <w:szCs w:val="16"/>
                <w:highlight w:val="yellow"/>
                <w:lang w:val="en-US" w:eastAsia="zh-CN"/>
              </w:rPr>
              <w:t>投标人需对资产清单表1表2分开报价，合计报价最高者为最终中标人。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1"/>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1"/>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1"/>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1"/>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1"/>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outlineLvl w:val="2"/>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1"/>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1"/>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1"/>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1"/>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1"/>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1"/>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1"/>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1"/>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1"/>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lang w:eastAsia="zh-CN"/>
        </w:rPr>
        <w:t>本项目进行一次报价</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2</w:t>
      </w:r>
      <w:r>
        <w:rPr>
          <w:rFonts w:ascii="Times New Roman" w:hAnsi="Times New Roman" w:cs="Times New Roman" w:eastAsiaTheme="minorEastAsia"/>
          <w:bCs/>
          <w:sz w:val="21"/>
        </w:rPr>
        <w:t>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4</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5</w:t>
      </w:r>
      <w:r>
        <w:rPr>
          <w:rFonts w:ascii="Times New Roman" w:hAnsi="Times New Roman" w:cs="Times New Roman" w:eastAsiaTheme="minorEastAsia"/>
          <w:bCs/>
          <w:sz w:val="21"/>
        </w:rPr>
        <w:t>本项目不接受恶意不平衡报价，不保证最</w:t>
      </w:r>
      <w:r>
        <w:rPr>
          <w:rFonts w:hint="eastAsia" w:ascii="Times New Roman" w:hAnsi="Times New Roman" w:cs="Times New Roman" w:eastAsiaTheme="minorEastAsia"/>
          <w:bCs/>
          <w:sz w:val="21"/>
          <w:lang w:eastAsia="zh-CN"/>
        </w:rPr>
        <w:t>高</w:t>
      </w:r>
      <w:r>
        <w:rPr>
          <w:rFonts w:ascii="Times New Roman" w:hAnsi="Times New Roman" w:cs="Times New Roman" w:eastAsiaTheme="minorEastAsia"/>
          <w:bCs/>
          <w:sz w:val="21"/>
        </w:rPr>
        <w:t>价中标。</w:t>
      </w:r>
    </w:p>
    <w:p>
      <w:pPr>
        <w:spacing w:line="360" w:lineRule="auto"/>
        <w:ind w:firstLine="437"/>
        <w:outlineLvl w:val="1"/>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w:t>
      </w:r>
      <w:r>
        <w:rPr>
          <w:rFonts w:hint="eastAsia" w:ascii="Times New Roman" w:hAnsi="Times New Roman" w:cs="Times New Roman" w:eastAsiaTheme="minorEastAsia"/>
          <w:bCs/>
          <w:sz w:val="21"/>
          <w:lang w:eastAsia="zh-CN"/>
        </w:rPr>
        <w:t>高</w:t>
      </w:r>
      <w:r>
        <w:rPr>
          <w:rFonts w:ascii="Times New Roman" w:hAnsi="Times New Roman" w:cs="Times New Roman" w:eastAsiaTheme="minorEastAsia"/>
          <w:bCs/>
          <w:sz w:val="21"/>
        </w:rPr>
        <w:t>到</w:t>
      </w:r>
      <w:r>
        <w:rPr>
          <w:rFonts w:hint="eastAsia" w:ascii="Times New Roman" w:hAnsi="Times New Roman" w:cs="Times New Roman" w:eastAsiaTheme="minorEastAsia"/>
          <w:bCs/>
          <w:sz w:val="21"/>
          <w:lang w:eastAsia="zh-CN"/>
        </w:rPr>
        <w:t>低</w:t>
      </w:r>
      <w:r>
        <w:rPr>
          <w:rFonts w:ascii="Times New Roman" w:hAnsi="Times New Roman" w:cs="Times New Roman" w:eastAsiaTheme="minorEastAsia"/>
          <w:bCs/>
          <w:sz w:val="21"/>
        </w:rPr>
        <w:t>的顺序依次推荐中标人。最终投标报价相同的，由评审小组根据投标文件投票，按少数服从多数的原则确定中标人。</w:t>
      </w:r>
    </w:p>
    <w:p>
      <w:pPr>
        <w:spacing w:line="360" w:lineRule="auto"/>
        <w:ind w:firstLine="437"/>
        <w:outlineLvl w:val="1"/>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1"/>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1"/>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1"/>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1"/>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1"/>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1"/>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1"/>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1"/>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outlineLvl w:val="2"/>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1"/>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37"/>
        <w:textAlignment w:val="auto"/>
        <w:outlineLvl w:val="1"/>
        <w:rPr>
          <w:rFonts w:hint="eastAsia" w:ascii="Times New Roman" w:hAnsi="Times New Roman"/>
          <w:b/>
          <w:sz w:val="24"/>
          <w:szCs w:val="24"/>
        </w:rPr>
      </w:pPr>
      <w:bookmarkStart w:id="37" w:name="_Toc19590"/>
      <w:r>
        <w:rPr>
          <w:rFonts w:hint="eastAsia" w:ascii="Times New Roman" w:hAnsi="Times New Roman"/>
          <w:b/>
          <w:sz w:val="24"/>
          <w:szCs w:val="24"/>
        </w:rPr>
        <w:t>项目概况</w:t>
      </w:r>
      <w:bookmarkEnd w:id="3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840" w:firstLineChars="400"/>
        <w:textAlignment w:val="auto"/>
        <w:outlineLvl w:val="2"/>
        <w:rPr>
          <w:rFonts w:hint="eastAsia"/>
          <w:sz w:val="21"/>
          <w:szCs w:val="21"/>
          <w:u w:val="none"/>
          <w:lang w:eastAsia="zh-CN"/>
        </w:rPr>
      </w:pPr>
      <w:r>
        <w:rPr>
          <w:rFonts w:hint="eastAsia" w:ascii="Times New Roman" w:hAnsi="Times New Roman" w:cs="Times New Roman"/>
          <w:bCs/>
          <w:color w:val="000000"/>
          <w:sz w:val="21"/>
          <w:szCs w:val="21"/>
          <w:u w:val="single"/>
          <w:lang w:val="en-US" w:eastAsia="zh-CN"/>
        </w:rPr>
        <w:t>现对于滨湖会展中心一批废旧物资进行处置，详见清单如下：</w:t>
      </w:r>
    </w:p>
    <w:p>
      <w:pPr>
        <w:pStyle w:val="13"/>
        <w:ind w:firstLine="3680" w:firstLineChars="1309"/>
        <w:jc w:val="left"/>
        <w:rPr>
          <w:rFonts w:hint="default"/>
          <w:b/>
          <w:bCs/>
          <w:sz w:val="28"/>
          <w:szCs w:val="28"/>
          <w:u w:val="none"/>
          <w:lang w:val="en-US" w:eastAsia="zh-CN"/>
        </w:rPr>
      </w:pPr>
      <w:r>
        <w:rPr>
          <w:rFonts w:hint="eastAsia"/>
          <w:b/>
          <w:bCs/>
          <w:sz w:val="28"/>
          <w:szCs w:val="28"/>
          <w:u w:val="none"/>
          <w:lang w:val="en-US" w:eastAsia="zh-CN"/>
        </w:rPr>
        <w:t>清单1</w:t>
      </w:r>
    </w:p>
    <w:tbl>
      <w:tblPr>
        <w:tblStyle w:val="56"/>
        <w:tblpPr w:leftFromText="180" w:rightFromText="180" w:vertAnchor="text" w:horzAnchor="page" w:tblpX="863" w:tblpY="880"/>
        <w:tblOverlap w:val="never"/>
        <w:tblW w:w="10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3"/>
        <w:gridCol w:w="1760"/>
        <w:gridCol w:w="1020"/>
        <w:gridCol w:w="602"/>
        <w:gridCol w:w="666"/>
        <w:gridCol w:w="607"/>
        <w:gridCol w:w="737"/>
        <w:gridCol w:w="1425"/>
        <w:gridCol w:w="1335"/>
        <w:gridCol w:w="1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3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6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2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268"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主材</w:t>
            </w:r>
          </w:p>
        </w:tc>
        <w:tc>
          <w:tcPr>
            <w:tcW w:w="607"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737" w:type="dxa"/>
            <w:vMerge w:val="restart"/>
            <w:tcBorders>
              <w:top w:val="single" w:color="000000" w:sz="8"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账面价值</w:t>
            </w:r>
          </w:p>
        </w:tc>
        <w:tc>
          <w:tcPr>
            <w:tcW w:w="1335" w:type="dxa"/>
            <w:vMerge w:val="restart"/>
            <w:tcBorders>
              <w:top w:val="single" w:color="000000" w:sz="8" w:space="0"/>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评估值</w:t>
            </w:r>
          </w:p>
        </w:tc>
        <w:tc>
          <w:tcPr>
            <w:tcW w:w="129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73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76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2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材料种类1</w:t>
            </w:r>
          </w:p>
        </w:tc>
        <w:tc>
          <w:tcPr>
            <w:tcW w:w="66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重量（T）</w:t>
            </w:r>
          </w:p>
        </w:tc>
        <w:tc>
          <w:tcPr>
            <w:tcW w:w="60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37"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425"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原值</w:t>
            </w:r>
          </w:p>
        </w:tc>
        <w:tc>
          <w:tcPr>
            <w:tcW w:w="133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9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6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扇形水马（自购低耗资产）</w:t>
            </w:r>
          </w:p>
        </w:tc>
        <w:tc>
          <w:tcPr>
            <w:tcW w:w="102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1.5*1.2M塑料</w:t>
            </w:r>
          </w:p>
        </w:tc>
        <w:tc>
          <w:tcPr>
            <w:tcW w:w="602"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42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115,534.00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2,133.00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地下车库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挡车器</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金黄色铁质</w:t>
            </w: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5.59</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931</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16,770.00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地下车库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防冲撞护栏</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2.3*2M</w:t>
            </w: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5,078.80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地下车库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环保垃圾桶</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240升，绿色</w:t>
            </w:r>
          </w:p>
        </w:tc>
        <w:tc>
          <w:tcPr>
            <w:tcW w:w="602"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30,145.50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地下车库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电缆</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400*3</w:t>
            </w: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17,100.00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金卤灯</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w:t>
            </w:r>
            <w:r>
              <w:rPr>
                <w:rStyle w:val="270"/>
                <w:lang w:val="en-US" w:eastAsia="zh-CN" w:bidi="ar"/>
              </w:rPr>
              <w:t>200w</w:t>
            </w: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盏</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14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广告牌</w:t>
            </w:r>
          </w:p>
        </w:tc>
        <w:tc>
          <w:tcPr>
            <w:tcW w:w="102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铁片</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南广场已拆除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防毒面罩棉条及滤芯</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10mm</w:t>
            </w: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棉条</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590.91</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400ML/瓶</w:t>
            </w:r>
          </w:p>
        </w:tc>
        <w:tc>
          <w:tcPr>
            <w:tcW w:w="602"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52.43</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400ML/瓶</w:t>
            </w:r>
          </w:p>
        </w:tc>
        <w:tc>
          <w:tcPr>
            <w:tcW w:w="602"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自喷漆</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400ML/瓶</w:t>
            </w:r>
          </w:p>
        </w:tc>
        <w:tc>
          <w:tcPr>
            <w:tcW w:w="602"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122.33</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油漆</w:t>
            </w:r>
          </w:p>
        </w:tc>
        <w:tc>
          <w:tcPr>
            <w:tcW w:w="102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调和漆</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0.014</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237.87</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995 中性硅酮耐构胶</w:t>
            </w:r>
          </w:p>
        </w:tc>
        <w:tc>
          <w:tcPr>
            <w:tcW w:w="102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6分PVC</w:t>
            </w:r>
          </w:p>
        </w:tc>
        <w:tc>
          <w:tcPr>
            <w:tcW w:w="602"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297.09</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6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玻璃胶</w:t>
            </w:r>
          </w:p>
        </w:tc>
        <w:tc>
          <w:tcPr>
            <w:tcW w:w="102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 25</w:t>
            </w:r>
          </w:p>
        </w:tc>
        <w:tc>
          <w:tcPr>
            <w:tcW w:w="602" w:type="dxa"/>
            <w:tcBorders>
              <w:top w:val="nil"/>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nil"/>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2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310.12</w:t>
            </w:r>
          </w:p>
        </w:tc>
        <w:tc>
          <w:tcPr>
            <w:tcW w:w="133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29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3" w:type="dxa"/>
            <w:tcBorders>
              <w:top w:val="single" w:color="auto" w:sz="4"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6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高庄真空泵油</w:t>
            </w:r>
          </w:p>
        </w:tc>
        <w:tc>
          <w:tcPr>
            <w:tcW w:w="102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 50</w:t>
            </w:r>
          </w:p>
        </w:tc>
        <w:tc>
          <w:tcPr>
            <w:tcW w:w="602"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2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1,106.82</w:t>
            </w:r>
          </w:p>
        </w:tc>
        <w:tc>
          <w:tcPr>
            <w:tcW w:w="133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290" w:type="dxa"/>
            <w:tcBorders>
              <w:top w:val="single" w:color="auto" w:sz="4" w:space="0"/>
              <w:left w:val="nil"/>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33" w:type="dxa"/>
            <w:tcBorders>
              <w:top w:val="nil"/>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6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展场地插井强电底座</w:t>
            </w:r>
          </w:p>
        </w:tc>
        <w:tc>
          <w:tcPr>
            <w:tcW w:w="102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6分内丝直接</w:t>
            </w:r>
          </w:p>
        </w:tc>
        <w:tc>
          <w:tcPr>
            <w:tcW w:w="602"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w:t>
            </w:r>
          </w:p>
        </w:tc>
        <w:tc>
          <w:tcPr>
            <w:tcW w:w="66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0.06</w:t>
            </w:r>
          </w:p>
        </w:tc>
        <w:tc>
          <w:tcPr>
            <w:tcW w:w="607"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42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512.83</w:t>
            </w:r>
          </w:p>
        </w:tc>
        <w:tc>
          <w:tcPr>
            <w:tcW w:w="133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2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6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透明遮光片</w:t>
            </w:r>
          </w:p>
        </w:tc>
        <w:tc>
          <w:tcPr>
            <w:tcW w:w="102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3米</w:t>
            </w:r>
          </w:p>
        </w:tc>
        <w:tc>
          <w:tcPr>
            <w:tcW w:w="602"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666"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0.001</w:t>
            </w:r>
          </w:p>
        </w:tc>
        <w:tc>
          <w:tcPr>
            <w:tcW w:w="607"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737"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2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353.85</w:t>
            </w:r>
          </w:p>
        </w:tc>
        <w:tc>
          <w:tcPr>
            <w:tcW w:w="133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6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椅套</w:t>
            </w:r>
          </w:p>
        </w:tc>
        <w:tc>
          <w:tcPr>
            <w:tcW w:w="102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金黄</w:t>
            </w:r>
          </w:p>
        </w:tc>
        <w:tc>
          <w:tcPr>
            <w:tcW w:w="602"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w:t>
            </w:r>
          </w:p>
        </w:tc>
        <w:tc>
          <w:tcPr>
            <w:tcW w:w="666"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0.00465</w:t>
            </w:r>
          </w:p>
        </w:tc>
        <w:tc>
          <w:tcPr>
            <w:tcW w:w="607"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42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713</w:t>
            </w:r>
          </w:p>
        </w:tc>
        <w:tc>
          <w:tcPr>
            <w:tcW w:w="133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9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eastAsiaTheme="minorEastAsia"/>
                <w:lang w:eastAsia="zh-CN"/>
              </w:rPr>
            </w:pPr>
            <w:r>
              <w:rPr>
                <w:rFonts w:hint="eastAsia"/>
                <w:lang w:eastAsia="zh-CN"/>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6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椅套</w:t>
            </w:r>
          </w:p>
        </w:tc>
        <w:tc>
          <w:tcPr>
            <w:tcW w:w="102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金黄</w:t>
            </w:r>
          </w:p>
        </w:tc>
        <w:tc>
          <w:tcPr>
            <w:tcW w:w="602"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布</w:t>
            </w:r>
          </w:p>
        </w:tc>
        <w:tc>
          <w:tcPr>
            <w:tcW w:w="666"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0.0192</w:t>
            </w:r>
          </w:p>
        </w:tc>
        <w:tc>
          <w:tcPr>
            <w:tcW w:w="607"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42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2,944.00</w:t>
            </w:r>
          </w:p>
        </w:tc>
        <w:tc>
          <w:tcPr>
            <w:tcW w:w="133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29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6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桌套</w:t>
            </w:r>
          </w:p>
        </w:tc>
        <w:tc>
          <w:tcPr>
            <w:tcW w:w="102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金黄</w:t>
            </w:r>
          </w:p>
        </w:tc>
        <w:tc>
          <w:tcPr>
            <w:tcW w:w="602"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台布</w:t>
            </w:r>
          </w:p>
        </w:tc>
        <w:tc>
          <w:tcPr>
            <w:tcW w:w="666"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0.0033</w:t>
            </w:r>
          </w:p>
        </w:tc>
        <w:tc>
          <w:tcPr>
            <w:tcW w:w="607"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42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133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9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圆形托盘</w:t>
            </w:r>
          </w:p>
        </w:tc>
        <w:tc>
          <w:tcPr>
            <w:tcW w:w="102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0.001</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9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台卡</w:t>
            </w:r>
          </w:p>
        </w:tc>
        <w:tc>
          <w:tcPr>
            <w:tcW w:w="102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406</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32.48</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9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吊顶材料</w:t>
            </w:r>
          </w:p>
        </w:tc>
        <w:tc>
          <w:tcPr>
            <w:tcW w:w="102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石砖</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食堂建筑资产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气压杆</w:t>
            </w:r>
          </w:p>
        </w:tc>
        <w:tc>
          <w:tcPr>
            <w:tcW w:w="102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0.001</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二楼库房更换零件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门框</w:t>
            </w:r>
          </w:p>
        </w:tc>
        <w:tc>
          <w:tcPr>
            <w:tcW w:w="1020"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16,500.00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二楼商业街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7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1020"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铁丝</w:t>
            </w:r>
          </w:p>
        </w:tc>
        <w:tc>
          <w:tcPr>
            <w:tcW w:w="66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60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73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29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南广场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33"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76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102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602"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6"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07"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73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2388</w:t>
            </w:r>
          </w:p>
        </w:tc>
        <w:tc>
          <w:tcPr>
            <w:tcW w:w="14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158,877.13</w:t>
            </w:r>
          </w:p>
        </w:tc>
        <w:tc>
          <w:tcPr>
            <w:tcW w:w="133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74,622.00</w:t>
            </w:r>
          </w:p>
        </w:tc>
        <w:tc>
          <w:tcPr>
            <w:tcW w:w="1290" w:type="dxa"/>
            <w:tcBorders>
              <w:top w:val="nil"/>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18"/>
                <w:szCs w:val="18"/>
                <w:u w:val="none"/>
              </w:rPr>
            </w:pPr>
          </w:p>
        </w:tc>
      </w:tr>
    </w:tbl>
    <w:p>
      <w:pPr>
        <w:pStyle w:val="13"/>
        <w:ind w:firstLine="3814" w:firstLineChars="1809"/>
        <w:rPr>
          <w:rFonts w:hint="eastAsia"/>
          <w:b/>
          <w:bCs/>
          <w:sz w:val="21"/>
          <w:szCs w:val="21"/>
          <w:u w:val="none"/>
          <w:lang w:eastAsia="zh-CN"/>
        </w:rPr>
      </w:pPr>
    </w:p>
    <w:p>
      <w:pPr>
        <w:pStyle w:val="13"/>
        <w:ind w:firstLine="3814" w:firstLineChars="1809"/>
        <w:rPr>
          <w:rFonts w:hint="eastAsia"/>
          <w:b/>
          <w:bCs/>
          <w:sz w:val="21"/>
          <w:szCs w:val="21"/>
          <w:u w:val="none"/>
          <w:lang w:eastAsia="zh-CN"/>
        </w:rPr>
      </w:pPr>
    </w:p>
    <w:p>
      <w:pPr>
        <w:pStyle w:val="13"/>
        <w:ind w:firstLine="3814" w:firstLineChars="1809"/>
        <w:rPr>
          <w:rFonts w:hint="eastAsia"/>
          <w:b/>
          <w:bCs/>
          <w:sz w:val="21"/>
          <w:szCs w:val="21"/>
          <w:u w:val="none"/>
          <w:lang w:eastAsia="zh-CN"/>
        </w:rPr>
      </w:pPr>
    </w:p>
    <w:p>
      <w:pPr>
        <w:pStyle w:val="13"/>
        <w:ind w:left="0" w:leftChars="0" w:firstLine="0" w:firstLineChars="0"/>
        <w:rPr>
          <w:rFonts w:hint="eastAsia"/>
          <w:b/>
          <w:bCs/>
          <w:sz w:val="21"/>
          <w:szCs w:val="21"/>
          <w:u w:val="none"/>
          <w:lang w:eastAsia="zh-CN"/>
        </w:rPr>
      </w:pPr>
    </w:p>
    <w:p>
      <w:pPr>
        <w:pStyle w:val="13"/>
        <w:ind w:firstLine="3814" w:firstLineChars="1809"/>
        <w:rPr>
          <w:rFonts w:hint="eastAsia"/>
          <w:b/>
          <w:bCs/>
          <w:sz w:val="21"/>
          <w:szCs w:val="21"/>
          <w:u w:val="none"/>
          <w:lang w:eastAsia="zh-CN"/>
        </w:rPr>
      </w:pPr>
    </w:p>
    <w:p>
      <w:pPr>
        <w:pStyle w:val="13"/>
        <w:ind w:firstLine="3961" w:firstLineChars="1409"/>
        <w:jc w:val="both"/>
        <w:rPr>
          <w:rFonts w:hint="eastAsia"/>
          <w:b/>
          <w:bCs/>
          <w:sz w:val="28"/>
          <w:szCs w:val="28"/>
          <w:u w:val="none"/>
          <w:lang w:val="en-US" w:eastAsia="zh-CN"/>
        </w:rPr>
      </w:pPr>
      <w:r>
        <w:rPr>
          <w:rFonts w:hint="eastAsia"/>
          <w:b/>
          <w:bCs/>
          <w:sz w:val="28"/>
          <w:szCs w:val="28"/>
          <w:u w:val="none"/>
          <w:lang w:eastAsia="zh-CN"/>
        </w:rPr>
        <w:t>清单</w:t>
      </w:r>
      <w:r>
        <w:rPr>
          <w:rFonts w:hint="eastAsia"/>
          <w:b/>
          <w:bCs/>
          <w:sz w:val="28"/>
          <w:szCs w:val="28"/>
          <w:u w:val="none"/>
          <w:lang w:val="en-US" w:eastAsia="zh-CN"/>
        </w:rPr>
        <w:t>2</w:t>
      </w:r>
    </w:p>
    <w:p>
      <w:pPr>
        <w:pStyle w:val="13"/>
        <w:ind w:firstLine="3814" w:firstLineChars="1809"/>
        <w:rPr>
          <w:rFonts w:hint="default"/>
          <w:b/>
          <w:bCs/>
          <w:sz w:val="21"/>
          <w:szCs w:val="21"/>
          <w:u w:val="none"/>
          <w:lang w:val="en-US" w:eastAsia="zh-CN"/>
        </w:rPr>
      </w:pPr>
    </w:p>
    <w:p>
      <w:pPr>
        <w:pStyle w:val="13"/>
        <w:rPr>
          <w:rFonts w:hint="eastAsia"/>
          <w:sz w:val="21"/>
          <w:szCs w:val="21"/>
          <w:u w:val="single"/>
          <w:lang w:eastAsia="zh-CN"/>
        </w:rPr>
      </w:pPr>
    </w:p>
    <w:tbl>
      <w:tblPr>
        <w:tblStyle w:val="56"/>
        <w:tblW w:w="10200" w:type="dxa"/>
        <w:tblInd w:w="-96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0"/>
        <w:gridCol w:w="1710"/>
        <w:gridCol w:w="1065"/>
        <w:gridCol w:w="600"/>
        <w:gridCol w:w="660"/>
        <w:gridCol w:w="585"/>
        <w:gridCol w:w="780"/>
        <w:gridCol w:w="1365"/>
        <w:gridCol w:w="1380"/>
        <w:gridCol w:w="1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7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71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设备名称</w:t>
            </w:r>
          </w:p>
        </w:tc>
        <w:tc>
          <w:tcPr>
            <w:tcW w:w="106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规格型号</w:t>
            </w:r>
          </w:p>
        </w:tc>
        <w:tc>
          <w:tcPr>
            <w:tcW w:w="1260"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主材</w:t>
            </w:r>
          </w:p>
        </w:tc>
        <w:tc>
          <w:tcPr>
            <w:tcW w:w="58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7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365"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账面价值</w:t>
            </w:r>
          </w:p>
        </w:tc>
        <w:tc>
          <w:tcPr>
            <w:tcW w:w="13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评估值</w:t>
            </w:r>
          </w:p>
        </w:tc>
        <w:tc>
          <w:tcPr>
            <w:tcW w:w="1275"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71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06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60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材料种类1</w:t>
            </w:r>
          </w:p>
        </w:tc>
        <w:tc>
          <w:tcPr>
            <w:tcW w:w="66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重量（T）</w:t>
            </w:r>
          </w:p>
        </w:tc>
        <w:tc>
          <w:tcPr>
            <w:tcW w:w="58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7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3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原值</w:t>
            </w:r>
          </w:p>
        </w:tc>
        <w:tc>
          <w:tcPr>
            <w:tcW w:w="13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c>
          <w:tcPr>
            <w:tcW w:w="1275"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7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白色PVC展板（标准展板）2355*970*3</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2355*970*3</w:t>
            </w:r>
          </w:p>
        </w:tc>
        <w:tc>
          <w:tcPr>
            <w:tcW w:w="600" w:type="dxa"/>
            <w:tcBorders>
              <w:top w:val="single" w:color="000000" w:sz="8"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single" w:color="000000" w:sz="8"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1960</w:t>
            </w:r>
          </w:p>
        </w:tc>
        <w:tc>
          <w:tcPr>
            <w:tcW w:w="136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194,314.40</w:t>
            </w: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37,072.00</w:t>
            </w: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Arial Unicode MS" w:hAnsi="Arial Unicode MS" w:eastAsia="Arial Unicode MS" w:cs="Arial Unicode MS"/>
                <w:i w:val="0"/>
                <w:iCs w:val="0"/>
                <w:color w:val="000000"/>
                <w:sz w:val="18"/>
                <w:szCs w:val="18"/>
                <w:u w:val="none"/>
              </w:rPr>
            </w:pPr>
            <w:r>
              <w:rPr>
                <w:rFonts w:hint="default" w:ascii="Arial Unicode MS" w:hAnsi="Arial Unicode MS" w:eastAsia="Arial Unicode MS" w:cs="Arial Unicode MS"/>
                <w:i w:val="0"/>
                <w:iCs w:val="0"/>
                <w:color w:val="000000"/>
                <w:kern w:val="0"/>
                <w:sz w:val="18"/>
                <w:szCs w:val="18"/>
                <w:u w:val="none"/>
                <w:lang w:val="en-US" w:eastAsia="zh-CN" w:bidi="ar"/>
              </w:rPr>
              <w:t>9.10号馆铁皮仓库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黑色网布转椅</w:t>
            </w:r>
          </w:p>
        </w:tc>
        <w:tc>
          <w:tcPr>
            <w:tcW w:w="600"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会议木椅</w:t>
            </w:r>
          </w:p>
        </w:tc>
        <w:tc>
          <w:tcPr>
            <w:tcW w:w="106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红色木质</w:t>
            </w:r>
          </w:p>
        </w:tc>
        <w:tc>
          <w:tcPr>
            <w:tcW w:w="600" w:type="dxa"/>
            <w:tcBorders>
              <w:top w:val="nil"/>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nil"/>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6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138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27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80" w:type="dxa"/>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会议皮椅</w:t>
            </w:r>
          </w:p>
        </w:tc>
        <w:tc>
          <w:tcPr>
            <w:tcW w:w="1065"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弓形 皮质 米黄</w:t>
            </w:r>
          </w:p>
        </w:tc>
        <w:tc>
          <w:tcPr>
            <w:tcW w:w="600" w:type="dxa"/>
            <w:tcBorders>
              <w:top w:val="single" w:color="auto" w:sz="4" w:space="0"/>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6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380"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auto" w:sz="4" w:space="0"/>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会议木椅</w:t>
            </w:r>
          </w:p>
        </w:tc>
        <w:tc>
          <w:tcPr>
            <w:tcW w:w="1065"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红色木质</w:t>
            </w:r>
          </w:p>
        </w:tc>
        <w:tc>
          <w:tcPr>
            <w:tcW w:w="600" w:type="dxa"/>
            <w:tcBorders>
              <w:top w:val="single" w:color="auto" w:sz="4" w:space="0"/>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240</w:t>
            </w:r>
          </w:p>
        </w:tc>
        <w:tc>
          <w:tcPr>
            <w:tcW w:w="1380"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27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auto" w:sz="4" w:space="0"/>
              <w:left w:val="single" w:color="auto" w:sz="4"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班椅</w:t>
            </w:r>
          </w:p>
        </w:tc>
        <w:tc>
          <w:tcPr>
            <w:tcW w:w="106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高背</w:t>
            </w:r>
          </w:p>
        </w:tc>
        <w:tc>
          <w:tcPr>
            <w:tcW w:w="600"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6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4,550.00</w:t>
            </w:r>
          </w:p>
        </w:tc>
        <w:tc>
          <w:tcPr>
            <w:tcW w:w="138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275" w:type="dxa"/>
            <w:tcBorders>
              <w:top w:val="single" w:color="auto" w:sz="4" w:space="0"/>
              <w:left w:val="nil"/>
              <w:bottom w:val="single" w:color="000000" w:sz="8"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80" w:type="dxa"/>
            <w:tcBorders>
              <w:top w:val="nil"/>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06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黑色网布转椅</w:t>
            </w:r>
          </w:p>
        </w:tc>
        <w:tc>
          <w:tcPr>
            <w:tcW w:w="600" w:type="dxa"/>
            <w:tcBorders>
              <w:top w:val="nil"/>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nil"/>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36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4,160.00</w:t>
            </w:r>
          </w:p>
        </w:tc>
        <w:tc>
          <w:tcPr>
            <w:tcW w:w="138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27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80"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办公椅</w:t>
            </w:r>
          </w:p>
        </w:tc>
        <w:tc>
          <w:tcPr>
            <w:tcW w:w="106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黑色网布转椅</w:t>
            </w:r>
          </w:p>
        </w:tc>
        <w:tc>
          <w:tcPr>
            <w:tcW w:w="600"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36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8,000.00</w:t>
            </w:r>
          </w:p>
        </w:tc>
        <w:tc>
          <w:tcPr>
            <w:tcW w:w="1380"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319</w:t>
            </w:r>
          </w:p>
        </w:tc>
        <w:tc>
          <w:tcPr>
            <w:tcW w:w="1275" w:type="dxa"/>
            <w:tcBorders>
              <w:top w:val="single" w:color="auto" w:sz="4"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会务沙发</w:t>
            </w:r>
          </w:p>
        </w:tc>
        <w:tc>
          <w:tcPr>
            <w:tcW w:w="106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w:t>
            </w:r>
          </w:p>
        </w:tc>
        <w:tc>
          <w:tcPr>
            <w:tcW w:w="600"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nil"/>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6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2,750.00</w:t>
            </w:r>
          </w:p>
        </w:tc>
        <w:tc>
          <w:tcPr>
            <w:tcW w:w="1380"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27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nil"/>
              <w:left w:val="single" w:color="000000" w:sz="8"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会务沙发</w:t>
            </w:r>
          </w:p>
        </w:tc>
        <w:tc>
          <w:tcPr>
            <w:tcW w:w="1065"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单人</w:t>
            </w:r>
          </w:p>
        </w:tc>
        <w:tc>
          <w:tcPr>
            <w:tcW w:w="600" w:type="dxa"/>
            <w:tcBorders>
              <w:top w:val="nil"/>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nil"/>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nil"/>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6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11,000.00</w:t>
            </w:r>
          </w:p>
        </w:tc>
        <w:tc>
          <w:tcPr>
            <w:tcW w:w="1380"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275" w:type="dxa"/>
            <w:tcBorders>
              <w:top w:val="nil"/>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80" w:type="dxa"/>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1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会务沙发</w:t>
            </w:r>
          </w:p>
        </w:tc>
        <w:tc>
          <w:tcPr>
            <w:tcW w:w="1065"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三人位，布质</w:t>
            </w:r>
          </w:p>
        </w:tc>
        <w:tc>
          <w:tcPr>
            <w:tcW w:w="600" w:type="dxa"/>
            <w:tcBorders>
              <w:top w:val="single" w:color="auto" w:sz="4" w:space="0"/>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78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6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22,500.00</w:t>
            </w:r>
          </w:p>
        </w:tc>
        <w:tc>
          <w:tcPr>
            <w:tcW w:w="1380"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二楼仓库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5" w:hRule="atLeast"/>
        </w:trPr>
        <w:tc>
          <w:tcPr>
            <w:tcW w:w="780" w:type="dxa"/>
            <w:tcBorders>
              <w:top w:val="single" w:color="auto" w:sz="4" w:space="0"/>
              <w:left w:val="single" w:color="auto" w:sz="4" w:space="0"/>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1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显示屏（含驱动ic、开关电源、电脑一台、调音台一台、主扩声音箱一对、主扩声功放一对、系统播放软件一套，LED控制系统一套）</w:t>
            </w:r>
          </w:p>
        </w:tc>
        <w:tc>
          <w:tcPr>
            <w:tcW w:w="1065"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P6LED显示屏</w:t>
            </w:r>
          </w:p>
        </w:tc>
        <w:tc>
          <w:tcPr>
            <w:tcW w:w="600" w:type="dxa"/>
            <w:tcBorders>
              <w:top w:val="single" w:color="auto" w:sz="4" w:space="0"/>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nil"/>
              <w:bottom w:val="single" w:color="auto" w:sz="4"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780" w:type="dxa"/>
            <w:tcBorders>
              <w:top w:val="single" w:color="auto" w:sz="4" w:space="0"/>
              <w:left w:val="nil"/>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65"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80" w:type="dxa"/>
            <w:tcBorders>
              <w:top w:val="single" w:color="auto" w:sz="4" w:space="0"/>
              <w:left w:val="nil"/>
              <w:bottom w:val="single" w:color="auto"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66,204.00</w:t>
            </w:r>
          </w:p>
        </w:tc>
        <w:tc>
          <w:tcPr>
            <w:tcW w:w="127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登录大厅南侧电子屏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80" w:type="dxa"/>
            <w:tcBorders>
              <w:top w:val="single" w:color="auto" w:sz="4"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1710" w:type="dxa"/>
            <w:tcBorders>
              <w:top w:val="single" w:color="auto" w:sz="4" w:space="0"/>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1065" w:type="dxa"/>
            <w:tcBorders>
              <w:top w:val="single" w:color="auto" w:sz="4" w:space="0"/>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600"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660"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585" w:type="dxa"/>
            <w:tcBorders>
              <w:top w:val="single" w:color="auto" w:sz="4" w:space="0"/>
              <w:left w:val="nil"/>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sz w:val="20"/>
                <w:szCs w:val="20"/>
                <w:u w:val="none"/>
              </w:rPr>
            </w:pPr>
          </w:p>
        </w:tc>
        <w:tc>
          <w:tcPr>
            <w:tcW w:w="7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2039</w:t>
            </w:r>
          </w:p>
        </w:tc>
        <w:tc>
          <w:tcPr>
            <w:tcW w:w="1365"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249,089.40</w:t>
            </w:r>
          </w:p>
        </w:tc>
        <w:tc>
          <w:tcPr>
            <w:tcW w:w="1380" w:type="dxa"/>
            <w:tcBorders>
              <w:top w:val="single" w:color="auto" w:sz="4"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104,966.00</w:t>
            </w:r>
          </w:p>
        </w:tc>
        <w:tc>
          <w:tcPr>
            <w:tcW w:w="1275" w:type="dxa"/>
            <w:tcBorders>
              <w:top w:val="single" w:color="auto" w:sz="4" w:space="0"/>
              <w:left w:val="nil"/>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sz w:val="18"/>
                <w:szCs w:val="18"/>
                <w:u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pacing w:val="6"/>
          <w:sz w:val="21"/>
          <w:szCs w:val="21"/>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en-US" w:eastAsia="zh-CN"/>
        </w:rPr>
        <w:t>转让标的存放位置：</w:t>
      </w:r>
      <w:r>
        <w:rPr>
          <w:rFonts w:hint="eastAsia" w:asciiTheme="minorEastAsia" w:hAnsiTheme="minorEastAsia" w:cstheme="minorEastAsia"/>
          <w:spacing w:val="6"/>
          <w:sz w:val="21"/>
          <w:szCs w:val="21"/>
          <w:highlight w:val="none"/>
          <w:lang w:val="en-US" w:eastAsia="zh-CN"/>
        </w:rPr>
        <w:t>位于滨湖国际会展中心地下车库</w:t>
      </w:r>
      <w:r>
        <w:rPr>
          <w:rFonts w:hint="eastAsia" w:asciiTheme="minorEastAsia" w:hAnsiTheme="minorEastAsia" w:eastAsiaTheme="minorEastAsia" w:cstheme="minorEastAsia"/>
          <w:b w:val="0"/>
          <w:bCs/>
          <w:spacing w:val="6"/>
          <w:sz w:val="21"/>
          <w:szCs w:val="21"/>
          <w:highlight w:val="none"/>
          <w:lang w:val="en-US" w:eastAsia="zh-CN"/>
        </w:rPr>
        <w:t>、</w:t>
      </w:r>
      <w:r>
        <w:rPr>
          <w:rFonts w:hint="eastAsia" w:asciiTheme="minorEastAsia" w:hAnsiTheme="minorEastAsia" w:cstheme="minorEastAsia"/>
          <w:spacing w:val="6"/>
          <w:sz w:val="21"/>
          <w:szCs w:val="21"/>
          <w:highlight w:val="none"/>
          <w:lang w:val="en-US" w:eastAsia="zh-CN"/>
        </w:rPr>
        <w:t>仓库</w:t>
      </w:r>
      <w:r>
        <w:rPr>
          <w:rFonts w:hint="eastAsia" w:asciiTheme="minorEastAsia" w:hAnsiTheme="minorEastAsia" w:eastAsiaTheme="minorEastAsia" w:cstheme="minorEastAsia"/>
          <w:b w:val="0"/>
          <w:bCs/>
          <w:spacing w:val="6"/>
          <w:sz w:val="21"/>
          <w:szCs w:val="21"/>
          <w:highlight w:val="none"/>
          <w:lang w:val="en-US" w:eastAsia="zh-CN"/>
        </w:rPr>
        <w:t>、</w:t>
      </w:r>
      <w:r>
        <w:rPr>
          <w:rFonts w:hint="eastAsia" w:asciiTheme="minorEastAsia" w:hAnsiTheme="minorEastAsia" w:cstheme="minorEastAsia"/>
          <w:spacing w:val="6"/>
          <w:sz w:val="21"/>
          <w:szCs w:val="21"/>
          <w:highlight w:val="none"/>
          <w:lang w:val="en-US" w:eastAsia="zh-CN"/>
        </w:rPr>
        <w:t>广场</w:t>
      </w:r>
      <w:r>
        <w:rPr>
          <w:rFonts w:hint="eastAsia" w:asciiTheme="minorEastAsia" w:hAnsiTheme="minorEastAsia" w:eastAsiaTheme="minorEastAsia" w:cstheme="minorEastAsia"/>
          <w:b w:val="0"/>
          <w:bCs/>
          <w:spacing w:val="6"/>
          <w:sz w:val="21"/>
          <w:szCs w:val="21"/>
          <w:highlight w:val="none"/>
          <w:lang w:val="en-US" w:eastAsia="zh-CN"/>
        </w:rPr>
        <w:t>、</w:t>
      </w:r>
      <w:r>
        <w:rPr>
          <w:rFonts w:hint="eastAsia" w:asciiTheme="minorEastAsia" w:hAnsiTheme="minorEastAsia" w:cstheme="minorEastAsia"/>
          <w:spacing w:val="6"/>
          <w:sz w:val="21"/>
          <w:szCs w:val="21"/>
          <w:highlight w:val="none"/>
          <w:lang w:val="en-US" w:eastAsia="zh-CN"/>
        </w:rPr>
        <w:t>商业街</w:t>
      </w:r>
      <w:r>
        <w:rPr>
          <w:rFonts w:ascii="Segoe UI" w:hAnsi="Segoe UI" w:eastAsia="Segoe UI" w:cs="Segoe UI"/>
          <w:i w:val="0"/>
          <w:iCs w:val="0"/>
          <w:caps w:val="0"/>
          <w:spacing w:val="0"/>
          <w:sz w:val="21"/>
          <w:szCs w:val="21"/>
        </w:rPr>
        <w:t>二层部分</w:t>
      </w:r>
      <w:r>
        <w:rPr>
          <w:rFonts w:hint="eastAsia" w:asciiTheme="minorEastAsia" w:hAnsiTheme="minorEastAsia" w:eastAsiaTheme="minorEastAsia" w:cstheme="minorEastAsia"/>
          <w:spacing w:val="6"/>
          <w:sz w:val="21"/>
          <w:szCs w:val="21"/>
          <w:highlight w:val="none"/>
          <w:lang w:val="en-US" w:eastAsia="zh-CN"/>
        </w:rPr>
        <w:t>）。标的资产处于闲置停用状态。中标人应在本公告期截止前与招标人联系现场踏勘以充分了解标的现状，自行向招标人咨询确认标的具体情况，如有疑问，主动向招标人咨询。</w:t>
      </w:r>
    </w:p>
    <w:p>
      <w:pPr>
        <w:pStyle w:val="13"/>
        <w:keepNext w:val="0"/>
        <w:keepLines w:val="0"/>
        <w:pageBreakBefore w:val="0"/>
        <w:widowControl w:val="0"/>
        <w:kinsoku/>
        <w:wordWrap/>
        <w:overflowPunct/>
        <w:topLinePunct w:val="0"/>
        <w:autoSpaceDE/>
        <w:autoSpaceDN/>
        <w:bidi w:val="0"/>
        <w:spacing w:line="360" w:lineRule="auto"/>
        <w:textAlignment w:val="auto"/>
        <w:rPr>
          <w:rFonts w:hint="eastAsia"/>
          <w:u w:val="single"/>
          <w:lang w:eastAsia="zh-CN"/>
        </w:rPr>
      </w:pPr>
      <w:r>
        <w:rPr>
          <w:rFonts w:hint="eastAsia" w:ascii="宋体" w:hAnsi="宋体" w:eastAsia="宋体" w:cs="宋体"/>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上述资产转让已经上级主管单位批准同意处置，国众联资产评估土地房地产估价有限公司出具了国众联评报字（2024）第2-1296号《资产评估报告》，资产评估总价值为人民币179588元。</w:t>
      </w:r>
    </w:p>
    <w:p>
      <w:pPr>
        <w:pStyle w:val="13"/>
        <w:rPr>
          <w:rFonts w:hint="eastAsia"/>
          <w:sz w:val="21"/>
          <w:szCs w:val="21"/>
          <w:u w:val="single"/>
          <w:lang w:eastAsia="zh-CN"/>
        </w:rPr>
      </w:pPr>
    </w:p>
    <w:p>
      <w:pPr>
        <w:keepNext w:val="0"/>
        <w:keepLines w:val="0"/>
        <w:pageBreakBefore w:val="0"/>
        <w:widowControl w:val="0"/>
        <w:numPr>
          <w:ilvl w:val="0"/>
          <w:numId w:val="2"/>
        </w:numPr>
        <w:kinsoku/>
        <w:wordWrap/>
        <w:overflowPunct/>
        <w:topLinePunct w:val="0"/>
        <w:autoSpaceDE/>
        <w:autoSpaceDN/>
        <w:bidi w:val="0"/>
        <w:adjustRightInd w:val="0"/>
        <w:snapToGrid w:val="0"/>
        <w:spacing w:line="500" w:lineRule="exact"/>
        <w:ind w:left="0" w:leftChars="0" w:firstLine="437" w:firstLineChars="0"/>
        <w:textAlignment w:val="auto"/>
        <w:outlineLvl w:val="1"/>
        <w:rPr>
          <w:rFonts w:hint="eastAsia" w:ascii="Times New Roman" w:hAnsi="Times New Roman"/>
          <w:b/>
          <w:sz w:val="24"/>
          <w:szCs w:val="24"/>
        </w:rPr>
      </w:pPr>
      <w:bookmarkStart w:id="38" w:name="_Toc26876"/>
      <w:r>
        <w:rPr>
          <w:rFonts w:hint="eastAsia" w:ascii="Times New Roman" w:hAnsi="Times New Roman"/>
          <w:b/>
          <w:sz w:val="24"/>
          <w:szCs w:val="24"/>
        </w:rPr>
        <w:t>服务内容及要求</w:t>
      </w:r>
      <w:bookmarkEnd w:id="38"/>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textAlignment w:val="auto"/>
        <w:rPr>
          <w:rFonts w:hint="eastAsia" w:asciiTheme="minorEastAsia" w:hAnsiTheme="minorEastAsia" w:eastAsiaTheme="minorEastAsia" w:cstheme="minorEastAsia"/>
          <w:b w:val="0"/>
          <w:bCs/>
          <w:spacing w:val="6"/>
          <w:sz w:val="21"/>
          <w:szCs w:val="21"/>
          <w:highlight w:val="none"/>
          <w:lang w:val="en-US" w:eastAsia="zh-CN"/>
        </w:rPr>
      </w:pPr>
      <w:r>
        <w:rPr>
          <w:rFonts w:hint="eastAsia" w:ascii="Times New Roman" w:hAnsi="Times New Roman" w:cs="Times New Roman"/>
          <w:b w:val="0"/>
          <w:bCs/>
          <w:kern w:val="0"/>
          <w:sz w:val="24"/>
          <w:lang w:val="en-US" w:eastAsia="zh-CN"/>
        </w:rPr>
        <w:t>1.</w:t>
      </w:r>
      <w:r>
        <w:rPr>
          <w:rFonts w:hint="eastAsia" w:asciiTheme="minorEastAsia" w:hAnsiTheme="minorEastAsia" w:eastAsiaTheme="minorEastAsia" w:cstheme="minorEastAsia"/>
          <w:b w:val="0"/>
          <w:bCs/>
          <w:spacing w:val="6"/>
          <w:sz w:val="21"/>
          <w:szCs w:val="21"/>
          <w:highlight w:val="none"/>
          <w:lang w:val="en-US" w:eastAsia="zh-CN"/>
        </w:rPr>
        <w:t>标的以现状移交，投标人应在本公告期截止前现场踏勘转让标的，自行了解标的权属关系和可能涉及的相关法律法规及政策规定，自行承担因政策变化带来的一切后果及责任。凡报名的投标人都视同已实地踏勘转让标的，确认了标的范围、数量、重量、体积、面积、成新度和功能情况等，并认可转让资产现状及转让要求，自愿承担因上述原因导致的一切后果和法律责任。</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b w:val="0"/>
          <w:bCs/>
          <w:spacing w:val="6"/>
          <w:sz w:val="21"/>
          <w:szCs w:val="21"/>
          <w:highlight w:val="none"/>
          <w:lang w:val="en-US" w:eastAsia="zh-CN"/>
        </w:rPr>
        <w:t>2.中标人</w:t>
      </w:r>
      <w:r>
        <w:rPr>
          <w:rFonts w:hint="eastAsia" w:asciiTheme="minorEastAsia" w:hAnsiTheme="minorEastAsia" w:eastAsiaTheme="minorEastAsia" w:cstheme="minorEastAsia"/>
          <w:spacing w:val="6"/>
          <w:sz w:val="21"/>
          <w:szCs w:val="21"/>
          <w:highlight w:val="none"/>
          <w:lang w:val="en-US" w:eastAsia="zh-CN"/>
        </w:rPr>
        <w:t>须在招标人指定的场地进行验收和交接标的，不得在中标人场地对标的进行分解、拆解。自转让价款全部付清之日起</w:t>
      </w:r>
      <w:r>
        <w:rPr>
          <w:rFonts w:hint="eastAsia" w:asciiTheme="minorEastAsia" w:hAnsiTheme="minorEastAsia" w:cstheme="minorEastAsia"/>
          <w:spacing w:val="6"/>
          <w:sz w:val="21"/>
          <w:szCs w:val="21"/>
          <w:highlight w:val="none"/>
          <w:lang w:val="en-US" w:eastAsia="zh-CN"/>
        </w:rPr>
        <w:t>1</w:t>
      </w:r>
      <w:r>
        <w:rPr>
          <w:rFonts w:hint="eastAsia" w:asciiTheme="minorEastAsia" w:hAnsiTheme="minorEastAsia" w:eastAsiaTheme="minorEastAsia" w:cstheme="minorEastAsia"/>
          <w:spacing w:val="6"/>
          <w:sz w:val="21"/>
          <w:szCs w:val="21"/>
          <w:highlight w:val="none"/>
          <w:lang w:val="en-US" w:eastAsia="zh-CN"/>
        </w:rPr>
        <w:t>5个工作日内，招标人协助中标人办理资产交接等手续。</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cstheme="minorEastAsia"/>
          <w:spacing w:val="6"/>
          <w:sz w:val="21"/>
          <w:szCs w:val="21"/>
          <w:highlight w:val="none"/>
          <w:lang w:val="en-US" w:eastAsia="zh-CN"/>
        </w:rPr>
        <w:t>3</w:t>
      </w:r>
      <w:r>
        <w:rPr>
          <w:rFonts w:hint="eastAsia" w:asciiTheme="minorEastAsia" w:hAnsiTheme="minorEastAsia" w:eastAsiaTheme="minorEastAsia" w:cstheme="minorEastAsia"/>
          <w:spacing w:val="6"/>
          <w:sz w:val="21"/>
          <w:szCs w:val="21"/>
          <w:highlight w:val="none"/>
          <w:lang w:val="en-US" w:eastAsia="zh-CN"/>
        </w:rPr>
        <w:t>.中标人须在签订《资产转让合同》之日起</w:t>
      </w:r>
      <w:r>
        <w:rPr>
          <w:rFonts w:hint="eastAsia" w:asciiTheme="minorEastAsia" w:hAnsiTheme="minorEastAsia" w:cstheme="minorEastAsia"/>
          <w:spacing w:val="6"/>
          <w:sz w:val="21"/>
          <w:szCs w:val="21"/>
          <w:highlight w:val="none"/>
          <w:lang w:val="en-US" w:eastAsia="zh-CN"/>
        </w:rPr>
        <w:t>15</w:t>
      </w:r>
      <w:r>
        <w:rPr>
          <w:rFonts w:hint="eastAsia" w:asciiTheme="minorEastAsia" w:hAnsiTheme="minorEastAsia" w:eastAsiaTheme="minorEastAsia" w:cstheme="minorEastAsia"/>
          <w:spacing w:val="6"/>
          <w:sz w:val="21"/>
          <w:szCs w:val="21"/>
          <w:highlight w:val="none"/>
          <w:lang w:val="en-US" w:eastAsia="zh-CN"/>
        </w:rPr>
        <w:t>日内完成标的运输工作。中标人须服从招标人安排并按照转让合同的约定在规定时间内将车辆拖运完毕，车辆交接后的运输、</w:t>
      </w:r>
      <w:r>
        <w:rPr>
          <w:rFonts w:hint="eastAsia" w:asciiTheme="minorEastAsia" w:hAnsiTheme="minorEastAsia" w:cstheme="minorEastAsia"/>
          <w:spacing w:val="6"/>
          <w:sz w:val="21"/>
          <w:szCs w:val="21"/>
          <w:highlight w:val="none"/>
          <w:lang w:val="en-US" w:eastAsia="zh-CN"/>
        </w:rPr>
        <w:t>大屏</w:t>
      </w:r>
      <w:r>
        <w:rPr>
          <w:rFonts w:hint="eastAsia" w:asciiTheme="minorEastAsia" w:hAnsiTheme="minorEastAsia" w:eastAsiaTheme="minorEastAsia" w:cstheme="minorEastAsia"/>
          <w:spacing w:val="6"/>
          <w:sz w:val="21"/>
          <w:szCs w:val="21"/>
          <w:highlight w:val="none"/>
          <w:lang w:val="en-US" w:eastAsia="zh-CN"/>
        </w:rPr>
        <w:t>拆解等相关费用由中标人承担，</w:t>
      </w:r>
      <w:r>
        <w:rPr>
          <w:rFonts w:hint="eastAsia" w:asciiTheme="minorEastAsia" w:hAnsiTheme="minorEastAsia" w:cstheme="minorEastAsia"/>
          <w:spacing w:val="6"/>
          <w:sz w:val="21"/>
          <w:szCs w:val="21"/>
          <w:highlight w:val="none"/>
          <w:lang w:val="en-US" w:eastAsia="zh-CN"/>
        </w:rPr>
        <w:t>资产</w:t>
      </w:r>
      <w:r>
        <w:rPr>
          <w:rFonts w:hint="eastAsia" w:asciiTheme="minorEastAsia" w:hAnsiTheme="minorEastAsia" w:eastAsiaTheme="minorEastAsia" w:cstheme="minorEastAsia"/>
          <w:spacing w:val="6"/>
          <w:sz w:val="21"/>
          <w:szCs w:val="21"/>
          <w:highlight w:val="none"/>
          <w:lang w:val="en-US" w:eastAsia="zh-CN"/>
        </w:rPr>
        <w:t>交接后的交通安全及其他一切法律责任均由中标人负责。中标人须在完成标的运输工作之日起15个工作日内办理完毕</w:t>
      </w:r>
      <w:r>
        <w:rPr>
          <w:rFonts w:hint="eastAsia" w:asciiTheme="minorEastAsia" w:hAnsiTheme="minorEastAsia" w:cstheme="minorEastAsia"/>
          <w:spacing w:val="6"/>
          <w:sz w:val="21"/>
          <w:szCs w:val="21"/>
          <w:highlight w:val="none"/>
          <w:lang w:val="en-US" w:eastAsia="zh-CN"/>
        </w:rPr>
        <w:t>资产交接</w:t>
      </w:r>
      <w:r>
        <w:rPr>
          <w:rFonts w:hint="eastAsia" w:asciiTheme="minorEastAsia" w:hAnsiTheme="minorEastAsia" w:eastAsiaTheme="minorEastAsia" w:cstheme="minorEastAsia"/>
          <w:spacing w:val="6"/>
          <w:sz w:val="21"/>
          <w:szCs w:val="21"/>
          <w:highlight w:val="none"/>
          <w:lang w:val="en-US" w:eastAsia="zh-CN"/>
        </w:rPr>
        <w:t>手续，中标人须遵守国家、省、市相关再生资源利用方面的法律、法规和政策规定，否则由此引起的一切责任均由中标人承担。转让标的拆卸、清运、残料处置等工作须按照国家安全生产、环境保护等相关法律、法规执行，服从招标人有关工作时间、人员、物品出入及安全生产等方面的现场监督与管理，并遵守如下规定：</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①如在拆除过程中遇到特种作业的，须派持有特种作业操作证（如金属焊接切割等专业）的作业人员进行安全操作；</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②如遇到特殊情况需要由具备相关资质的施工企业进行施工的（如爆破拆除），中标人须委托具有相关资质的单位进行拆除工作，中标人所委托的拆除人员及施工单位的资质证明等相关资料应交给招标人备案存档。</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③如在对转让标的拆卸、搬运或残余物处置过程中造成人身伤亡、财产损失的，由此产生的一切经济赔偿责任和法律后果均由中标人自行承担。</w:t>
      </w:r>
    </w:p>
    <w:p>
      <w:pPr>
        <w:keepNext w:val="0"/>
        <w:keepLines w:val="0"/>
        <w:pageBreakBefore w:val="0"/>
        <w:widowControl w:val="0"/>
        <w:kinsoku/>
        <w:wordWrap/>
        <w:overflowPunct/>
        <w:topLinePunct w:val="0"/>
        <w:autoSpaceDE/>
        <w:autoSpaceDN/>
        <w:bidi w:val="0"/>
        <w:adjustRightInd w:val="0"/>
        <w:snapToGrid w:val="0"/>
        <w:spacing w:line="500" w:lineRule="exact"/>
        <w:ind w:firstLine="444" w:firstLineChars="200"/>
        <w:textAlignment w:val="auto"/>
        <w:outlineLvl w:val="2"/>
        <w:rPr>
          <w:rFonts w:hint="eastAsia" w:ascii="Times New Roman" w:hAnsi="Times New Roman" w:cs="Times New Roman" w:eastAsiaTheme="minorEastAsia"/>
          <w:b/>
          <w:kern w:val="0"/>
          <w:sz w:val="24"/>
          <w:lang w:eastAsia="zh-CN"/>
        </w:rPr>
      </w:pPr>
      <w:r>
        <w:rPr>
          <w:rFonts w:hint="eastAsia" w:asciiTheme="minorEastAsia" w:hAnsiTheme="minorEastAsia" w:cstheme="minorEastAsia"/>
          <w:spacing w:val="6"/>
          <w:sz w:val="21"/>
          <w:szCs w:val="21"/>
          <w:highlight w:val="none"/>
          <w:lang w:val="en-US" w:eastAsia="zh-CN"/>
        </w:rPr>
        <w:t>4</w:t>
      </w:r>
      <w:r>
        <w:rPr>
          <w:rFonts w:hint="eastAsia" w:asciiTheme="minorEastAsia" w:hAnsiTheme="minorEastAsia" w:eastAsiaTheme="minorEastAsia" w:cstheme="minorEastAsia"/>
          <w:spacing w:val="6"/>
          <w:sz w:val="21"/>
          <w:szCs w:val="21"/>
          <w:highlight w:val="none"/>
          <w:lang w:val="en-US" w:eastAsia="zh-CN"/>
        </w:rPr>
        <w:t>.其他未尽事宜详见本公告附件《资产转让合同》。</w:t>
      </w:r>
    </w:p>
    <w:p>
      <w:pPr>
        <w:spacing w:line="360" w:lineRule="auto"/>
        <w:outlineLvl w:val="9"/>
        <w:rPr>
          <w:rFonts w:ascii="Times New Roman" w:hAnsi="Times New Roman"/>
          <w:b/>
          <w:sz w:val="24"/>
          <w:szCs w:val="24"/>
        </w:rPr>
      </w:pPr>
    </w:p>
    <w:p>
      <w:pPr>
        <w:spacing w:line="360" w:lineRule="auto"/>
        <w:outlineLvl w:val="1"/>
        <w:rPr>
          <w:rFonts w:ascii="Times New Roman" w:hAnsi="Times New Roman"/>
          <w:b/>
          <w:sz w:val="24"/>
          <w:szCs w:val="24"/>
        </w:rPr>
      </w:pPr>
      <w:bookmarkStart w:id="39" w:name="_Toc482188639"/>
      <w:bookmarkStart w:id="40" w:name="_Toc15614"/>
      <w:r>
        <w:rPr>
          <w:rFonts w:ascii="Times New Roman" w:hAnsi="Times New Roman"/>
          <w:b/>
          <w:sz w:val="24"/>
          <w:szCs w:val="24"/>
        </w:rPr>
        <w:t>三、</w:t>
      </w:r>
      <w:bookmarkEnd w:id="39"/>
      <w:r>
        <w:rPr>
          <w:rFonts w:hint="eastAsia" w:ascii="Times New Roman" w:hAnsi="Times New Roman"/>
          <w:b/>
          <w:sz w:val="24"/>
          <w:szCs w:val="24"/>
        </w:rPr>
        <w:t>人员要求</w:t>
      </w:r>
      <w:bookmarkEnd w:id="40"/>
    </w:p>
    <w:p>
      <w:pPr>
        <w:spacing w:line="360" w:lineRule="auto"/>
        <w:outlineLvl w:val="1"/>
        <w:rPr>
          <w:rFonts w:ascii="Times New Roman" w:hAnsi="Times New Roman"/>
          <w:b/>
          <w:sz w:val="24"/>
          <w:szCs w:val="24"/>
        </w:rPr>
      </w:pPr>
      <w:bookmarkStart w:id="41" w:name="_Toc482188644"/>
      <w:bookmarkStart w:id="42" w:name="_Toc482188645"/>
      <w:r>
        <w:rPr>
          <w:rFonts w:hint="eastAsia" w:ascii="Times New Roman" w:hAnsi="Times New Roman"/>
          <w:b/>
          <w:sz w:val="24"/>
          <w:szCs w:val="24"/>
        </w:rPr>
        <w:t>四、</w:t>
      </w:r>
      <w:bookmarkEnd w:id="41"/>
      <w:r>
        <w:rPr>
          <w:rFonts w:hint="eastAsia" w:ascii="Times New Roman" w:hAnsi="Times New Roman"/>
          <w:b/>
          <w:sz w:val="24"/>
          <w:szCs w:val="24"/>
        </w:rPr>
        <w:t>报价要求</w:t>
      </w:r>
    </w:p>
    <w:p>
      <w:pPr>
        <w:keepNext w:val="0"/>
        <w:keepLines w:val="0"/>
        <w:pageBreakBefore w:val="0"/>
        <w:widowControl w:val="0"/>
        <w:kinsoku/>
        <w:wordWrap/>
        <w:overflowPunct/>
        <w:topLinePunct w:val="0"/>
        <w:autoSpaceDE/>
        <w:autoSpaceDN/>
        <w:bidi w:val="0"/>
        <w:adjustRightInd w:val="0"/>
        <w:snapToGrid w:val="0"/>
        <w:spacing w:line="520" w:lineRule="exact"/>
        <w:ind w:firstLine="420" w:firstLineChars="200"/>
        <w:textAlignment w:val="auto"/>
        <w:rPr>
          <w:rFonts w:hint="eastAsia" w:ascii="Times New Roman" w:hAnsi="Times New Roman" w:cs="Times New Roman"/>
          <w:b/>
          <w:bCs/>
          <w:color w:val="000000" w:themeColor="text1"/>
          <w:sz w:val="24"/>
          <w:szCs w:val="18"/>
          <w:highlight w:val="yellow"/>
          <w:lang w:val="en-US" w:eastAsia="zh-CN"/>
          <w14:textFill>
            <w14:solidFill>
              <w14:schemeClr w14:val="tx1"/>
            </w14:solidFill>
          </w14:textFill>
        </w:rPr>
      </w:pPr>
      <w:r>
        <w:rPr>
          <w:rFonts w:hint="eastAsia" w:ascii="Times New Roman" w:hAnsi="Times New Roman" w:cs="Times New Roman"/>
          <w:sz w:val="21"/>
          <w:szCs w:val="22"/>
          <w:lang w:val="en-US" w:eastAsia="zh-CN"/>
        </w:rPr>
        <w:t>1.</w:t>
      </w:r>
      <w:r>
        <w:rPr>
          <w:rFonts w:hint="eastAsia" w:ascii="Times New Roman" w:hAnsi="Times New Roman" w:cs="Times New Roman"/>
          <w:sz w:val="21"/>
          <w:szCs w:val="22"/>
        </w:rPr>
        <w:t>本项目采用总价报价，除非合同另有规定，该总价包含但不限于咨询服务费、方案编制费、</w:t>
      </w:r>
      <w:r>
        <w:rPr>
          <w:rFonts w:hint="eastAsia" w:ascii="Times New Roman" w:hAnsi="Times New Roman" w:cs="Times New Roman"/>
          <w:sz w:val="21"/>
          <w:szCs w:val="22"/>
          <w:highlight w:val="none"/>
        </w:rPr>
        <w:t>现场调研勘察费、数据采集费、人工费、差旅费、利润、税金等全部费用。投标报价总价不得</w:t>
      </w:r>
      <w:r>
        <w:rPr>
          <w:rFonts w:hint="eastAsia" w:ascii="Times New Roman" w:hAnsi="Times New Roman" w:cs="Times New Roman"/>
          <w:sz w:val="21"/>
          <w:szCs w:val="22"/>
          <w:highlight w:val="none"/>
          <w:lang w:eastAsia="zh-CN"/>
        </w:rPr>
        <w:t>低</w:t>
      </w:r>
      <w:r>
        <w:rPr>
          <w:rFonts w:hint="eastAsia" w:ascii="Times New Roman" w:hAnsi="Times New Roman" w:cs="Times New Roman"/>
          <w:sz w:val="21"/>
          <w:szCs w:val="22"/>
          <w:highlight w:val="none"/>
        </w:rPr>
        <w:t>于项目概算。</w:t>
      </w:r>
      <w:r>
        <w:rPr>
          <w:rFonts w:hint="eastAsia" w:ascii="Times New Roman" w:hAnsi="Times New Roman" w:cs="Times New Roman"/>
          <w:b/>
          <w:bCs/>
          <w:color w:val="000000" w:themeColor="text1"/>
          <w:sz w:val="24"/>
          <w:szCs w:val="18"/>
          <w:highlight w:val="yellow"/>
          <w:lang w:val="en-US" w:eastAsia="zh-CN"/>
          <w14:textFill>
            <w14:solidFill>
              <w14:schemeClr w14:val="tx1"/>
            </w14:solidFill>
          </w14:textFill>
        </w:rPr>
        <w:t>投标人需对清单1</w:t>
      </w:r>
      <w:r>
        <w:rPr>
          <w:rFonts w:hint="eastAsia" w:ascii="Times New Roman" w:hAnsi="Times New Roman" w:cs="Times New Roman"/>
          <w:sz w:val="21"/>
          <w:szCs w:val="22"/>
          <w:highlight w:val="none"/>
        </w:rPr>
        <w:t>、</w:t>
      </w:r>
      <w:r>
        <w:rPr>
          <w:rFonts w:hint="eastAsia" w:ascii="Times New Roman" w:hAnsi="Times New Roman" w:cs="Times New Roman"/>
          <w:b/>
          <w:bCs/>
          <w:color w:val="000000" w:themeColor="text1"/>
          <w:sz w:val="24"/>
          <w:szCs w:val="18"/>
          <w:highlight w:val="yellow"/>
          <w:lang w:val="en-US" w:eastAsia="zh-CN"/>
          <w14:textFill>
            <w14:solidFill>
              <w14:schemeClr w14:val="tx1"/>
            </w14:solidFill>
          </w14:textFill>
        </w:rPr>
        <w:t>清单2分开报价，合计报价最高者为最终中标人。</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highlight w:val="none"/>
          <w:lang w:val="en-US" w:eastAsia="zh-CN"/>
        </w:rPr>
      </w:pPr>
      <w:r>
        <w:rPr>
          <w:rFonts w:hint="eastAsia" w:asciiTheme="minorEastAsia" w:hAnsiTheme="minorEastAsia" w:eastAsiaTheme="minorEastAsia" w:cstheme="minorEastAsia"/>
          <w:spacing w:val="6"/>
          <w:sz w:val="21"/>
          <w:szCs w:val="21"/>
          <w:highlight w:val="none"/>
          <w:lang w:val="en-US" w:eastAsia="zh-CN"/>
        </w:rPr>
        <w:t>3、</w:t>
      </w:r>
      <w:r>
        <w:rPr>
          <w:rFonts w:hint="eastAsia" w:asciiTheme="minorEastAsia" w:hAnsiTheme="minorEastAsia" w:cstheme="minorEastAsia"/>
          <w:spacing w:val="6"/>
          <w:sz w:val="21"/>
          <w:szCs w:val="21"/>
          <w:highlight w:val="none"/>
          <w:lang w:val="en-US" w:eastAsia="zh-CN"/>
        </w:rPr>
        <w:t>投标</w:t>
      </w:r>
      <w:r>
        <w:rPr>
          <w:rFonts w:hint="eastAsia" w:asciiTheme="minorEastAsia" w:hAnsiTheme="minorEastAsia" w:eastAsiaTheme="minorEastAsia" w:cstheme="minorEastAsia"/>
          <w:spacing w:val="6"/>
          <w:sz w:val="21"/>
          <w:szCs w:val="21"/>
          <w:highlight w:val="none"/>
          <w:lang w:val="en-US" w:eastAsia="zh-CN"/>
        </w:rPr>
        <w:t>总价包括本次评估全部内容及工期的成本、利润、税金、运输费、损耗等所有费用。</w:t>
      </w:r>
    </w:p>
    <w:p>
      <w:pPr>
        <w:spacing w:line="440" w:lineRule="exact"/>
        <w:ind w:firstLine="420" w:firstLineChars="200"/>
        <w:outlineLvl w:val="2"/>
        <w:rPr>
          <w:rFonts w:hint="eastAsia" w:asciiTheme="minorEastAsia" w:hAnsiTheme="minorEastAsia" w:cstheme="minorEastAsia"/>
          <w:sz w:val="21"/>
          <w:szCs w:val="21"/>
          <w:highlight w:val="none"/>
        </w:rPr>
      </w:pPr>
      <w:r>
        <w:rPr>
          <w:rFonts w:hint="eastAsia" w:asciiTheme="minorEastAsia" w:hAnsiTheme="minorEastAsia" w:cstheme="minorEastAsia"/>
          <w:sz w:val="21"/>
          <w:szCs w:val="21"/>
          <w:highlight w:val="none"/>
          <w:lang w:val="en-US" w:eastAsia="zh-CN"/>
        </w:rPr>
        <w:t>4、</w:t>
      </w:r>
      <w:r>
        <w:rPr>
          <w:rFonts w:hint="eastAsia" w:asciiTheme="minorEastAsia" w:hAnsiTheme="minorEastAsia" w:cstheme="minorEastAsia"/>
          <w:sz w:val="21"/>
          <w:szCs w:val="21"/>
          <w:highlight w:val="none"/>
        </w:rPr>
        <w:t>投标报价总价不得</w:t>
      </w:r>
      <w:r>
        <w:rPr>
          <w:rFonts w:hint="eastAsia" w:asciiTheme="minorEastAsia" w:hAnsiTheme="minorEastAsia" w:cstheme="minorEastAsia"/>
          <w:sz w:val="21"/>
          <w:szCs w:val="21"/>
          <w:highlight w:val="none"/>
          <w:lang w:eastAsia="zh-CN"/>
        </w:rPr>
        <w:t>低</w:t>
      </w:r>
      <w:r>
        <w:rPr>
          <w:rFonts w:hint="eastAsia" w:asciiTheme="minorEastAsia" w:hAnsiTheme="minorEastAsia" w:cstheme="minorEastAsia"/>
          <w:sz w:val="21"/>
          <w:szCs w:val="21"/>
          <w:highlight w:val="none"/>
        </w:rPr>
        <w:t>于项目概算。</w:t>
      </w:r>
    </w:p>
    <w:p>
      <w:pPr>
        <w:spacing w:line="440" w:lineRule="exact"/>
        <w:ind w:firstLine="420" w:firstLineChars="200"/>
        <w:rPr>
          <w:rFonts w:hint="default" w:ascii="Times New Roman" w:hAnsi="Times New Roman" w:cs="Times New Roman"/>
          <w:sz w:val="21"/>
          <w:szCs w:val="22"/>
          <w:lang w:val="en-US"/>
        </w:rPr>
      </w:pPr>
    </w:p>
    <w:p>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pPr>
        <w:widowControl/>
        <w:spacing w:line="460" w:lineRule="exact"/>
        <w:ind w:firstLine="444" w:firstLineChars="200"/>
        <w:jc w:val="left"/>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中标人须自《资产转让合同》签订之日起</w:t>
      </w:r>
      <w:r>
        <w:rPr>
          <w:rFonts w:hint="eastAsia" w:asciiTheme="minorEastAsia" w:hAnsiTheme="minorEastAsia" w:cstheme="minorEastAsia"/>
          <w:b/>
          <w:bCs/>
          <w:spacing w:val="6"/>
          <w:sz w:val="21"/>
          <w:szCs w:val="21"/>
          <w:lang w:val="en-US" w:eastAsia="zh-CN"/>
        </w:rPr>
        <w:t>3</w:t>
      </w:r>
      <w:r>
        <w:rPr>
          <w:rFonts w:hint="eastAsia" w:asciiTheme="minorEastAsia" w:hAnsiTheme="minorEastAsia" w:eastAsiaTheme="minorEastAsia" w:cstheme="minorEastAsia"/>
          <w:spacing w:val="6"/>
          <w:sz w:val="21"/>
          <w:szCs w:val="21"/>
          <w:lang w:val="en-US" w:eastAsia="zh-CN"/>
        </w:rPr>
        <w:t>个工作日内向</w:t>
      </w:r>
      <w:r>
        <w:rPr>
          <w:rFonts w:hint="eastAsia" w:asciiTheme="minorEastAsia" w:hAnsiTheme="minorEastAsia" w:cstheme="minorEastAsia"/>
          <w:spacing w:val="6"/>
          <w:sz w:val="21"/>
          <w:szCs w:val="21"/>
          <w:lang w:val="en-US" w:eastAsia="zh-CN"/>
        </w:rPr>
        <w:t>合肥政文国际会展管理有限公司</w:t>
      </w:r>
      <w:r>
        <w:rPr>
          <w:rFonts w:hint="eastAsia" w:asciiTheme="minorEastAsia" w:hAnsiTheme="minorEastAsia" w:eastAsiaTheme="minorEastAsia" w:cstheme="minorEastAsia"/>
          <w:spacing w:val="6"/>
          <w:sz w:val="21"/>
          <w:szCs w:val="21"/>
          <w:lang w:val="en-US" w:eastAsia="zh-CN"/>
        </w:rPr>
        <w:t>指定账户一次性付清全部转让价款。</w:t>
      </w:r>
    </w:p>
    <w:p>
      <w:pPr>
        <w:widowControl/>
        <w:spacing w:line="460" w:lineRule="exact"/>
        <w:ind w:firstLine="420" w:firstLineChars="200"/>
        <w:jc w:val="left"/>
        <w:rPr>
          <w:rFonts w:hint="eastAsia" w:ascii="Times New Roman" w:hAnsi="Times New Roman"/>
          <w:bCs/>
          <w:snapToGrid w:val="0"/>
          <w:kern w:val="0"/>
          <w:sz w:val="21"/>
          <w:szCs w:val="22"/>
          <w:u w:val="none"/>
        </w:rPr>
      </w:pPr>
      <w:r>
        <w:rPr>
          <w:rFonts w:ascii="Times New Roman" w:hAnsi="Times New Roman"/>
          <w:bCs/>
          <w:snapToGrid w:val="0"/>
          <w:kern w:val="0"/>
          <w:sz w:val="21"/>
          <w:szCs w:val="22"/>
        </w:rPr>
        <w:t>单位名称</w:t>
      </w:r>
      <w:r>
        <w:rPr>
          <w:rFonts w:ascii="Times New Roman" w:hAnsi="Times New Roman"/>
          <w:bCs/>
          <w:snapToGrid w:val="0"/>
          <w:kern w:val="0"/>
          <w:sz w:val="21"/>
          <w:szCs w:val="22"/>
          <w:u w:val="none"/>
        </w:rPr>
        <w:t>：</w:t>
      </w:r>
      <w:r>
        <w:rPr>
          <w:rFonts w:hint="eastAsia" w:ascii="Times New Roman" w:hAnsi="Times New Roman"/>
          <w:bCs/>
          <w:snapToGrid w:val="0"/>
          <w:kern w:val="0"/>
          <w:sz w:val="21"/>
          <w:szCs w:val="22"/>
          <w:u w:val="none"/>
        </w:rPr>
        <w:t>合肥政文国际会展管理有限公司</w:t>
      </w:r>
    </w:p>
    <w:p>
      <w:pPr>
        <w:widowControl/>
        <w:spacing w:line="460" w:lineRule="exact"/>
        <w:ind w:firstLine="420" w:firstLineChars="200"/>
        <w:jc w:val="left"/>
        <w:rPr>
          <w:rFonts w:hint="eastAsia" w:ascii="Times New Roman" w:hAnsi="Times New Roman"/>
          <w:bCs/>
          <w:snapToGrid w:val="0"/>
          <w:kern w:val="0"/>
          <w:sz w:val="21"/>
          <w:szCs w:val="22"/>
          <w:u w:val="none"/>
        </w:rPr>
      </w:pPr>
      <w:r>
        <w:rPr>
          <w:rFonts w:ascii="Times New Roman" w:hAnsi="Times New Roman"/>
          <w:bCs/>
          <w:snapToGrid w:val="0"/>
          <w:kern w:val="0"/>
          <w:sz w:val="21"/>
          <w:szCs w:val="22"/>
          <w:u w:val="none"/>
        </w:rPr>
        <w:t>开户银行账号：</w:t>
      </w:r>
      <w:r>
        <w:rPr>
          <w:rFonts w:hint="eastAsia" w:ascii="Times New Roman" w:hAnsi="Times New Roman"/>
          <w:bCs/>
          <w:snapToGrid w:val="0"/>
          <w:kern w:val="0"/>
          <w:sz w:val="21"/>
          <w:szCs w:val="22"/>
          <w:u w:val="none"/>
        </w:rPr>
        <w:t>76690188000476007</w:t>
      </w:r>
    </w:p>
    <w:p>
      <w:pPr>
        <w:widowControl/>
        <w:spacing w:line="460" w:lineRule="exact"/>
        <w:ind w:firstLine="420" w:firstLineChars="200"/>
        <w:jc w:val="left"/>
        <w:rPr>
          <w:rFonts w:hint="eastAsia" w:ascii="Times New Roman" w:hAnsi="Times New Roman"/>
          <w:bCs/>
          <w:snapToGrid w:val="0"/>
          <w:kern w:val="0"/>
          <w:sz w:val="21"/>
          <w:szCs w:val="22"/>
          <w:u w:val="none"/>
        </w:rPr>
      </w:pPr>
      <w:r>
        <w:rPr>
          <w:rFonts w:ascii="Times New Roman" w:hAnsi="Times New Roman"/>
          <w:bCs/>
          <w:snapToGrid w:val="0"/>
          <w:kern w:val="0"/>
          <w:sz w:val="21"/>
          <w:szCs w:val="22"/>
          <w:u w:val="none"/>
        </w:rPr>
        <w:t>开户银行：</w:t>
      </w:r>
      <w:r>
        <w:rPr>
          <w:rFonts w:hint="eastAsia" w:ascii="Times New Roman" w:hAnsi="Times New Roman"/>
          <w:bCs/>
          <w:snapToGrid w:val="0"/>
          <w:kern w:val="0"/>
          <w:sz w:val="21"/>
          <w:szCs w:val="22"/>
          <w:u w:val="none"/>
        </w:rPr>
        <w:t>光大银行合肥分行营业部</w:t>
      </w:r>
    </w:p>
    <w:p>
      <w:pPr>
        <w:spacing w:line="360" w:lineRule="auto"/>
        <w:ind w:firstLine="480" w:firstLineChars="200"/>
        <w:rPr>
          <w:rFonts w:ascii="Times New Roman" w:hAnsi="Times New Roman"/>
          <w:color w:val="FF0000"/>
        </w:rPr>
      </w:pPr>
      <w:r>
        <w:rPr>
          <w:rFonts w:ascii="Times New Roman" w:hAnsi="Times New Roman" w:cs="Times New Roman" w:eastAsiaTheme="minorEastAsia"/>
          <w:sz w:val="24"/>
        </w:rPr>
        <w:br w:type="page"/>
      </w:r>
      <w:bookmarkEnd w:id="42"/>
    </w:p>
    <w:p>
      <w:pPr>
        <w:rPr>
          <w:rFonts w:ascii="Times New Roman" w:hAnsi="Times New Roman"/>
          <w:sz w:val="24"/>
          <w:szCs w:val="24"/>
        </w:rPr>
      </w:pPr>
    </w:p>
    <w:p>
      <w:pPr>
        <w:rPr>
          <w:rFonts w:asciiTheme="minorEastAsia" w:hAnsiTheme="minorEastAsia" w:eastAsiaTheme="minorEastAsia"/>
          <w:b/>
          <w:sz w:val="28"/>
        </w:rPr>
      </w:pPr>
    </w:p>
    <w:p>
      <w:pPr>
        <w:spacing w:line="360" w:lineRule="auto"/>
        <w:jc w:val="center"/>
        <w:outlineLvl w:val="0"/>
        <w:rPr>
          <w:rFonts w:asciiTheme="minorEastAsia" w:hAnsiTheme="minorEastAsia" w:eastAsiaTheme="minorEastAsia"/>
          <w:b/>
          <w:sz w:val="28"/>
        </w:rPr>
      </w:pPr>
      <w:bookmarkStart w:id="43" w:name="_Toc14801"/>
      <w:r>
        <w:rPr>
          <w:rFonts w:hint="eastAsia" w:asciiTheme="minorEastAsia" w:hAnsiTheme="minorEastAsia" w:eastAsiaTheme="minorEastAsia"/>
          <w:b/>
          <w:sz w:val="28"/>
        </w:rPr>
        <w:t>第四章  评审方法和标准</w:t>
      </w:r>
      <w:bookmarkEnd w:id="43"/>
    </w:p>
    <w:p>
      <w:pPr>
        <w:spacing w:line="360" w:lineRule="auto"/>
        <w:ind w:firstLine="437"/>
        <w:outlineLvl w:val="1"/>
        <w:rPr>
          <w:rFonts w:asciiTheme="minorEastAsia" w:hAnsiTheme="minorEastAsia" w:eastAsiaTheme="minorEastAsia"/>
          <w:b/>
          <w:sz w:val="24"/>
        </w:rPr>
      </w:pPr>
      <w:bookmarkStart w:id="44" w:name="_Toc29594"/>
      <w:r>
        <w:rPr>
          <w:rFonts w:hint="eastAsia" w:asciiTheme="minorEastAsia" w:hAnsiTheme="minorEastAsia" w:eastAsiaTheme="minorEastAsia"/>
          <w:b/>
          <w:sz w:val="24"/>
        </w:rPr>
        <w:t>一、总则</w:t>
      </w:r>
      <w:bookmarkEnd w:id="44"/>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w:t>
      </w:r>
      <w:r>
        <w:rPr>
          <w:rFonts w:hint="eastAsia" w:asciiTheme="minorEastAsia" w:hAnsiTheme="minorEastAsia" w:eastAsiaTheme="minorEastAsia"/>
          <w:b/>
          <w:bCs/>
          <w:sz w:val="21"/>
          <w:szCs w:val="16"/>
          <w:lang w:eastAsia="zh-CN"/>
        </w:rPr>
        <w:t>高</w:t>
      </w:r>
      <w:r>
        <w:rPr>
          <w:rFonts w:hint="eastAsia" w:asciiTheme="minorEastAsia" w:hAnsiTheme="minorEastAsia" w:eastAsiaTheme="minorEastAsia"/>
          <w:b/>
          <w:bCs/>
          <w:sz w:val="21"/>
          <w:szCs w:val="16"/>
        </w:rPr>
        <w:t>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w:t>
      </w:r>
      <w:r>
        <w:rPr>
          <w:rFonts w:hint="eastAsia" w:asciiTheme="minorEastAsia" w:hAnsiTheme="minorEastAsia" w:eastAsiaTheme="minorEastAsia"/>
          <w:b/>
          <w:sz w:val="21"/>
          <w:szCs w:val="16"/>
          <w:lang w:eastAsia="zh-CN"/>
        </w:rPr>
        <w:t>高</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5" w:name="_Toc22999"/>
      <w:r>
        <w:rPr>
          <w:rFonts w:hint="eastAsia" w:asciiTheme="minorEastAsia" w:hAnsiTheme="minorEastAsia" w:eastAsiaTheme="minorEastAsia"/>
          <w:b/>
          <w:sz w:val="24"/>
        </w:rPr>
        <w:t>二、评审方法</w:t>
      </w:r>
      <w:bookmarkEnd w:id="45"/>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223"/>
        <w:gridCol w:w="5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9"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6"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6"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6"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09" w:type="pct"/>
            <w:vAlign w:val="center"/>
          </w:tcPr>
          <w:p>
            <w:pPr>
              <w:adjustRightInd w:val="0"/>
              <w:snapToGrid w:val="0"/>
              <w:ind w:right="-10"/>
              <w:jc w:val="center"/>
              <w:rPr>
                <w:rFonts w:hint="eastAsia" w:eastAsia="宋体" w:cs="Times New Roman"/>
                <w:kern w:val="2"/>
                <w:sz w:val="21"/>
                <w:szCs w:val="21"/>
                <w:lang w:eastAsia="zh-CN"/>
              </w:rPr>
            </w:pPr>
            <w:r>
              <w:rPr>
                <w:rFonts w:hint="eastAsia" w:cs="Times New Roman"/>
                <w:kern w:val="2"/>
                <w:sz w:val="21"/>
                <w:szCs w:val="21"/>
                <w:lang w:val="en-US" w:eastAsia="zh-CN"/>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6"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6" w:name="_Toc4545"/>
      <w:bookmarkStart w:id="47" w:name="_Toc29576"/>
      <w:r>
        <w:rPr>
          <w:rFonts w:asciiTheme="minorEastAsia" w:hAnsiTheme="minorEastAsia" w:eastAsiaTheme="minorEastAsia"/>
          <w:b/>
          <w:sz w:val="24"/>
        </w:rPr>
        <w:t>三、评审程序</w:t>
      </w:r>
      <w:bookmarkEnd w:id="46"/>
      <w:bookmarkEnd w:id="47"/>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lang w:eastAsia="zh-CN"/>
        </w:rPr>
        <w:t>报价</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w:t>
      </w:r>
    </w:p>
    <w:p>
      <w:pPr>
        <w:spacing w:line="360" w:lineRule="auto"/>
        <w:ind w:firstLine="437"/>
        <w:outlineLvl w:val="1"/>
        <w:rPr>
          <w:rFonts w:asciiTheme="minorEastAsia" w:hAnsiTheme="minorEastAsia" w:eastAsiaTheme="minorEastAsia"/>
          <w:b/>
          <w:sz w:val="24"/>
        </w:rPr>
      </w:pPr>
      <w:bookmarkStart w:id="48" w:name="_Toc11842"/>
      <w:bookmarkStart w:id="49" w:name="_Toc27565"/>
      <w:r>
        <w:rPr>
          <w:rFonts w:asciiTheme="minorEastAsia" w:hAnsiTheme="minorEastAsia" w:eastAsiaTheme="minorEastAsia"/>
          <w:b/>
          <w:sz w:val="24"/>
        </w:rPr>
        <w:t>四、相关说明。</w:t>
      </w:r>
      <w:bookmarkEnd w:id="48"/>
      <w:bookmarkEnd w:id="49"/>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imes New Roman" w:hAnsi="Times New Roman"/>
          <w:b w:val="0"/>
          <w:bCs w:val="0"/>
          <w:i/>
          <w:iCs/>
          <w:color w:val="FF0000"/>
          <w:sz w:val="22"/>
          <w:szCs w:val="22"/>
          <w:lang w:val="en-US"/>
        </w:rPr>
      </w:pPr>
      <w:bookmarkStart w:id="50" w:name="_Toc29765"/>
      <w:r>
        <w:rPr>
          <w:rFonts w:hint="eastAsia" w:asciiTheme="minorEastAsia" w:hAnsiTheme="minorEastAsia" w:eastAsiaTheme="minorEastAsia"/>
          <w:b/>
          <w:sz w:val="28"/>
        </w:rPr>
        <w:t>第五章 合同</w:t>
      </w:r>
      <w:bookmarkEnd w:id="5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转让方（以下简称“甲方”）：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480"/>
        <w:jc w:val="both"/>
        <w:textAlignment w:val="auto"/>
        <w:rPr>
          <w:rFonts w:hint="eastAsia" w:ascii="微软雅黑" w:hAnsi="微软雅黑" w:eastAsia="微软雅黑" w:cs="微软雅黑"/>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受让方（以下简称“乙方”）：</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宋体" w:hAnsi="宋体" w:eastAsia="宋体" w:cs="宋体"/>
          <w:i w:val="0"/>
          <w:iCs w:val="0"/>
          <w:caps w:val="0"/>
          <w:color w:val="000000" w:themeColor="text1"/>
          <w:spacing w:val="0"/>
          <w:kern w:val="0"/>
          <w:sz w:val="24"/>
          <w:szCs w:val="24"/>
          <w:shd w:val="clear" w:fill="FFFFFF"/>
          <w:lang w:val="en-US" w:eastAsia="zh-CN" w:bidi="ar"/>
          <w14:textFill>
            <w14:solidFill>
              <w14:schemeClr w14:val="tx1"/>
            </w14:solidFill>
          </w14:textFill>
        </w:rPr>
        <w:t> </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根据《中华人民共和国民法</w:t>
      </w:r>
      <w:r>
        <w:rPr>
          <w:rFonts w:hint="eastAsia" w:ascii="Times New Roman" w:hAnsi="Times New Roman" w:cs="Times New Roman" w:eastAsiaTheme="minorEastAsia"/>
          <w:sz w:val="24"/>
          <w:szCs w:val="24"/>
          <w:lang w:val="en-US" w:eastAsia="zh-CN"/>
        </w:rPr>
        <w:t>典》等相关法律、法规规定，甲、乙双方遵循自愿、公平、诚实守信原则，经友好协商，签订本资产转让合同（以下简称“本合同”）如下：</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第一条  转让标的</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转让标的相关描述：</w:t>
      </w:r>
      <w:r>
        <w:rPr>
          <w:rFonts w:hint="eastAsia" w:ascii="Times New Roman" w:hAnsi="Times New Roman" w:cs="Times New Roman"/>
          <w:sz w:val="24"/>
          <w:szCs w:val="24"/>
          <w:lang w:val="en-US" w:eastAsia="zh-CN"/>
        </w:rPr>
        <w:t>合肥政文国际会展管理有限公司报废资产处置</w:t>
      </w:r>
      <w:r>
        <w:rPr>
          <w:rFonts w:hint="eastAsia" w:ascii="Times New Roman" w:hAnsi="Times New Roman" w:cs="Times New Roman" w:eastAsiaTheme="minorEastAsia"/>
          <w:sz w:val="24"/>
          <w:szCs w:val="24"/>
          <w:lang w:val="en-US" w:eastAsia="zh-CN"/>
        </w:rPr>
        <w:t>，详见《转让标的清单》。</w:t>
      </w:r>
    </w:p>
    <w:p>
      <w:pPr>
        <w:pStyle w:val="13"/>
        <w:keepNext w:val="0"/>
        <w:keepLines w:val="0"/>
        <w:pageBreakBefore w:val="0"/>
        <w:widowControl w:val="0"/>
        <w:kinsoku/>
        <w:wordWrap/>
        <w:overflowPunct/>
        <w:topLinePunct w:val="0"/>
        <w:autoSpaceDE/>
        <w:autoSpaceDN/>
        <w:bidi w:val="0"/>
        <w:spacing w:line="560" w:lineRule="exact"/>
        <w:textAlignment w:val="auto"/>
        <w:rPr>
          <w:rFonts w:hint="eastAsia" w:asciiTheme="minorEastAsia" w:hAnsiTheme="minorEastAsia" w:eastAsiaTheme="minorEastAsia" w:cstheme="minorEastAsia"/>
          <w:spacing w:val="6"/>
          <w:sz w:val="24"/>
          <w:szCs w:val="24"/>
          <w:highlight w:val="none"/>
          <w:lang w:val="en-US" w:eastAsia="zh-CN"/>
        </w:rPr>
      </w:pPr>
      <w:r>
        <w:rPr>
          <w:rFonts w:hint="eastAsia" w:ascii="Times New Roman" w:hAnsi="Times New Roman" w:cs="Times New Roman" w:eastAsiaTheme="minorEastAsia"/>
          <w:sz w:val="24"/>
          <w:szCs w:val="24"/>
          <w:lang w:val="en-US" w:eastAsia="zh-CN"/>
        </w:rPr>
        <w:t>转让标的详细情况见</w:t>
      </w:r>
      <w:r>
        <w:rPr>
          <w:rFonts w:hint="eastAsia" w:ascii="宋体" w:hAnsi="宋体" w:eastAsia="宋体" w:cs="宋体"/>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国众联评报字（2024）第2-1296号《资产评估报告》，资产评估总价值为人民币179588元（含税）。</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第二条　甲方的声明、保证和承诺</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（一）对转让标的拥有有效的处分权；</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（二）为签订本合同之目的向乙方提交的各项证明文件及资料均为真实、完整的；</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（三）签订本合同所需的包括但不限于授权、审批、公司内部决策等在内的一切批准手续均已取得，本合同成立的前提及先决条件均已满足；</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（四）本合同的签署与履行没有违反对甲方已签署的合同、协议及所有法律文件；</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第三条  乙方的声明、保证和承诺</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（一）具有签订和履行本合同的能力；</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（二）签订本合同所需的各项授权、审批，以及内部决策等在内的一切批准手续均已合法有效取得；</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第四条　转让价格及价款支付方式</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（一）转让价格：</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甲方将转让标的以人民币</w:t>
      </w:r>
      <w:r>
        <w:rPr>
          <w:rFonts w:hint="eastAsia" w:ascii="Times New Roman" w:hAnsi="Times New Roman" w:cs="Times New Roman" w:eastAsiaTheme="minorEastAsia"/>
          <w:sz w:val="24"/>
          <w:szCs w:val="24"/>
          <w:u w:val="single"/>
          <w:lang w:val="en-US" w:eastAsia="zh-CN"/>
        </w:rPr>
        <w:t> </w:t>
      </w:r>
      <w:r>
        <w:rPr>
          <w:rFonts w:hint="eastAsia" w:ascii="Times New Roman" w:hAnsi="Times New Roman" w:cs="Times New Roman"/>
          <w:sz w:val="24"/>
          <w:szCs w:val="24"/>
          <w:u w:val="single"/>
          <w:lang w:val="en-US" w:eastAsia="zh-CN"/>
        </w:rPr>
        <w:t xml:space="preserve">      </w:t>
      </w:r>
      <w:r>
        <w:rPr>
          <w:rFonts w:hint="eastAsia" w:ascii="Times New Roman" w:hAnsi="Times New Roman" w:cs="Times New Roman" w:eastAsiaTheme="minorEastAsia"/>
          <w:sz w:val="24"/>
          <w:szCs w:val="24"/>
          <w:u w:val="single"/>
          <w:lang w:val="en-US" w:eastAsia="zh-CN"/>
        </w:rPr>
        <w:t>   </w:t>
      </w:r>
      <w:r>
        <w:rPr>
          <w:rFonts w:hint="eastAsia" w:ascii="Times New Roman" w:hAnsi="Times New Roman" w:cs="Times New Roman" w:eastAsiaTheme="minorEastAsia"/>
          <w:sz w:val="24"/>
          <w:szCs w:val="24"/>
          <w:lang w:val="en-US" w:eastAsia="zh-CN"/>
        </w:rPr>
        <w:t>元（大写，以下简称“转让价款”）转让给乙方。</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（二）价款支付方式：</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pacing w:val="6"/>
          <w:sz w:val="24"/>
          <w:szCs w:val="24"/>
          <w:lang w:val="en-US" w:eastAsia="zh-CN"/>
        </w:rPr>
      </w:pPr>
      <w:r>
        <w:rPr>
          <w:rFonts w:hint="eastAsia" w:ascii="Times New Roman" w:hAnsi="Times New Roman" w:cs="Times New Roman" w:eastAsiaTheme="minorEastAsia"/>
          <w:sz w:val="24"/>
          <w:szCs w:val="24"/>
          <w:lang w:val="en-US" w:eastAsia="zh-CN"/>
        </w:rPr>
        <w:t>乙方须自《资产转让合同》签订之日起</w:t>
      </w:r>
      <w:r>
        <w:rPr>
          <w:rFonts w:hint="eastAsia" w:ascii="Times New Roman" w:hAnsi="Times New Roman" w:cs="Times New Roman"/>
          <w:b/>
          <w:bCs/>
          <w:sz w:val="24"/>
          <w:szCs w:val="24"/>
          <w:lang w:val="en-US" w:eastAsia="zh-CN"/>
        </w:rPr>
        <w:t>3</w:t>
      </w:r>
      <w:r>
        <w:rPr>
          <w:rFonts w:hint="eastAsia" w:ascii="Times New Roman" w:hAnsi="Times New Roman" w:cs="Times New Roman" w:eastAsiaTheme="minorEastAsia"/>
          <w:sz w:val="24"/>
          <w:szCs w:val="24"/>
          <w:lang w:val="en-US" w:eastAsia="zh-CN"/>
        </w:rPr>
        <w:t>个工作日</w:t>
      </w:r>
      <w:r>
        <w:rPr>
          <w:rFonts w:hint="eastAsia" w:asciiTheme="minorEastAsia" w:hAnsiTheme="minorEastAsia" w:eastAsiaTheme="minorEastAsia" w:cstheme="minorEastAsia"/>
          <w:spacing w:val="6"/>
          <w:sz w:val="24"/>
          <w:szCs w:val="24"/>
          <w:lang w:val="en-US" w:eastAsia="zh-CN"/>
        </w:rPr>
        <w:t>内向乙方指定账户</w:t>
      </w:r>
      <w:r>
        <w:rPr>
          <w:rFonts w:hint="eastAsia" w:asciiTheme="minorEastAsia" w:hAnsiTheme="minorEastAsia" w:cstheme="minorEastAsia"/>
          <w:spacing w:val="6"/>
          <w:sz w:val="24"/>
          <w:szCs w:val="24"/>
          <w:lang w:val="en-US" w:eastAsia="zh-CN"/>
        </w:rPr>
        <w:t>，</w:t>
      </w:r>
      <w:r>
        <w:rPr>
          <w:rFonts w:hint="eastAsia" w:asciiTheme="minorEastAsia" w:hAnsiTheme="minorEastAsia" w:eastAsiaTheme="minorEastAsia" w:cstheme="minorEastAsia"/>
          <w:spacing w:val="6"/>
          <w:sz w:val="24"/>
          <w:szCs w:val="24"/>
          <w:lang w:val="en-US" w:eastAsia="zh-CN"/>
        </w:rPr>
        <w:t>一次性付清全部转让价款</w:t>
      </w:r>
      <w:r>
        <w:rPr>
          <w:rFonts w:hint="eastAsia" w:asciiTheme="minorEastAsia" w:hAnsiTheme="minorEastAsia" w:cstheme="minorEastAsia"/>
          <w:spacing w:val="6"/>
          <w:sz w:val="24"/>
          <w:szCs w:val="24"/>
          <w:lang w:val="en-US" w:eastAsia="zh-CN"/>
        </w:rPr>
        <w:t>：</w:t>
      </w:r>
    </w:p>
    <w:p>
      <w:pPr>
        <w:keepNext w:val="0"/>
        <w:keepLines w:val="0"/>
        <w:pageBreakBefore w:val="0"/>
        <w:widowControl/>
        <w:kinsoku/>
        <w:wordWrap/>
        <w:overflowPunct/>
        <w:topLinePunct w:val="0"/>
        <w:autoSpaceDE/>
        <w:autoSpaceDN/>
        <w:bidi w:val="0"/>
        <w:spacing w:line="560" w:lineRule="exact"/>
        <w:ind w:firstLine="504" w:firstLineChars="200"/>
        <w:jc w:val="left"/>
        <w:textAlignment w:val="auto"/>
        <w:rPr>
          <w:rFonts w:hint="eastAsia" w:ascii="Times New Roman" w:hAnsi="Times New Roman"/>
          <w:bCs/>
          <w:snapToGrid w:val="0"/>
          <w:kern w:val="0"/>
          <w:sz w:val="24"/>
          <w:szCs w:val="24"/>
          <w:u w:val="none"/>
        </w:rPr>
      </w:pPr>
      <w:r>
        <w:rPr>
          <w:rFonts w:hint="eastAsia" w:asciiTheme="minorEastAsia" w:hAnsiTheme="minorEastAsia" w:eastAsiaTheme="minorEastAsia" w:cstheme="minorEastAsia"/>
          <w:spacing w:val="6"/>
          <w:sz w:val="24"/>
          <w:szCs w:val="24"/>
          <w:lang w:val="en-US" w:eastAsia="zh-CN"/>
        </w:rPr>
        <w:t>户名：</w:t>
      </w:r>
      <w:r>
        <w:rPr>
          <w:rFonts w:hint="eastAsia" w:ascii="Times New Roman" w:hAnsi="Times New Roman"/>
          <w:bCs/>
          <w:snapToGrid w:val="0"/>
          <w:kern w:val="0"/>
          <w:sz w:val="24"/>
          <w:szCs w:val="24"/>
          <w:u w:val="none"/>
        </w:rPr>
        <w:t>合肥政文国际会展管理有限公司</w:t>
      </w:r>
    </w:p>
    <w:p>
      <w:pPr>
        <w:keepNext w:val="0"/>
        <w:keepLines w:val="0"/>
        <w:pageBreakBefore w:val="0"/>
        <w:widowControl/>
        <w:kinsoku/>
        <w:wordWrap/>
        <w:overflowPunct/>
        <w:topLinePunct w:val="0"/>
        <w:autoSpaceDE/>
        <w:autoSpaceDN/>
        <w:bidi w:val="0"/>
        <w:spacing w:line="560" w:lineRule="exact"/>
        <w:ind w:firstLine="480" w:firstLineChars="200"/>
        <w:jc w:val="left"/>
        <w:textAlignment w:val="auto"/>
        <w:rPr>
          <w:rFonts w:ascii="Times New Roman" w:hAnsi="Times New Roman"/>
          <w:bCs/>
          <w:snapToGrid w:val="0"/>
          <w:kern w:val="0"/>
          <w:sz w:val="24"/>
          <w:szCs w:val="24"/>
          <w:u w:val="none"/>
        </w:rPr>
      </w:pPr>
      <w:r>
        <w:rPr>
          <w:rFonts w:ascii="Times New Roman" w:hAnsi="Times New Roman"/>
          <w:bCs/>
          <w:snapToGrid w:val="0"/>
          <w:kern w:val="0"/>
          <w:sz w:val="24"/>
          <w:szCs w:val="24"/>
          <w:u w:val="none"/>
        </w:rPr>
        <w:t>开户银行账号：</w:t>
      </w:r>
      <w:r>
        <w:rPr>
          <w:rFonts w:hint="eastAsia" w:ascii="Times New Roman" w:hAnsi="Times New Roman"/>
          <w:bCs/>
          <w:snapToGrid w:val="0"/>
          <w:kern w:val="0"/>
          <w:sz w:val="24"/>
          <w:szCs w:val="24"/>
          <w:u w:val="none"/>
        </w:rPr>
        <w:t>76690188000476007</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pacing w:val="6"/>
          <w:sz w:val="24"/>
          <w:szCs w:val="24"/>
          <w:lang w:val="en-US" w:eastAsia="zh-CN"/>
        </w:rPr>
      </w:pPr>
      <w:r>
        <w:rPr>
          <w:rFonts w:ascii="Times New Roman" w:hAnsi="Times New Roman"/>
          <w:bCs/>
          <w:snapToGrid w:val="0"/>
          <w:kern w:val="0"/>
          <w:sz w:val="24"/>
          <w:szCs w:val="24"/>
          <w:u w:val="none"/>
        </w:rPr>
        <w:t>开户银行：</w:t>
      </w:r>
      <w:r>
        <w:rPr>
          <w:rFonts w:hint="eastAsia" w:ascii="Times New Roman" w:hAnsi="Times New Roman"/>
          <w:bCs/>
          <w:snapToGrid w:val="0"/>
          <w:kern w:val="0"/>
          <w:sz w:val="24"/>
          <w:szCs w:val="24"/>
          <w:u w:val="none"/>
        </w:rPr>
        <w:t>光大银行合肥分行营业部</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第五条　转让标的交割事项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b w:val="0"/>
          <w:bCs/>
          <w:spacing w:val="6"/>
          <w:sz w:val="24"/>
          <w:szCs w:val="24"/>
          <w:highlight w:val="none"/>
          <w:lang w:val="en-US" w:eastAsia="zh-CN"/>
        </w:rPr>
      </w:pPr>
      <w:r>
        <w:rPr>
          <w:rFonts w:hint="eastAsia" w:ascii="Times New Roman" w:hAnsi="Times New Roman" w:cs="Times New Roman" w:eastAsiaTheme="minorEastAsia"/>
          <w:sz w:val="24"/>
          <w:szCs w:val="24"/>
          <w:lang w:val="en-US" w:eastAsia="zh-CN"/>
        </w:rPr>
        <w:t>（一）</w:t>
      </w:r>
      <w:r>
        <w:rPr>
          <w:rFonts w:hint="eastAsia" w:asciiTheme="minorEastAsia" w:hAnsiTheme="minorEastAsia" w:eastAsiaTheme="minorEastAsia" w:cstheme="minorEastAsia"/>
          <w:b w:val="0"/>
          <w:bCs/>
          <w:spacing w:val="6"/>
          <w:sz w:val="24"/>
          <w:szCs w:val="24"/>
          <w:highlight w:val="none"/>
          <w:lang w:val="en-US" w:eastAsia="zh-CN"/>
        </w:rPr>
        <w:t>标的以现状移交，意向受让方应在本公告期截止前现场踏勘转让标的，自行了解标的权属关系和可能涉及的相关法律法规及政策规定，自行承担因政策变化带来的一切后果及责任。凡登记的意向受让方都视同已实地踏勘转让标的，确认了标的范围、数量、重量、体积、面积、成新度和功能情况等，并认可转让资产现状及转让要求，自愿承担因上述原因导致的一切后果和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pacing w:val="6"/>
          <w:sz w:val="24"/>
          <w:szCs w:val="24"/>
          <w:highlight w:val="none"/>
          <w:lang w:val="en-US" w:eastAsia="zh-CN"/>
        </w:rPr>
      </w:pPr>
      <w:r>
        <w:rPr>
          <w:rFonts w:hint="eastAsia" w:ascii="Times New Roman" w:hAnsi="Times New Roman" w:cs="Times New Roman" w:eastAsiaTheme="minorEastAsia"/>
          <w:sz w:val="24"/>
          <w:szCs w:val="24"/>
          <w:lang w:val="en-US" w:eastAsia="zh-CN"/>
        </w:rPr>
        <w:t>（二）</w:t>
      </w:r>
      <w:r>
        <w:rPr>
          <w:rFonts w:hint="eastAsia" w:asciiTheme="minorEastAsia" w:hAnsiTheme="minorEastAsia" w:eastAsiaTheme="minorEastAsia" w:cstheme="minorEastAsia"/>
          <w:spacing w:val="6"/>
          <w:sz w:val="24"/>
          <w:szCs w:val="24"/>
          <w:highlight w:val="none"/>
          <w:lang w:val="en-US" w:eastAsia="zh-CN"/>
        </w:rPr>
        <w:t>受让方须在委托方指定的场地进行验收和交接标的，不得在委托方场地对标的进行分解、拆解。自转让价款全部付清之日起</w:t>
      </w:r>
      <w:r>
        <w:rPr>
          <w:rFonts w:hint="eastAsia" w:asciiTheme="minorEastAsia" w:hAnsiTheme="minorEastAsia" w:cstheme="minorEastAsia"/>
          <w:spacing w:val="6"/>
          <w:sz w:val="24"/>
          <w:szCs w:val="24"/>
          <w:highlight w:val="none"/>
          <w:lang w:val="en-US" w:eastAsia="zh-CN"/>
        </w:rPr>
        <w:t>1</w:t>
      </w:r>
      <w:r>
        <w:rPr>
          <w:rFonts w:hint="eastAsia" w:asciiTheme="minorEastAsia" w:hAnsiTheme="minorEastAsia" w:eastAsiaTheme="minorEastAsia" w:cstheme="minorEastAsia"/>
          <w:spacing w:val="6"/>
          <w:sz w:val="24"/>
          <w:szCs w:val="24"/>
          <w:highlight w:val="none"/>
          <w:lang w:val="en-US" w:eastAsia="zh-CN"/>
        </w:rPr>
        <w:t>5个工作日内，委托方协助受让方办理资产交接等手续。</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Theme="minorEastAsia" w:hAnsiTheme="minorEastAsia" w:eastAsiaTheme="minorEastAsia" w:cstheme="minorEastAsia"/>
          <w:spacing w:val="6"/>
          <w:sz w:val="24"/>
          <w:szCs w:val="24"/>
          <w:highlight w:val="none"/>
          <w:lang w:val="en-US" w:eastAsia="zh-CN"/>
        </w:rPr>
      </w:pPr>
      <w:r>
        <w:rPr>
          <w:rFonts w:hint="eastAsia" w:ascii="Times New Roman" w:hAnsi="Times New Roman" w:cs="Times New Roman" w:eastAsiaTheme="minorEastAsia"/>
          <w:sz w:val="24"/>
          <w:szCs w:val="24"/>
          <w:lang w:val="en-US" w:eastAsia="zh-CN"/>
        </w:rPr>
        <w:t>（三）转让资产由乙方负责拆卸、搬运或残余物处置过程中造成人身伤亡、财产损失（包括但不限于转让资产）的，由此产生的一切经济赔偿责任和法律后果均由乙方自行承担。</w:t>
      </w:r>
      <w:r>
        <w:rPr>
          <w:rFonts w:hint="eastAsia" w:asciiTheme="minorEastAsia" w:hAnsiTheme="minorEastAsia" w:eastAsiaTheme="minorEastAsia" w:cstheme="minorEastAsia"/>
          <w:b w:val="0"/>
          <w:bCs w:val="0"/>
          <w:spacing w:val="6"/>
          <w:sz w:val="24"/>
          <w:szCs w:val="24"/>
          <w:highlight w:val="none"/>
          <w:lang w:val="en-US" w:eastAsia="zh-CN"/>
        </w:rPr>
        <w:t>受让方须在签订《资产转让合同》之日起</w:t>
      </w:r>
      <w:r>
        <w:rPr>
          <w:rFonts w:hint="eastAsia" w:asciiTheme="minorEastAsia" w:hAnsiTheme="minorEastAsia" w:cstheme="minorEastAsia"/>
          <w:b w:val="0"/>
          <w:bCs w:val="0"/>
          <w:spacing w:val="6"/>
          <w:sz w:val="24"/>
          <w:szCs w:val="24"/>
          <w:highlight w:val="none"/>
          <w:lang w:val="en-US" w:eastAsia="zh-CN"/>
        </w:rPr>
        <w:t>15</w:t>
      </w:r>
      <w:r>
        <w:rPr>
          <w:rFonts w:hint="eastAsia" w:asciiTheme="minorEastAsia" w:hAnsiTheme="minorEastAsia" w:eastAsiaTheme="minorEastAsia" w:cstheme="minorEastAsia"/>
          <w:b w:val="0"/>
          <w:bCs w:val="0"/>
          <w:spacing w:val="6"/>
          <w:sz w:val="24"/>
          <w:szCs w:val="24"/>
          <w:highlight w:val="none"/>
          <w:lang w:val="en-US" w:eastAsia="zh-CN"/>
        </w:rPr>
        <w:t>日内完成标的运输工作。受让方须服从委托方安排并按照转让合同的约定在规定时间</w:t>
      </w:r>
      <w:r>
        <w:rPr>
          <w:rFonts w:hint="eastAsia" w:asciiTheme="minorEastAsia" w:hAnsiTheme="minorEastAsia" w:eastAsiaTheme="minorEastAsia" w:cstheme="minorEastAsia"/>
          <w:spacing w:val="6"/>
          <w:sz w:val="24"/>
          <w:szCs w:val="24"/>
          <w:highlight w:val="none"/>
          <w:lang w:val="en-US" w:eastAsia="zh-CN"/>
        </w:rPr>
        <w:t>内将车辆拖运完毕，车辆交接后的运输、</w:t>
      </w:r>
      <w:r>
        <w:rPr>
          <w:rFonts w:hint="eastAsia" w:asciiTheme="minorEastAsia" w:hAnsiTheme="minorEastAsia" w:cstheme="minorEastAsia"/>
          <w:spacing w:val="6"/>
          <w:sz w:val="24"/>
          <w:szCs w:val="24"/>
          <w:highlight w:val="none"/>
          <w:lang w:val="en-US" w:eastAsia="zh-CN"/>
        </w:rPr>
        <w:t>大屏</w:t>
      </w:r>
      <w:r>
        <w:rPr>
          <w:rFonts w:hint="eastAsia" w:asciiTheme="minorEastAsia" w:hAnsiTheme="minorEastAsia" w:eastAsiaTheme="minorEastAsia" w:cstheme="minorEastAsia"/>
          <w:spacing w:val="6"/>
          <w:sz w:val="24"/>
          <w:szCs w:val="24"/>
          <w:highlight w:val="none"/>
          <w:lang w:val="en-US" w:eastAsia="zh-CN"/>
        </w:rPr>
        <w:t>拆解等相关费用由受让方承担，</w:t>
      </w:r>
      <w:r>
        <w:rPr>
          <w:rFonts w:hint="eastAsia" w:asciiTheme="minorEastAsia" w:hAnsiTheme="minorEastAsia" w:cstheme="minorEastAsia"/>
          <w:b w:val="0"/>
          <w:bCs w:val="0"/>
          <w:spacing w:val="6"/>
          <w:sz w:val="24"/>
          <w:szCs w:val="24"/>
          <w:highlight w:val="none"/>
          <w:lang w:val="en-US" w:eastAsia="zh-CN"/>
        </w:rPr>
        <w:t>资产</w:t>
      </w:r>
      <w:r>
        <w:rPr>
          <w:rFonts w:hint="eastAsia" w:asciiTheme="minorEastAsia" w:hAnsiTheme="minorEastAsia" w:eastAsiaTheme="minorEastAsia" w:cstheme="minorEastAsia"/>
          <w:b w:val="0"/>
          <w:bCs w:val="0"/>
          <w:spacing w:val="6"/>
          <w:sz w:val="24"/>
          <w:szCs w:val="24"/>
          <w:highlight w:val="none"/>
          <w:lang w:val="en-US" w:eastAsia="zh-CN"/>
        </w:rPr>
        <w:t>交接后的交通安全及其他一切法律责任均由受让方负责。受让方须在完</w:t>
      </w:r>
      <w:r>
        <w:rPr>
          <w:rFonts w:hint="eastAsia" w:asciiTheme="minorEastAsia" w:hAnsiTheme="minorEastAsia" w:eastAsiaTheme="minorEastAsia" w:cstheme="minorEastAsia"/>
          <w:spacing w:val="6"/>
          <w:sz w:val="24"/>
          <w:szCs w:val="24"/>
          <w:highlight w:val="none"/>
          <w:lang w:val="en-US" w:eastAsia="zh-CN"/>
        </w:rPr>
        <w:t>成标的运输工作之日起15个工作日内办理完毕</w:t>
      </w:r>
      <w:r>
        <w:rPr>
          <w:rFonts w:hint="eastAsia" w:asciiTheme="minorEastAsia" w:hAnsiTheme="minorEastAsia" w:cstheme="minorEastAsia"/>
          <w:spacing w:val="6"/>
          <w:sz w:val="24"/>
          <w:szCs w:val="24"/>
          <w:highlight w:val="none"/>
          <w:lang w:val="en-US" w:eastAsia="zh-CN"/>
        </w:rPr>
        <w:t>资产交接</w:t>
      </w:r>
      <w:r>
        <w:rPr>
          <w:rFonts w:hint="eastAsia" w:asciiTheme="minorEastAsia" w:hAnsiTheme="minorEastAsia" w:eastAsiaTheme="minorEastAsia" w:cstheme="minorEastAsia"/>
          <w:spacing w:val="6"/>
          <w:sz w:val="24"/>
          <w:szCs w:val="24"/>
          <w:highlight w:val="none"/>
          <w:lang w:val="en-US" w:eastAsia="zh-CN"/>
        </w:rPr>
        <w:t>手续，受让方须遵守国家、省、市相关再生资源利用方面的法律、法规和政策规定，否则由此引起的一切责任均由受让方承担。转让标的拆卸、清运、残料处置等工作须按照国家安全生产、环境保护等相关法律、法规执行，服从委托方有关工作时间、人员、物品出入及安全生产等方面的现场监督与管理，并遵守如下规定：</w:t>
      </w:r>
    </w:p>
    <w:p>
      <w:pPr>
        <w:keepNext w:val="0"/>
        <w:keepLines w:val="0"/>
        <w:pageBreakBefore w:val="0"/>
        <w:widowControl w:val="0"/>
        <w:kinsoku/>
        <w:wordWrap/>
        <w:overflowPunct/>
        <w:topLinePunct w:val="0"/>
        <w:autoSpaceDE/>
        <w:autoSpaceDN/>
        <w:bidi w:val="0"/>
        <w:adjustRightInd w:val="0"/>
        <w:snapToGrid w:val="0"/>
        <w:spacing w:line="560" w:lineRule="exact"/>
        <w:ind w:firstLine="504" w:firstLineChars="200"/>
        <w:textAlignment w:val="auto"/>
        <w:rPr>
          <w:rFonts w:hint="eastAsia"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spacing w:val="6"/>
          <w:sz w:val="24"/>
          <w:szCs w:val="24"/>
          <w:highlight w:val="none"/>
          <w:lang w:val="en-US" w:eastAsia="zh-CN"/>
        </w:rPr>
        <w:t>①如在拆除过程中遇到特种作业的，须派持有特种作业操作证（如金属焊接切割等专业）的作业人员进行安全操作；</w:t>
      </w:r>
    </w:p>
    <w:p>
      <w:pPr>
        <w:keepNext w:val="0"/>
        <w:keepLines w:val="0"/>
        <w:pageBreakBefore w:val="0"/>
        <w:widowControl w:val="0"/>
        <w:kinsoku/>
        <w:wordWrap/>
        <w:overflowPunct/>
        <w:topLinePunct w:val="0"/>
        <w:autoSpaceDE/>
        <w:autoSpaceDN/>
        <w:bidi w:val="0"/>
        <w:adjustRightInd w:val="0"/>
        <w:snapToGrid w:val="0"/>
        <w:spacing w:line="560" w:lineRule="exact"/>
        <w:ind w:firstLine="504" w:firstLineChars="200"/>
        <w:textAlignment w:val="auto"/>
        <w:rPr>
          <w:rFonts w:hint="eastAsia"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spacing w:val="6"/>
          <w:sz w:val="24"/>
          <w:szCs w:val="24"/>
          <w:highlight w:val="none"/>
          <w:lang w:val="en-US" w:eastAsia="zh-CN"/>
        </w:rPr>
        <w:t>②如遇到特殊情况需要由具备相关资质的施工企业进行施工的（如爆破拆除），受让方须委托具有相关资质的单位进行拆除工作，受让方所委托的拆除人员及施工单位的资质证明等相关资料应交给委托方备案存档。</w:t>
      </w:r>
    </w:p>
    <w:p>
      <w:pPr>
        <w:keepNext w:val="0"/>
        <w:keepLines w:val="0"/>
        <w:pageBreakBefore w:val="0"/>
        <w:widowControl w:val="0"/>
        <w:kinsoku/>
        <w:wordWrap/>
        <w:overflowPunct/>
        <w:topLinePunct w:val="0"/>
        <w:autoSpaceDE/>
        <w:autoSpaceDN/>
        <w:bidi w:val="0"/>
        <w:adjustRightInd w:val="0"/>
        <w:snapToGrid w:val="0"/>
        <w:spacing w:line="560" w:lineRule="exact"/>
        <w:ind w:firstLine="504" w:firstLineChars="200"/>
        <w:textAlignment w:val="auto"/>
        <w:rPr>
          <w:rFonts w:hint="eastAsia"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spacing w:val="6"/>
          <w:sz w:val="24"/>
          <w:szCs w:val="24"/>
          <w:highlight w:val="none"/>
          <w:lang w:val="en-US" w:eastAsia="zh-CN"/>
        </w:rPr>
        <w:t>③如在对转让标的拆卸、搬运或残余物处置过程中造成人身伤亡、财产损失的，由此产生的一切经济赔偿责任和法律后果均由受让方自行承担。</w:t>
      </w:r>
    </w:p>
    <w:p>
      <w:pPr>
        <w:keepNext w:val="0"/>
        <w:keepLines w:val="0"/>
        <w:pageBreakBefore w:val="0"/>
        <w:numPr>
          <w:ilvl w:val="0"/>
          <w:numId w:val="0"/>
        </w:numPr>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四）乙方须承诺：移交转让标的时，若在拆除过程中遇到特种作业的，须派持有特种作业操作证（如金属焊接切割等专业）的作业人员进行安全操作。若遇到特殊情况需要由具备相关资质的施工企业进行施工的（如爆破拆除），乙方须委托具有相关资质的单位进行拆除工作，乙方请在报名时将相关资格证书以及资质延续核准证明、委托书及社保证明等相关资料应交给甲方备案存档。在对转让标的拆卸、搬运或残余物处置过程中如果造成人身伤亡、财产损失的，由此产生的一切经济赔偿责任和法律后果均由乙方自行承担。</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rPr>
      </w:pPr>
      <w:r>
        <w:rPr>
          <w:rFonts w:hint="eastAsia" w:cs="宋体"/>
          <w:color w:val="000000" w:themeColor="text1"/>
          <w:sz w:val="24"/>
          <w:lang w:val="en-US" w:eastAsia="zh-CN"/>
          <w14:textFill>
            <w14:solidFill>
              <w14:schemeClr w14:val="tx1"/>
            </w14:solidFill>
          </w14:textFill>
        </w:rPr>
        <w:t>（五）</w:t>
      </w:r>
      <w:r>
        <w:rPr>
          <w:rFonts w:hint="eastAsia" w:ascii="宋体" w:hAnsi="宋体" w:eastAsia="宋体" w:cs="宋体"/>
          <w:color w:val="000000" w:themeColor="text1"/>
          <w:sz w:val="24"/>
          <w:lang w:val="en-US" w:eastAsia="zh-CN"/>
          <w14:textFill>
            <w14:solidFill>
              <w14:schemeClr w14:val="tx1"/>
            </w14:solidFill>
          </w14:textFill>
        </w:rPr>
        <w:t>转让资产</w:t>
      </w:r>
      <w:r>
        <w:rPr>
          <w:rFonts w:hint="eastAsia" w:ascii="宋体" w:hAnsi="宋体" w:eastAsia="宋体" w:cs="宋体"/>
          <w:color w:val="000000" w:themeColor="text1"/>
          <w:sz w:val="24"/>
          <w14:textFill>
            <w14:solidFill>
              <w14:schemeClr w14:val="tx1"/>
            </w14:solidFill>
          </w14:textFill>
        </w:rPr>
        <w:t>中可能包含有《废弃电器电子产品处理管理条例》所列废弃电器电子产品，</w:t>
      </w:r>
      <w:r>
        <w:rPr>
          <w:rFonts w:hint="eastAsia" w:ascii="宋体" w:hAnsi="宋体" w:eastAsia="宋体" w:cs="宋体"/>
          <w:color w:val="000000" w:themeColor="text1"/>
          <w:sz w:val="24"/>
          <w:lang w:val="en-US" w:eastAsia="zh-CN"/>
          <w14:textFill>
            <w14:solidFill>
              <w14:schemeClr w14:val="tx1"/>
            </w14:solidFill>
          </w14:textFill>
        </w:rPr>
        <w:t>乙</w:t>
      </w:r>
      <w:r>
        <w:rPr>
          <w:rFonts w:hint="eastAsia" w:ascii="宋体" w:hAnsi="宋体" w:eastAsia="宋体" w:cs="宋体"/>
          <w:color w:val="000000" w:themeColor="text1"/>
          <w:sz w:val="24"/>
          <w14:textFill>
            <w14:solidFill>
              <w14:schemeClr w14:val="tx1"/>
            </w14:solidFill>
          </w14:textFill>
        </w:rPr>
        <w:t>方应在本公告期内自行对转让标的进行全面了解，并对照《废弃电器电子产品处理管理条例》及《废弃电器电子产品处理目录》对转让标的进行勘察。根据《废弃电器电子产品回收处理管理条例》（国务院令第551号）的规定，列入《废弃电器电子产品处理目录》的废弃电器电子产品的处理活动是指将废弃电器电子产品进行拆解，从中提取物质作为原材料或燃料，用改变废弃电器电子产品物理、化学特性的方法减少已产生的废弃电器电子产品数量，减少或消除其危害成分，以及将其最终置于符合环境保护要求的填埋场的活动，不包括产品维修、翻新以及经维修、翻新后作为旧货再使用的活动。</w:t>
      </w:r>
      <w:r>
        <w:rPr>
          <w:rFonts w:hint="eastAsia" w:ascii="宋体" w:hAnsi="宋体" w:eastAsia="宋体" w:cs="宋体"/>
          <w:color w:val="000000" w:themeColor="text1"/>
          <w:sz w:val="24"/>
          <w:lang w:val="en-US" w:eastAsia="zh-CN"/>
          <w14:textFill>
            <w14:solidFill>
              <w14:schemeClr w14:val="tx1"/>
            </w14:solidFill>
          </w14:textFill>
        </w:rPr>
        <w:t>乙方</w:t>
      </w:r>
      <w:r>
        <w:rPr>
          <w:rFonts w:hint="eastAsia" w:ascii="宋体" w:hAnsi="宋体" w:eastAsia="宋体" w:cs="宋体"/>
          <w:color w:val="000000" w:themeColor="text1"/>
          <w:sz w:val="24"/>
          <w14:textFill>
            <w14:solidFill>
              <w14:schemeClr w14:val="tx1"/>
            </w14:solidFill>
          </w14:textFill>
        </w:rPr>
        <w:t>对列入《废弃电器电子产品处理目录》的废弃电器电子产品的处理活动应当取得废弃电器电子产品处理资格；未取得处理资格的，应当将其交由有废弃电器电子产品处理资格的处理企业处理。</w:t>
      </w:r>
      <w:r>
        <w:rPr>
          <w:rFonts w:hint="eastAsia" w:ascii="宋体" w:hAnsi="宋体" w:eastAsia="宋体" w:cs="宋体"/>
          <w:color w:val="000000" w:themeColor="text1"/>
          <w:sz w:val="24"/>
          <w:lang w:val="en-US" w:eastAsia="zh-CN"/>
          <w14:textFill>
            <w14:solidFill>
              <w14:schemeClr w14:val="tx1"/>
            </w14:solidFill>
          </w14:textFill>
        </w:rPr>
        <w:t>若乙方未按照上述要求完成对废弃电子产品的处理，一切责任由乙方自行承担</w:t>
      </w:r>
      <w:r>
        <w:rPr>
          <w:rFonts w:hint="eastAsia" w:cs="宋体"/>
          <w:color w:val="000000" w:themeColor="text1"/>
          <w:sz w:val="24"/>
          <w:lang w:val="en-US"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第六条　转让税费的承担</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转让过程中涉及的相关税费等，均由乙方承担。</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第七条 特别约定</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甲、乙双方必须严格按照产权转让公告及有关承诺签订资产转让合同，不得擅自变更。甲、乙双方不得再行订立背离合同实质性内容的其他协议。对因双方擅自变更合同引起的合同风险及任何问题由双方自行承担。</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第八条 违约责任</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（一）因任何一方违约而给守约方造成损失的，违约方应赔偿守约方的损失。</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（二）如乙方未能按照本合同第四条约定支付转让价款，甲方有权解除合同，并要求乙方赔偿合同标的额20%的违约金。</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（三）如乙方未能按照本合同“第五条 转让标的交割事项”约定完成</w:t>
      </w:r>
      <w:r>
        <w:rPr>
          <w:rFonts w:hint="eastAsia" w:ascii="Times New Roman" w:hAnsi="Times New Roman" w:cs="Times New Roman"/>
          <w:sz w:val="24"/>
          <w:szCs w:val="24"/>
          <w:lang w:val="en-US" w:eastAsia="zh-CN"/>
        </w:rPr>
        <w:t>资产</w:t>
      </w:r>
      <w:r>
        <w:rPr>
          <w:rFonts w:hint="eastAsia" w:ascii="Times New Roman" w:hAnsi="Times New Roman" w:cs="Times New Roman" w:eastAsiaTheme="minorEastAsia"/>
          <w:sz w:val="24"/>
          <w:szCs w:val="24"/>
          <w:lang w:val="en-US" w:eastAsia="zh-CN"/>
        </w:rPr>
        <w:t>运输及报废，每迟延1天，甲方有权在本合同规定的最后的期限次日起按每日</w:t>
      </w:r>
      <w:r>
        <w:rPr>
          <w:rFonts w:hint="eastAsia" w:ascii="Times New Roman" w:hAnsi="Times New Roman" w:cs="Times New Roman"/>
          <w:sz w:val="24"/>
          <w:szCs w:val="24"/>
          <w:lang w:val="en-US" w:eastAsia="zh-CN"/>
        </w:rPr>
        <w:t>100</w:t>
      </w:r>
      <w:r>
        <w:rPr>
          <w:rFonts w:hint="eastAsia" w:ascii="Times New Roman" w:hAnsi="Times New Roman" w:cs="Times New Roman" w:eastAsiaTheme="minorEastAsia"/>
          <w:sz w:val="24"/>
          <w:szCs w:val="24"/>
          <w:lang w:val="en-US" w:eastAsia="zh-CN"/>
        </w:rPr>
        <w:t>元的标准向乙方追究违约责任，若乙方逾期超过10日仍未继续履行合同，甲方有权解除合同，并要求乙方赔偿违约金</w:t>
      </w:r>
      <w:r>
        <w:rPr>
          <w:rFonts w:hint="eastAsia" w:ascii="Times New Roman" w:hAnsi="Times New Roman" w:cs="Times New Roman"/>
          <w:sz w:val="24"/>
          <w:szCs w:val="24"/>
          <w:lang w:val="en-US" w:eastAsia="zh-CN"/>
        </w:rPr>
        <w:t>5000</w:t>
      </w:r>
      <w:r>
        <w:rPr>
          <w:rFonts w:hint="eastAsia" w:ascii="Times New Roman" w:hAnsi="Times New Roman" w:cs="Times New Roman" w:eastAsiaTheme="minorEastAsia"/>
          <w:sz w:val="24"/>
          <w:szCs w:val="24"/>
          <w:lang w:val="en-US" w:eastAsia="zh-CN"/>
        </w:rPr>
        <w:t>元。</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第九条 争议的解决方式</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本合同在履行中发生争议，由甲、乙双方协商解决。协商不成的，甲、乙双方同意采用以下第1种方式解决。因乙方违约造成甲方损失的，乙方还应赔偿甲方为维护自身合法权益而支出的包括但不限于诉讼费、律师费、差旅费、文印费、诉讼保全保险费等一切支出。</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1.向甲方所在地仲裁机构提请仲裁；</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2.向甲方所在地区人民法院起诉。</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第十条 合同的生效</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本合同经甲、乙双方法定代表人或授权代表签字、盖章后生效。</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第十一条 其他约定事项</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本合同一式</w:t>
      </w:r>
      <w:r>
        <w:rPr>
          <w:rFonts w:hint="eastAsia" w:ascii="Times New Roman" w:hAnsi="Times New Roman" w:cs="Times New Roman"/>
          <w:sz w:val="24"/>
          <w:szCs w:val="24"/>
          <w:lang w:val="en-US" w:eastAsia="zh-CN"/>
        </w:rPr>
        <w:t>四</w:t>
      </w:r>
      <w:r>
        <w:rPr>
          <w:rFonts w:hint="eastAsia" w:ascii="Times New Roman" w:hAnsi="Times New Roman" w:cs="Times New Roman" w:eastAsiaTheme="minorEastAsia"/>
          <w:sz w:val="24"/>
          <w:szCs w:val="24"/>
          <w:lang w:val="en-US" w:eastAsia="zh-CN"/>
        </w:rPr>
        <w:t>份，其中甲方执二份，乙方执二份。</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 </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甲方（盖章）：                   </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乙方（盖章）：</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法定代表人/授权代表：           </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 法定代表人/授权代表：</w:t>
      </w:r>
    </w:p>
    <w:p>
      <w:pPr>
        <w:keepNext w:val="0"/>
        <w:keepLines w:val="0"/>
        <w:pageBreakBefore w:val="0"/>
        <w:kinsoku/>
        <w:wordWrap/>
        <w:overflowPunct/>
        <w:topLinePunct w:val="0"/>
        <w:autoSpaceDE/>
        <w:autoSpaceDN/>
        <w:bidi w:val="0"/>
        <w:spacing w:line="5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 </w:t>
      </w:r>
    </w:p>
    <w:p>
      <w:pPr>
        <w:keepNext w:val="0"/>
        <w:keepLines w:val="0"/>
        <w:pageBreakBefore w:val="0"/>
        <w:kinsoku/>
        <w:wordWrap/>
        <w:overflowPunct/>
        <w:topLinePunct w:val="0"/>
        <w:autoSpaceDE/>
        <w:autoSpaceDN/>
        <w:bidi w:val="0"/>
        <w:spacing w:line="460" w:lineRule="exact"/>
        <w:ind w:firstLine="480" w:firstLineChars="200"/>
        <w:textAlignment w:val="auto"/>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lang w:val="en-US" w:eastAsia="zh-CN"/>
        </w:rPr>
        <w:t>联系电话：                       </w:t>
      </w:r>
      <w:r>
        <w:rPr>
          <w:rFonts w:hint="eastAsia" w:ascii="Times New Roman" w:hAnsi="Times New Roman" w:cs="Times New Roman"/>
          <w:sz w:val="24"/>
          <w:szCs w:val="24"/>
          <w:lang w:val="en-US" w:eastAsia="zh-CN"/>
        </w:rPr>
        <w:t xml:space="preserve">                     </w:t>
      </w:r>
      <w:r>
        <w:rPr>
          <w:rFonts w:hint="eastAsia" w:ascii="Times New Roman" w:hAnsi="Times New Roman" w:cs="Times New Roman" w:eastAsiaTheme="minorEastAsia"/>
          <w:sz w:val="24"/>
          <w:szCs w:val="24"/>
          <w:lang w:val="en-US" w:eastAsia="zh-CN"/>
        </w:rPr>
        <w:t>联系电话：      </w:t>
      </w:r>
    </w:p>
    <w:p>
      <w:pPr>
        <w:keepNext w:val="0"/>
        <w:keepLines w:val="0"/>
        <w:pageBreakBefore w:val="0"/>
        <w:kinsoku/>
        <w:wordWrap/>
        <w:overflowPunct/>
        <w:topLinePunct w:val="0"/>
        <w:autoSpaceDE/>
        <w:autoSpaceDN/>
        <w:bidi w:val="0"/>
        <w:adjustRightInd w:val="0"/>
        <w:snapToGrid w:val="0"/>
        <w:spacing w:line="460" w:lineRule="exac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pStyle w:val="55"/>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p>
    <w:p>
      <w:pPr>
        <w:pStyle w:val="55"/>
        <w:keepNext w:val="0"/>
        <w:keepLines w:val="0"/>
        <w:pageBreakBefore w:val="0"/>
        <w:kinsoku/>
        <w:wordWrap/>
        <w:overflowPunct/>
        <w:topLinePunct w:val="0"/>
        <w:autoSpaceDE/>
        <w:autoSpaceDN/>
        <w:bidi w:val="0"/>
        <w:spacing w:line="460" w:lineRule="exact"/>
        <w:textAlignment w:val="auto"/>
        <w:rPr>
          <w:rFonts w:hint="eastAsia" w:ascii="宋体" w:hAnsi="宋体" w:eastAsia="宋体" w:cs="宋体"/>
          <w:i w:val="0"/>
          <w:iCs w:val="0"/>
          <w:caps w:val="0"/>
          <w:color w:val="333333"/>
          <w:spacing w:val="0"/>
          <w:kern w:val="0"/>
          <w:sz w:val="24"/>
          <w:szCs w:val="2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60" w:lineRule="exact"/>
        <w:ind w:left="0" w:right="0" w:firstLine="480"/>
        <w:jc w:val="both"/>
        <w:textAlignment w:val="auto"/>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shd w:val="clear" w:fill="FFFFFF"/>
          <w:lang w:val="en-US" w:eastAsia="zh-CN" w:bidi="ar"/>
        </w:rPr>
        <w:t>                         </w:t>
      </w: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2"/>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w:t>
      </w:r>
      <w:r>
        <w:rPr>
          <w:rFonts w:hint="default" w:ascii="Times New Roman" w:hAnsi="Times New Roman" w:eastAsia="仿宋_GB2312" w:cs="Times New Roman"/>
          <w:sz w:val="26"/>
          <w:szCs w:val="2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rPr>
        <w:t>乙方</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u w:val="single"/>
          <w:lang w:val="en-US" w:eastAsia="zh-CN"/>
        </w:rPr>
        <w:t xml:space="preserve">                                 </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为进一步</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落实生产经营活动</w:t>
      </w: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廉政</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要求</w:t>
      </w: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，维护</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双方</w:t>
      </w: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合法权益，有效防止发生商业贿赂、谋取不正当利益和不正当竞争等违法违规违纪行为和经济犯罪，共同维护</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经济</w:t>
      </w: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秩序，确保</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生产经营活动廉洁有序</w:t>
      </w: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和</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双方</w:t>
      </w: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工作人员廉洁自律、诚实守信，努力在</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生产经营活动中</w:t>
      </w: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形成</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清正廉洁</w:t>
      </w:r>
      <w:r>
        <w:rPr>
          <w:rFonts w:hint="default" w:ascii="Times New Roman" w:hAnsi="Times New Roman" w:eastAsia="仿宋_GB2312" w:cs="Times New Roman"/>
          <w:i w:val="0"/>
          <w:iCs w:val="0"/>
          <w:caps w:val="0"/>
          <w:color w:val="000000" w:themeColor="text1"/>
          <w:spacing w:val="7"/>
          <w:sz w:val="26"/>
          <w:szCs w:val="26"/>
          <w:shd w:val="clear" w:fill="FFFFFF"/>
          <w14:textFill>
            <w14:solidFill>
              <w14:schemeClr w14:val="tx1"/>
            </w14:solidFill>
          </w14:textFill>
        </w:rPr>
        <w:t>的价值取向，</w:t>
      </w:r>
      <w:r>
        <w:rPr>
          <w:rFonts w:hint="default" w:ascii="Times New Roman" w:hAnsi="Times New Roman" w:eastAsia="仿宋_GB2312" w:cs="Times New Roman"/>
          <w:i w:val="0"/>
          <w:iCs w:val="0"/>
          <w:caps w:val="0"/>
          <w:color w:val="000000" w:themeColor="text1"/>
          <w:spacing w:val="7"/>
          <w:sz w:val="26"/>
          <w:szCs w:val="26"/>
          <w:shd w:val="clear" w:fill="FFFFFF"/>
          <w:lang w:val="en-US" w:eastAsia="zh-CN"/>
          <w14:textFill>
            <w14:solidFill>
              <w14:schemeClr w14:val="tx1"/>
            </w14:solidFill>
          </w14:textFill>
        </w:rPr>
        <w:t>双方根据</w:t>
      </w:r>
      <w:r>
        <w:rPr>
          <w:rFonts w:hint="default" w:ascii="Times New Roman" w:hAnsi="Times New Roman" w:eastAsia="仿宋_GB2312" w:cs="Times New Roman"/>
          <w:color w:val="000000" w:themeColor="text1"/>
          <w:sz w:val="26"/>
          <w:szCs w:val="26"/>
          <w14:textFill>
            <w14:solidFill>
              <w14:schemeClr w14:val="tx1"/>
            </w14:solidFill>
          </w14:textFill>
        </w:rPr>
        <w:t>《中华人民共和国反不正当竞争法》</w:t>
      </w:r>
      <w:r>
        <w:rPr>
          <w:rFonts w:hint="default" w:ascii="Times New Roman" w:hAnsi="Times New Roman" w:eastAsia="仿宋_GB2312" w:cs="Times New Roman"/>
          <w:color w:val="000000" w:themeColor="text1"/>
          <w:sz w:val="26"/>
          <w:szCs w:val="26"/>
          <w:lang w:val="en-US" w:eastAsia="zh-CN"/>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t>相关法律法规和廉政建设的有关规定，签订本协议。</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7"/>
          <w:kern w:val="0"/>
          <w:sz w:val="26"/>
          <w:szCs w:val="26"/>
          <w:shd w:val="clear" w:fill="FFFFFF"/>
          <w:lang w:val="en-US" w:eastAsia="zh-CN" w:bidi="ar"/>
          <w14:textFill>
            <w14:solidFill>
              <w14:schemeClr w14:val="tx1"/>
            </w14:solidFill>
          </w14:textFill>
        </w:rPr>
        <w:t>第一条 甲方和乙方责任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t>（一）双方及工作人员应当严格遵守法律法规和廉政建设的有关规定。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t>（二）双方及工作人员均应在生产经营活动中全面履行合同内容及廉政协议各项规定，自觉按合同办事。</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t>（三）双方业务活动应当坚持公开、公正、诚信、透明原则（法律法规另有规定的除外），严禁损害国家、集体和对方利益，不得进行不正当交易活动。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t>（四）双方在业务活动中发现对方有违规、违纪、违法行为的，应及时提醒对方，并向本单位和对方单位领导报告；情节严重的，应向其上级主管部门、监督部门或纪检监察部门举报。</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黑体" w:cs="Times New Roman"/>
          <w:b w:val="0"/>
          <w:bCs w:val="0"/>
          <w:i w:val="0"/>
          <w:iCs w:val="0"/>
          <w:caps w:val="0"/>
          <w:color w:val="000000" w:themeColor="text1"/>
          <w:spacing w:val="7"/>
          <w:kern w:val="0"/>
          <w:sz w:val="26"/>
          <w:szCs w:val="26"/>
          <w:shd w:val="clear" w:fill="FFFFFF"/>
          <w:lang w:val="en-US" w:eastAsia="zh-CN" w:bidi="ar"/>
          <w14:textFill>
            <w14:solidFill>
              <w14:schemeClr w14:val="tx1"/>
            </w14:solidFill>
          </w14:textFill>
        </w:rPr>
        <w:t> 第二条 甲方责任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48" w:firstLineChars="200"/>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000000" w:themeColor="text1"/>
          <w:spacing w:val="7"/>
          <w:kern w:val="0"/>
          <w:sz w:val="26"/>
          <w:szCs w:val="26"/>
          <w:shd w:val="clear" w:fill="FFFFFF"/>
          <w:lang w:val="en-US" w:eastAsia="zh-CN" w:bidi="ar"/>
          <w14:textFill>
            <w14:solidFill>
              <w14:schemeClr w14:val="tx1"/>
            </w14:solidFill>
          </w14:textFill>
        </w:rPr>
        <w:t>（二）甲方及工作人员要严格遵守廉洁从业各项规定，不准以任</w:t>
      </w:r>
      <w:r>
        <w:rPr>
          <w:rFonts w:hint="default" w:ascii="Times New Roman" w:hAnsi="Times New Roman" w:eastAsia="仿宋_GB2312" w:cs="Times New Roman"/>
          <w:i w:val="0"/>
          <w:iCs w:val="0"/>
          <w:caps w:val="0"/>
          <w:spacing w:val="7"/>
          <w:kern w:val="0"/>
          <w:sz w:val="26"/>
          <w:szCs w:val="26"/>
          <w:shd w:val="clear" w:fill="FFFFFF"/>
          <w:lang w:val="en-US" w:eastAsia="zh-CN" w:bidi="ar"/>
        </w:rPr>
        <w:t>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default" w:ascii="Times New Roman" w:hAnsi="Times New Roman" w:eastAsia="仿宋_GB2312" w:cs="Times New Roman"/>
          <w:sz w:val="26"/>
          <w:szCs w:val="26"/>
        </w:rPr>
        <w:t>手续费、加班费、咨询费、劳务费、协调费</w:t>
      </w:r>
      <w:r>
        <w:rPr>
          <w:rFonts w:hint="default" w:ascii="Times New Roman" w:hAnsi="Times New Roman" w:eastAsia="仿宋_GB2312" w:cs="Times New Roman"/>
          <w:i w:val="0"/>
          <w:iCs w:val="0"/>
          <w:caps w:val="0"/>
          <w:spacing w:val="7"/>
          <w:kern w:val="0"/>
          <w:sz w:val="26"/>
          <w:szCs w:val="26"/>
          <w:shd w:val="clear" w:fill="FFFFFF"/>
          <w:lang w:val="en-US" w:eastAsia="zh-CN" w:bidi="ar"/>
        </w:rPr>
        <w:t>）及回扣；不得向乙方报销任何应由甲方或个人支付的费用；不得借用、租用乙方的交通、通信工具等物品；不得参加乙方举办的与正常工作无</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（三）甲方工作人员不得推荐配偶、子女、亲属承包或从事与业务有关的</w:t>
      </w:r>
      <w:r>
        <w:rPr>
          <w:rFonts w:hint="default" w:ascii="Times New Roman" w:hAnsi="Times New Roman" w:eastAsia="仿宋_GB2312" w:cs="Times New Roman"/>
          <w:color w:val="auto"/>
          <w:sz w:val="26"/>
          <w:szCs w:val="26"/>
        </w:rPr>
        <w:t>经济活动</w:t>
      </w:r>
      <w:r>
        <w:rPr>
          <w:rFonts w:hint="default" w:ascii="Times New Roman" w:hAnsi="Times New Roman" w:eastAsia="仿宋_GB2312" w:cs="Times New Roman"/>
          <w:color w:val="auto"/>
          <w:sz w:val="26"/>
          <w:szCs w:val="26"/>
          <w:lang w:eastAsia="zh-CN"/>
        </w:rPr>
        <w:t>（</w:t>
      </w:r>
      <w:r>
        <w:rPr>
          <w:rFonts w:hint="default" w:ascii="Times New Roman" w:hAnsi="Times New Roman" w:eastAsia="仿宋_GB2312" w:cs="Times New Roman"/>
          <w:color w:val="auto"/>
          <w:sz w:val="26"/>
          <w:szCs w:val="26"/>
          <w:lang w:val="en-US" w:eastAsia="zh-CN"/>
        </w:rPr>
        <w:t>如</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工程分包、材料供应、设备租赁、咨询服务、组织劳务等）；不得向乙方推荐分包单位；不得要求乙方购买规定外的材料和设备。</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（四）甲方工作人员不准要求、暗示或接受乙方和相关单位为其装修住房、婚丧嫁娶、配偶子女工作安排以及出国（境）、旅游等提供方便；不得以挂职兼职名义在乙方和相关单位领取工资津贴。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（五）甲方不得明示或暗示乙方转包、分包、肢解项目和购置材料设备等形式谋取利益；不准就项目承包、设备材料供应、项目费用、工作量变动、项目验收、质量安全问题处理等进行私下商谈或达成默契。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（六）甲方委托全过程咨询、代建等单位进行项目管理的，项目管理单位也要落实廉政协议中明确的甲方责任，甲方有责任加强对项目管理单位的廉政教育和监督管理，不因委托管理免除甲方廉政责任。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（七）甲方不得进行违反廉政规定的任何其他活动。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 第三条 乙方责任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（一）乙方有权了解甲方有关廉政建设的各项制度和规定，支持甲方执行有关规定和制度。</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（二）乙方应与甲方保持正常的业务关系，按照有关法律法规和程序开展业务工作，严格执行严格遵守法律法规和廉政建设的有关规定。</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（四）乙方不准为甲方或个人装修住房、婚丧嫁娶、配偶子女工作安排以及出国（境）、旅游等提供方便；不得在乙方相关单位以挂职兼职名义安排甲方相关人员领取工资津贴。</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五）乙方不准以转包、分包、肢解项目和购置材料设备等形式为甲方或个人谋取利益；不准与甲方就项目承包、设备材料供应、项目费用、工作量变动、项目验收、质量安全问题处理等进行私下商谈或达成默契。</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（七）乙方不得进行违反廉政规定的任何其他活动。</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第四条 违约责任</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（一）乙方发现甲方工作人员违反本协议第一条、第二条规定的，应立即向甲方通报相关情况，责令停止相关行为，同时向纪检监察机关举报，追究相关人员责任。给乙方造成的损失，应按有关规定予以赔偿。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（二）甲方发现乙方工作人员有违反本合同第一条、第三条规定的，应立即向乙方通报相关情况，责令停止相关行为，同时向纪检监察机关举报，追究相关人员责任。给甲方造成的损失，应按有关规定予以赔偿。</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both"/>
        <w:textAlignment w:val="auto"/>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pPr>
      <w:r>
        <w:rPr>
          <w:rFonts w:hint="default" w:ascii="Times New Roman" w:hAnsi="Times New Roman" w:eastAsia="黑体" w:cs="Times New Roman"/>
          <w:b w:val="0"/>
          <w:bCs w:val="0"/>
          <w:i w:val="0"/>
          <w:iCs w:val="0"/>
          <w:caps w:val="0"/>
          <w:color w:val="auto"/>
          <w:spacing w:val="7"/>
          <w:kern w:val="0"/>
          <w:sz w:val="26"/>
          <w:szCs w:val="26"/>
          <w:shd w:val="clear" w:fill="FFFFFF"/>
          <w:lang w:val="en-US" w:eastAsia="zh-CN" w:bidi="ar"/>
        </w:rPr>
        <w:t>第五条 其它</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right="0" w:firstLine="548" w:firstLineChars="200"/>
        <w:jc w:val="left"/>
        <w:textAlignment w:val="auto"/>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pP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（一）本协议作为</w:t>
      </w:r>
      <w:r>
        <w:rPr>
          <w:rFonts w:hint="default"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eastAsia"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u w:val="single"/>
          <w:shd w:val="clear" w:fill="FFFFFF"/>
          <w:lang w:val="en-US" w:eastAsia="zh-CN" w:bidi="ar"/>
        </w:rPr>
        <w:t xml:space="preserve">   </w:t>
      </w:r>
      <w:r>
        <w:rPr>
          <w:rFonts w:hint="default" w:ascii="Times New Roman" w:hAnsi="Times New Roman" w:eastAsia="仿宋_GB2312" w:cs="Times New Roman"/>
          <w:i w:val="0"/>
          <w:iCs w:val="0"/>
          <w:caps w:val="0"/>
          <w:color w:val="auto"/>
          <w:spacing w:val="7"/>
          <w:kern w:val="0"/>
          <w:sz w:val="26"/>
          <w:szCs w:val="26"/>
          <w:shd w:val="clear" w:fill="FFFFFF"/>
          <w:lang w:val="en-US" w:eastAsia="zh-CN" w:bidi="ar"/>
        </w:rPr>
        <w:t>合同的附件应一并签订、保管，与该合同具有同等法律效力。经双方签署后即生效。</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（二）本协议未尽事宜，双方可以增补条款，增补内容如下：</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1.</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2.</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3.</w:t>
      </w:r>
      <w:r>
        <w:rPr>
          <w:rFonts w:hint="default" w:ascii="Times New Roman" w:hAnsi="Times New Roman" w:eastAsia="仿宋_GB2312" w:cs="Times New Roman"/>
          <w:b w:val="0"/>
          <w:bCs w:val="0"/>
          <w:i w:val="0"/>
          <w:iCs w:val="0"/>
          <w:caps w:val="0"/>
          <w:spacing w:val="7"/>
          <w:kern w:val="0"/>
          <w:sz w:val="26"/>
          <w:szCs w:val="26"/>
          <w:u w:val="single"/>
          <w:shd w:val="clear" w:fill="FFFFFF"/>
          <w:lang w:val="en-US" w:eastAsia="zh-CN" w:bidi="ar"/>
        </w:rPr>
        <w:t>                                                   </w:t>
      </w:r>
      <w:r>
        <w:rPr>
          <w:rFonts w:hint="eastAsia" w:ascii="Times New Roman" w:hAnsi="Times New Roman" w:eastAsia="仿宋_GB2312" w:cs="Times New Roman"/>
          <w:b w:val="0"/>
          <w:bCs w:val="0"/>
          <w:i w:val="0"/>
          <w:iCs w:val="0"/>
          <w:caps w:val="0"/>
          <w:spacing w:val="7"/>
          <w:kern w:val="0"/>
          <w:sz w:val="26"/>
          <w:szCs w:val="26"/>
          <w:u w:val="none"/>
          <w:shd w:val="clear" w:fill="FFFFFF"/>
          <w:lang w:val="en-US" w:eastAsia="zh-CN" w:bidi="ar"/>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（三）本协议的有效期为双方签字盖章之日起至合同履行完成时止。但对隐蔽性强，后期发现属于该项目双方违法违纪违规行为的，应当按照此合同约定的相关规定执行。</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（四）</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双方监督联系方式</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 xml:space="preserve">1. </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合肥政文国际会展管理有限公司</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及安徽国科农展会展有限公司</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方式一、合肥政文国际会展管理有限公司督查室，联系电话：0551-65790135。举报邮箱：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zwecc_DCS@163.com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方式二、合肥文旅博览集团有限公司纪委纪检监察室，联系电话：0551-63539209，举报邮箱：</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begin"/>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instrText xml:space="preserve"> HYPERLINK "mailto:zt_jcsjb@163.com" </w:instrTex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separate"/>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zt_jcsjb@163.com</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fldChar w:fldCharType="end"/>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520" w:firstLineChars="200"/>
        <w:textAlignment w:val="auto"/>
        <w:rPr>
          <w:rFonts w:hint="default" w:ascii="Times New Roman" w:hAnsi="Times New Roman" w:eastAsia="仿宋_GB2312" w:cs="Times New Roman"/>
          <w:sz w:val="26"/>
          <w:szCs w:val="26"/>
          <w:u w:val="single"/>
          <w:lang w:val="en-US" w:eastAsia="zh-CN"/>
        </w:rPr>
      </w:pPr>
      <w:r>
        <w:rPr>
          <w:rFonts w:hint="default" w:ascii="Times New Roman" w:hAnsi="Times New Roman" w:eastAsia="仿宋_GB2312" w:cs="Times New Roman"/>
          <w:sz w:val="26"/>
          <w:szCs w:val="26"/>
          <w:u w:val="single"/>
          <w:lang w:val="en-US" w:eastAsia="zh-CN"/>
        </w:rPr>
        <w:t xml:space="preserve">                                 </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监督部门（名称）：</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联系电话：</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640"/>
        <w:jc w:val="both"/>
        <w:textAlignment w:val="auto"/>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pP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（五）本协议双方至少各执一</w:t>
      </w:r>
      <w:r>
        <w:rPr>
          <w:rFonts w:hint="eastAsia" w:ascii="Times New Roman" w:hAnsi="Times New Roman" w:eastAsia="仿宋_GB2312" w:cs="Times New Roman"/>
          <w:b w:val="0"/>
          <w:bCs w:val="0"/>
          <w:i w:val="0"/>
          <w:iCs w:val="0"/>
          <w:caps w:val="0"/>
          <w:spacing w:val="7"/>
          <w:kern w:val="0"/>
          <w:sz w:val="26"/>
          <w:szCs w:val="26"/>
          <w:shd w:val="clear" w:fill="FFFFFF"/>
          <w:lang w:val="en-US" w:eastAsia="zh-CN" w:bidi="ar"/>
        </w:rPr>
        <w:t>份</w:t>
      </w:r>
      <w:r>
        <w:rPr>
          <w:rFonts w:hint="default" w:ascii="Times New Roman" w:hAnsi="Times New Roman" w:eastAsia="仿宋_GB2312" w:cs="Times New Roman"/>
          <w:b w:val="0"/>
          <w:bCs w:val="0"/>
          <w:i w:val="0"/>
          <w:iCs w:val="0"/>
          <w:caps w:val="0"/>
          <w:spacing w:val="7"/>
          <w:kern w:val="0"/>
          <w:sz w:val="26"/>
          <w:szCs w:val="26"/>
          <w:shd w:val="clear" w:fill="FFFFFF"/>
          <w:lang w:val="en-US" w:eastAsia="zh-CN" w:bidi="ar"/>
        </w:rPr>
        <w:t>。</w:t>
      </w:r>
    </w:p>
    <w:p>
      <w:pPr>
        <w:pStyle w:val="51"/>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60" w:lineRule="exact"/>
        <w:ind w:left="0" w:right="0" w:firstLine="0"/>
        <w:jc w:val="right"/>
        <w:textAlignment w:val="auto"/>
        <w:rPr>
          <w:rFonts w:hint="eastAsia" w:ascii="Microsoft YaHei UI" w:hAnsi="Microsoft YaHei UI" w:eastAsia="Microsoft YaHei UI" w:cs="Microsoft YaHei UI"/>
          <w:i w:val="0"/>
          <w:iCs w:val="0"/>
          <w:caps w:val="0"/>
          <w:spacing w:val="7"/>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甲方（盖章）：</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乙方（盖章）：</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法定代表人或授权代表</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520" w:firstLineChars="2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cs="Times New Roman"/>
          <w:sz w:val="26"/>
          <w:szCs w:val="26"/>
          <w:lang w:eastAsia="zh-CN"/>
        </w:rPr>
      </w:pP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val="en-US"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default" w:ascii="Times New Roman" w:hAnsi="Times New Roman" w:eastAsia="仿宋_GB2312" w:cs="Times New Roman"/>
          <w:sz w:val="26"/>
          <w:szCs w:val="26"/>
        </w:rPr>
        <w:t>廉政监督联系人</w:t>
      </w:r>
      <w:r>
        <w:rPr>
          <w:rFonts w:hint="eastAsia" w:ascii="Times New Roman" w:hAnsi="Times New Roman" w:eastAsia="仿宋_GB2312" w:cs="Times New Roman"/>
          <w:sz w:val="26"/>
          <w:szCs w:val="26"/>
          <w:lang w:eastAsia="zh-CN"/>
        </w:rPr>
        <w:t>：</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Times New Roman" w:hAnsi="Times New Roman" w:eastAsia="仿宋_GB2312" w:cs="Times New Roman"/>
          <w:sz w:val="26"/>
          <w:szCs w:val="26"/>
        </w:rPr>
      </w:pP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eastAsia="zh-CN"/>
        </w:rPr>
        <w:t>（</w:t>
      </w:r>
      <w:r>
        <w:rPr>
          <w:rFonts w:hint="eastAsia" w:ascii="Times New Roman" w:hAnsi="Times New Roman" w:eastAsia="仿宋_GB2312" w:cs="Times New Roman"/>
          <w:sz w:val="26"/>
          <w:szCs w:val="26"/>
          <w:lang w:val="en-US" w:eastAsia="zh-CN"/>
        </w:rPr>
        <w:t>签字</w:t>
      </w:r>
      <w:r>
        <w:rPr>
          <w:rFonts w:hint="default" w:ascii="Times New Roman" w:hAnsi="Times New Roman" w:eastAsia="仿宋_GB2312" w:cs="Times New Roman"/>
          <w:sz w:val="26"/>
          <w:szCs w:val="26"/>
          <w:lang w:eastAsia="zh-CN"/>
        </w:rPr>
        <w:t>）</w:t>
      </w:r>
      <w:r>
        <w:rPr>
          <w:rFonts w:hint="default" w:ascii="Times New Roman" w:hAnsi="Times New Roman" w:eastAsia="仿宋_GB2312" w:cs="Times New Roman"/>
          <w:sz w:val="26"/>
          <w:szCs w:val="26"/>
        </w:rPr>
        <w:t xml:space="preserve">      </w:t>
      </w:r>
      <w:r>
        <w:rPr>
          <w:rFonts w:hint="eastAsia" w:ascii="Times New Roman" w:hAnsi="Times New Roman" w:eastAsia="仿宋_GB2312" w:cs="Times New Roman"/>
          <w:sz w:val="26"/>
          <w:szCs w:val="26"/>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r>
        <w:rPr>
          <w:rFonts w:hint="default" w:ascii="Times New Roman" w:hAnsi="Times New Roman" w:eastAsia="仿宋_GB2312" w:cs="Times New Roman"/>
          <w:sz w:val="26"/>
          <w:szCs w:val="26"/>
        </w:rPr>
        <w:t>电话：</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w:t>
      </w:r>
      <w:r>
        <w:rPr>
          <w:rFonts w:hint="default" w:ascii="Times New Roman" w:hAnsi="Times New Roman" w:eastAsia="仿宋_GB2312" w:cs="Times New Roman"/>
          <w:sz w:val="26"/>
          <w:szCs w:val="26"/>
        </w:rPr>
        <w:t>电话：</w:t>
      </w: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Times New Roman" w:hAnsi="Times New Roman" w:eastAsia="仿宋_GB2312" w:cs="Times New Roman"/>
          <w:sz w:val="26"/>
          <w:szCs w:val="26"/>
        </w:rPr>
      </w:pPr>
    </w:p>
    <w:p>
      <w:pPr>
        <w:keepNext w:val="0"/>
        <w:keepLines w:val="0"/>
        <w:pageBreakBefore w:val="0"/>
        <w:widowControl w:val="0"/>
        <w:kinsoku/>
        <w:wordWrap/>
        <w:overflowPunct/>
        <w:topLinePunct w:val="0"/>
        <w:autoSpaceDE/>
        <w:autoSpaceDN/>
        <w:bidi w:val="0"/>
        <w:adjustRightInd/>
        <w:snapToGrid/>
        <w:spacing w:line="460" w:lineRule="exact"/>
        <w:ind w:firstLine="260" w:firstLineChars="100"/>
        <w:textAlignment w:val="auto"/>
        <w:rPr>
          <w:rFonts w:hint="default" w:ascii="Microsoft YaHei UI" w:hAnsi="Microsoft YaHei UI" w:eastAsia="Microsoft YaHei UI" w:cs="Microsoft YaHei UI"/>
          <w:i w:val="0"/>
          <w:iCs w:val="0"/>
          <w:caps w:val="0"/>
          <w:spacing w:val="7"/>
          <w:sz w:val="32"/>
          <w:szCs w:val="32"/>
        </w:rPr>
      </w:pPr>
      <w:r>
        <w:rPr>
          <w:rFonts w:hint="eastAsia" w:ascii="Times New Roman" w:hAnsi="Times New Roman" w:eastAsia="仿宋_GB2312" w:cs="Times New Roman"/>
          <w:sz w:val="26"/>
          <w:szCs w:val="26"/>
          <w:lang w:val="en-US" w:eastAsia="zh-CN"/>
        </w:rPr>
        <w:t>日期</w:t>
      </w:r>
      <w:r>
        <w:rPr>
          <w:rFonts w:hint="default" w:ascii="Times New Roman" w:hAnsi="Times New Roman" w:eastAsia="仿宋_GB2312" w:cs="Times New Roman"/>
          <w:sz w:val="26"/>
          <w:szCs w:val="26"/>
        </w:rPr>
        <w:t>：</w:t>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ab/>
      </w:r>
      <w:r>
        <w:rPr>
          <w:rFonts w:hint="eastAsia" w:ascii="Times New Roman" w:hAnsi="Times New Roman" w:eastAsia="仿宋_GB2312" w:cs="Times New Roman"/>
          <w:sz w:val="26"/>
          <w:szCs w:val="26"/>
          <w:lang w:val="en-US" w:eastAsia="zh-CN"/>
        </w:rPr>
        <w:t xml:space="preserve">  日期</w:t>
      </w:r>
      <w:r>
        <w:rPr>
          <w:rFonts w:hint="default" w:ascii="Times New Roman" w:hAnsi="Times New Roman" w:eastAsia="仿宋_GB2312" w:cs="Times New Roman"/>
          <w:sz w:val="26"/>
          <w:szCs w:val="26"/>
        </w:rPr>
        <w:t>：</w:t>
      </w:r>
    </w:p>
    <w:p>
      <w:pPr>
        <w:widowControl/>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pageBreakBefore/>
        <w:spacing w:line="360" w:lineRule="auto"/>
        <w:jc w:val="center"/>
        <w:outlineLvl w:val="0"/>
        <w:rPr>
          <w:rFonts w:asciiTheme="minorEastAsia" w:hAnsiTheme="minorEastAsia" w:eastAsiaTheme="minorEastAsia"/>
          <w:b/>
          <w:sz w:val="28"/>
        </w:rPr>
      </w:pPr>
      <w:bookmarkStart w:id="51" w:name="_Toc1367"/>
      <w:r>
        <w:rPr>
          <w:rFonts w:hint="eastAsia" w:asciiTheme="minorEastAsia" w:hAnsiTheme="minorEastAsia" w:eastAsiaTheme="minorEastAsia"/>
          <w:b/>
          <w:sz w:val="28"/>
        </w:rPr>
        <w:t>第六章  投标文件格式</w:t>
      </w:r>
      <w:bookmarkEnd w:id="51"/>
    </w:p>
    <w:p>
      <w:pPr>
        <w:spacing w:line="500" w:lineRule="exact"/>
        <w:jc w:val="center"/>
        <w:outlineLvl w:val="1"/>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合肥</w:t>
      </w:r>
      <w:r>
        <w:rPr>
          <w:rFonts w:hint="eastAsia" w:ascii="Times New Roman" w:hAnsi="Times New Roman" w:cs="Times New Roman"/>
          <w:b/>
          <w:sz w:val="32"/>
          <w:lang w:val="en-US" w:eastAsia="zh-CN"/>
        </w:rPr>
        <w:t>政文国际会展管理有限公司资产</w:t>
      </w:r>
      <w:r>
        <w:rPr>
          <w:rFonts w:hint="eastAsia" w:ascii="Times New Roman" w:hAnsi="Times New Roman" w:cs="Times New Roman"/>
          <w:b/>
          <w:sz w:val="32"/>
          <w:lang w:eastAsia="zh-CN"/>
        </w:rPr>
        <w:t>报废处置项目</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numPr>
          <w:ilvl w:val="0"/>
          <w:numId w:val="4"/>
        </w:num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报价表</w:t>
      </w:r>
    </w:p>
    <w:p>
      <w:pPr>
        <w:spacing w:line="360" w:lineRule="auto"/>
        <w:jc w:val="both"/>
        <w:outlineLvl w:val="2"/>
        <w:rPr>
          <w:rFonts w:ascii="Times New Roman" w:hAnsi="Times New Roman" w:cs="Times New Roman" w:eastAsiaTheme="minorEastAsia"/>
          <w:b/>
          <w:bCs w:val="0"/>
          <w:sz w:val="24"/>
          <w:szCs w:val="24"/>
        </w:rPr>
      </w:pPr>
      <w:r>
        <w:rPr>
          <w:rFonts w:ascii="Times New Roman" w:hAnsi="Times New Roman" w:cs="Times New Roman" w:eastAsiaTheme="minorEastAsia"/>
          <w:b/>
          <w:sz w:val="24"/>
          <w:szCs w:val="24"/>
        </w:rPr>
        <w:t>项目名称：</w:t>
      </w:r>
      <w:r>
        <w:rPr>
          <w:rFonts w:hint="eastAsia" w:ascii="Times New Roman" w:hAnsi="Times New Roman" w:cs="Times New Roman"/>
          <w:b/>
          <w:bCs w:val="0"/>
          <w:color w:val="000000"/>
          <w:sz w:val="21"/>
          <w:szCs w:val="21"/>
          <w:u w:val="single"/>
          <w:lang w:val="en-US" w:eastAsia="zh-CN"/>
        </w:rPr>
        <w:t>2024年滨湖国际</w:t>
      </w:r>
      <w:r>
        <w:rPr>
          <w:rFonts w:hint="eastAsia" w:ascii="Times New Roman" w:hAnsi="Times New Roman" w:cs="Times New Roman" w:eastAsiaTheme="minorEastAsia"/>
          <w:b/>
          <w:bCs w:val="0"/>
          <w:sz w:val="21"/>
          <w:szCs w:val="21"/>
          <w:u w:val="single"/>
        </w:rPr>
        <w:t>会展公司废旧物资处置项目</w:t>
      </w:r>
      <w:r>
        <w:rPr>
          <w:rFonts w:ascii="Times New Roman" w:hAnsi="Times New Roman" w:cs="Times New Roman"/>
          <w:b/>
          <w:bCs w:val="0"/>
          <w:color w:val="000000"/>
          <w:sz w:val="21"/>
          <w:szCs w:val="21"/>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bCs/>
          <w:sz w:val="24"/>
          <w:szCs w:val="24"/>
        </w:rPr>
        <w:t>项目编号：</w:t>
      </w:r>
      <w:r>
        <w:rPr>
          <w:rFonts w:hint="eastAsia" w:ascii="Times New Roman" w:hAnsi="Times New Roman" w:cs="Times New Roman" w:eastAsiaTheme="minorEastAsia"/>
          <w:b/>
          <w:bCs/>
          <w:sz w:val="21"/>
          <w:szCs w:val="21"/>
          <w:u w:val="single"/>
          <w:lang w:eastAsia="zh-CN"/>
        </w:rPr>
        <w:t>2024ZWHZXJ00018号</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3557" w:type="pct"/>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3557" w:type="pct"/>
            <w:tcBorders>
              <w:left w:val="single" w:color="auto" w:sz="4" w:space="0"/>
            </w:tcBorders>
            <w:vAlign w:val="center"/>
          </w:tcPr>
          <w:p>
            <w:pPr>
              <w:widowControl/>
              <w:rPr>
                <w:rFonts w:hint="default" w:ascii="Times New Roman" w:hAnsi="Times New Roman" w:cs="Times New Roman" w:eastAsiaTheme="minorEastAsia"/>
                <w:b/>
                <w:sz w:val="24"/>
                <w:szCs w:val="24"/>
                <w:lang w:val="en-US" w:eastAsia="zh-CN"/>
              </w:rPr>
            </w:pPr>
            <w:r>
              <w:rPr>
                <w:rFonts w:hint="eastAsia" w:ascii="Times New Roman" w:hAnsi="Times New Roman" w:cs="Times New Roman"/>
                <w:sz w:val="24"/>
                <w:szCs w:val="28"/>
                <w:lang w:val="en-US" w:eastAsia="zh-CN"/>
              </w:rPr>
              <w:t>转让清单详见资产清单附表1-2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hint="eastAsia" w:ascii="Times New Roman" w:hAnsi="Times New Roman" w:eastAsia="宋体" w:cs="Times New Roman"/>
                <w:b/>
                <w:sz w:val="24"/>
                <w:lang w:val="en-US" w:eastAsia="zh-CN"/>
              </w:rPr>
              <w:t>清单1</w:t>
            </w: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w:t>
            </w:r>
            <w:r>
              <w:rPr>
                <w:rFonts w:hint="eastAsia" w:ascii="Times New Roman" w:hAnsi="Times New Roman" w:cs="Times New Roman"/>
                <w:b/>
                <w:sz w:val="24"/>
                <w:szCs w:val="24"/>
                <w:lang w:val="en-US" w:eastAsia="zh-CN"/>
              </w:rPr>
              <w:t>招标人要求清单1</w:t>
            </w:r>
            <w:r>
              <w:rPr>
                <w:rFonts w:ascii="Times New Roman" w:hAnsi="Times New Roman" w:cs="Times New Roman" w:eastAsiaTheme="minorEastAsia"/>
                <w:b/>
                <w:sz w:val="24"/>
                <w:szCs w:val="24"/>
              </w:rPr>
              <w:t>）</w:t>
            </w:r>
          </w:p>
        </w:tc>
        <w:tc>
          <w:tcPr>
            <w:tcW w:w="3557" w:type="pct"/>
            <w:vAlign w:val="center"/>
          </w:tcPr>
          <w:p>
            <w:pPr>
              <w:snapToGrid w:val="0"/>
              <w:rPr>
                <w:rFonts w:ascii="Times New Roman" w:hAnsi="Times New Roman" w:cs="Times New Roman" w:eastAsiaTheme="minorEastAsia"/>
                <w:sz w:val="24"/>
                <w:szCs w:val="24"/>
              </w:rPr>
            </w:pPr>
          </w:p>
          <w:p>
            <w:pPr>
              <w:snapToGrid w:val="0"/>
              <w:rPr>
                <w:rFonts w:ascii="Times New Roman" w:hAnsi="Times New Roman" w:cs="Times New Roman" w:eastAsiaTheme="minorEastAsia"/>
                <w:bCs/>
                <w:sz w:val="24"/>
                <w:szCs w:val="24"/>
                <w:u w:val="none"/>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lang w:val="en-US" w:eastAsia="zh-CN"/>
              </w:rPr>
              <w:t>人民币</w:t>
            </w:r>
            <w:r>
              <w:rPr>
                <w:rFonts w:hint="eastAsia" w:ascii="宋体" w:hAnsi="宋体"/>
                <w:color w:val="000000"/>
                <w:sz w:val="24"/>
              </w:rPr>
              <w:t>大写：</w:t>
            </w:r>
            <w:r>
              <w:rPr>
                <w:rFonts w:hint="eastAsia" w:ascii="宋体" w:hAnsi="宋体"/>
                <w:color w:val="000000"/>
                <w:sz w:val="24"/>
                <w:u w:val="single"/>
              </w:rPr>
              <w:t xml:space="preserve">      </w:t>
            </w:r>
            <w:r>
              <w:rPr>
                <w:rFonts w:hint="eastAsia"/>
                <w:color w:val="000000"/>
                <w:sz w:val="24"/>
                <w:u w:val="single"/>
                <w:lang w:eastAsia="zh-CN"/>
              </w:rPr>
              <w:t>元整</w:t>
            </w:r>
            <w:r>
              <w:rPr>
                <w:rFonts w:hint="eastAsia" w:ascii="宋体" w:hAnsi="宋体"/>
                <w:color w:val="000000"/>
                <w:sz w:val="24"/>
              </w:rPr>
              <w:t xml:space="preserve"> ）</w:t>
            </w:r>
            <w:r>
              <w:rPr>
                <w:rFonts w:ascii="Times New Roman" w:hAnsi="Times New Roman" w:cs="Times New Roman" w:eastAsiaTheme="minorEastAsia"/>
                <w:bCs/>
                <w:sz w:val="24"/>
                <w:szCs w:val="24"/>
                <w:u w:val="none"/>
              </w:rPr>
              <w:t xml:space="preserve">                     </w:t>
            </w:r>
          </w:p>
          <w:p>
            <w:pPr>
              <w:snapToGrid w:val="0"/>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hint="eastAsia" w:ascii="Times New Roman" w:hAnsi="Times New Roman" w:eastAsia="宋体" w:cs="Times New Roman"/>
                <w:b/>
                <w:sz w:val="24"/>
                <w:lang w:val="en-US" w:eastAsia="zh-CN"/>
              </w:rPr>
              <w:t>清单2</w:t>
            </w:r>
            <w:r>
              <w:rPr>
                <w:rFonts w:ascii="Times New Roman" w:hAnsi="Times New Roman" w:eastAsia="宋体" w:cs="Times New Roman"/>
                <w:b/>
                <w:sz w:val="24"/>
              </w:rPr>
              <w:t>报价</w:t>
            </w:r>
          </w:p>
          <w:p>
            <w:pPr>
              <w:jc w:val="center"/>
              <w:rPr>
                <w:rFonts w:ascii="Times New Roman" w:hAnsi="Times New Roman" w:cs="Times New Roman" w:eastAsiaTheme="minorEastAsia"/>
                <w:b/>
                <w:kern w:val="2"/>
                <w:sz w:val="24"/>
                <w:szCs w:val="24"/>
                <w:lang w:val="en-US" w:eastAsia="zh-CN" w:bidi="ar-SA"/>
              </w:rPr>
            </w:pPr>
            <w:r>
              <w:rPr>
                <w:rFonts w:ascii="Times New Roman" w:hAnsi="Times New Roman" w:cs="Times New Roman" w:eastAsiaTheme="minorEastAsia"/>
                <w:b/>
                <w:sz w:val="24"/>
                <w:szCs w:val="24"/>
              </w:rPr>
              <w:t>（详见</w:t>
            </w:r>
            <w:r>
              <w:rPr>
                <w:rFonts w:hint="eastAsia" w:ascii="Times New Roman" w:hAnsi="Times New Roman" w:cs="Times New Roman"/>
                <w:b/>
                <w:sz w:val="24"/>
                <w:szCs w:val="24"/>
                <w:lang w:val="en-US" w:eastAsia="zh-CN"/>
              </w:rPr>
              <w:t>招标人要求清单2</w:t>
            </w:r>
            <w:r>
              <w:rPr>
                <w:rFonts w:ascii="Times New Roman" w:hAnsi="Times New Roman" w:cs="Times New Roman" w:eastAsiaTheme="minorEastAsia"/>
                <w:b/>
                <w:sz w:val="24"/>
                <w:szCs w:val="24"/>
              </w:rPr>
              <w:t>）</w:t>
            </w:r>
          </w:p>
        </w:tc>
        <w:tc>
          <w:tcPr>
            <w:tcW w:w="3557" w:type="pct"/>
            <w:vAlign w:val="center"/>
          </w:tcPr>
          <w:p>
            <w:pPr>
              <w:snapToGrid w:val="0"/>
              <w:rPr>
                <w:rFonts w:ascii="Times New Roman" w:hAnsi="Times New Roman" w:cs="Times New Roman" w:eastAsiaTheme="minorEastAsia"/>
                <w:b/>
                <w:kern w:val="2"/>
                <w:sz w:val="24"/>
                <w:szCs w:val="24"/>
                <w:lang w:val="en-US" w:eastAsia="zh-CN" w:bidi="ar-SA"/>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lang w:val="en-US" w:eastAsia="zh-CN"/>
              </w:rPr>
              <w:t>人民币</w:t>
            </w: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rPr>
              <w:t xml:space="preserve"> </w:t>
            </w:r>
            <w:r>
              <w:rPr>
                <w:rFonts w:hint="eastAsia"/>
                <w:color w:val="000000"/>
                <w:sz w:val="24"/>
                <w:lang w:eastAsia="zh-CN"/>
              </w:rPr>
              <w:t>元整</w:t>
            </w:r>
            <w:r>
              <w:rPr>
                <w:rFonts w:hint="eastAsia" w:ascii="宋体" w:hAnsi="宋体"/>
                <w:color w:val="000000"/>
                <w:sz w:val="24"/>
              </w:rPr>
              <w:t>）</w:t>
            </w:r>
            <w:r>
              <w:rPr>
                <w:rFonts w:ascii="Times New Roman" w:hAnsi="Times New Roman" w:cs="Times New Roman" w:eastAsiaTheme="minorEastAsia"/>
                <w:bCs/>
                <w:sz w:val="24"/>
                <w:szCs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pacing w:line="360" w:lineRule="auto"/>
              <w:jc w:val="center"/>
              <w:rPr>
                <w:rFonts w:ascii="Times New Roman" w:hAnsi="Times New Roman" w:eastAsia="宋体" w:cs="Times New Roman"/>
                <w:b/>
                <w:sz w:val="24"/>
              </w:rPr>
            </w:pPr>
            <w:r>
              <w:rPr>
                <w:rFonts w:hint="eastAsia" w:ascii="Times New Roman" w:hAnsi="Times New Roman" w:eastAsia="宋体" w:cs="Times New Roman"/>
                <w:b/>
                <w:sz w:val="24"/>
                <w:lang w:val="en-US" w:eastAsia="zh-CN"/>
              </w:rPr>
              <w:t>合计</w:t>
            </w:r>
            <w:r>
              <w:rPr>
                <w:rFonts w:ascii="Times New Roman" w:hAnsi="Times New Roman" w:eastAsia="宋体" w:cs="Times New Roman"/>
                <w:b/>
                <w:sz w:val="24"/>
              </w:rPr>
              <w:t>报价</w:t>
            </w:r>
          </w:p>
          <w:p>
            <w:pPr>
              <w:jc w:val="center"/>
              <w:rPr>
                <w:rFonts w:hint="eastAsia" w:ascii="Times New Roman" w:hAnsi="Times New Roman" w:cs="Times New Roman" w:eastAsiaTheme="minorEastAsia"/>
                <w:b/>
                <w:sz w:val="24"/>
                <w:szCs w:val="24"/>
                <w:lang w:val="en-US" w:eastAsia="zh-CN"/>
              </w:rPr>
            </w:pPr>
          </w:p>
        </w:tc>
        <w:tc>
          <w:tcPr>
            <w:tcW w:w="3557" w:type="pct"/>
            <w:vAlign w:val="center"/>
          </w:tcPr>
          <w:p>
            <w:pPr>
              <w:snapToGrid w:val="0"/>
              <w:rPr>
                <w:rFonts w:ascii="Times New Roman" w:hAnsi="Times New Roman" w:cs="Times New Roman" w:eastAsiaTheme="minorEastAsia"/>
                <w:b/>
                <w:kern w:val="2"/>
                <w:sz w:val="24"/>
                <w:szCs w:val="24"/>
                <w:lang w:val="en-US" w:eastAsia="zh-CN" w:bidi="ar-SA"/>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rPr>
              <w:t>元（</w:t>
            </w:r>
            <w:r>
              <w:rPr>
                <w:rFonts w:hint="eastAsia" w:ascii="宋体" w:hAnsi="宋体"/>
                <w:color w:val="000000"/>
                <w:sz w:val="24"/>
                <w:lang w:val="en-US" w:eastAsia="zh-CN"/>
              </w:rPr>
              <w:t>人民币</w:t>
            </w:r>
            <w:r>
              <w:rPr>
                <w:rFonts w:hint="eastAsia" w:ascii="宋体" w:hAnsi="宋体"/>
                <w:color w:val="000000"/>
                <w:sz w:val="24"/>
              </w:rPr>
              <w:t>大写：</w:t>
            </w:r>
            <w:r>
              <w:rPr>
                <w:rFonts w:hint="eastAsia" w:ascii="宋体" w:hAnsi="宋体"/>
                <w:color w:val="000000"/>
                <w:sz w:val="24"/>
                <w:u w:val="single"/>
              </w:rPr>
              <w:t xml:space="preserve">      </w:t>
            </w:r>
            <w:r>
              <w:rPr>
                <w:rFonts w:hint="eastAsia" w:ascii="宋体" w:hAnsi="宋体"/>
                <w:color w:val="000000"/>
                <w:sz w:val="24"/>
              </w:rPr>
              <w:t xml:space="preserve"> 元</w:t>
            </w:r>
            <w:r>
              <w:rPr>
                <w:rFonts w:hint="eastAsia"/>
                <w:color w:val="000000"/>
                <w:sz w:val="24"/>
                <w:lang w:eastAsia="zh-CN"/>
              </w:rPr>
              <w:t>整</w:t>
            </w:r>
            <w:r>
              <w:rPr>
                <w:rFonts w:hint="eastAsia" w:ascii="宋体" w:hAnsi="宋体"/>
                <w:color w:val="000000"/>
                <w:sz w:val="24"/>
              </w:rPr>
              <w:t>）</w:t>
            </w:r>
            <w:r>
              <w:rPr>
                <w:rFonts w:ascii="Times New Roman" w:hAnsi="Times New Roman" w:cs="Times New Roman" w:eastAsiaTheme="minorEastAsia"/>
                <w:bCs/>
                <w:sz w:val="24"/>
                <w:szCs w:val="24"/>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snapToGrid w:val="0"/>
              <w:jc w:val="center"/>
              <w:rPr>
                <w:rFonts w:ascii="Times New Roman" w:hAnsi="Times New Roman" w:cs="Times New Roman" w:eastAsiaTheme="minorEastAsia"/>
                <w:b/>
                <w:strike/>
                <w:kern w:val="2"/>
                <w:sz w:val="24"/>
                <w:szCs w:val="24"/>
                <w:highlight w:val="yellow"/>
                <w:lang w:val="en-US" w:eastAsia="zh-CN" w:bidi="ar-SA"/>
              </w:rPr>
            </w:pPr>
            <w:r>
              <w:rPr>
                <w:rFonts w:hint="eastAsia" w:ascii="Times New Roman" w:hAnsi="Times New Roman" w:cs="Times New Roman"/>
                <w:b/>
                <w:sz w:val="24"/>
                <w:szCs w:val="24"/>
                <w:lang w:eastAsia="zh-CN"/>
              </w:rPr>
              <w:t>服务</w:t>
            </w:r>
            <w:r>
              <w:rPr>
                <w:rFonts w:ascii="Times New Roman" w:hAnsi="Times New Roman" w:cs="Times New Roman" w:eastAsiaTheme="minorEastAsia"/>
                <w:b/>
                <w:sz w:val="24"/>
                <w:szCs w:val="24"/>
              </w:rPr>
              <w:t>周期</w:t>
            </w:r>
          </w:p>
        </w:tc>
        <w:tc>
          <w:tcPr>
            <w:tcW w:w="3557" w:type="pct"/>
            <w:vAlign w:val="center"/>
          </w:tcPr>
          <w:p>
            <w:pPr>
              <w:snapToGrid w:val="0"/>
              <w:rPr>
                <w:rFonts w:ascii="Times New Roman" w:hAnsi="Times New Roman" w:cs="Times New Roman" w:eastAsiaTheme="minorEastAsia"/>
                <w:b/>
                <w:strike/>
                <w:kern w:val="2"/>
                <w:sz w:val="24"/>
                <w:szCs w:val="24"/>
                <w:highlight w:val="yellow"/>
                <w:lang w:val="en-US" w:eastAsia="zh-CN" w:bidi="ar-SA"/>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ascii="Times New Roman" w:hAnsi="Times New Roman" w:cs="Times New Roman" w:eastAsiaTheme="minorEastAsia"/>
                <w:b/>
                <w:kern w:val="2"/>
                <w:sz w:val="24"/>
                <w:szCs w:val="24"/>
                <w:lang w:val="en-US" w:eastAsia="zh-CN" w:bidi="ar-SA"/>
              </w:rPr>
            </w:pPr>
            <w:r>
              <w:rPr>
                <w:rFonts w:ascii="Times New Roman" w:hAnsi="Times New Roman" w:cs="Times New Roman" w:eastAsiaTheme="minorEastAsia"/>
                <w:b/>
                <w:sz w:val="24"/>
                <w:szCs w:val="24"/>
              </w:rPr>
              <w:t>备注说明</w:t>
            </w:r>
          </w:p>
        </w:tc>
        <w:tc>
          <w:tcPr>
            <w:tcW w:w="3557" w:type="pct"/>
            <w:vAlign w:val="top"/>
          </w:tcPr>
          <w:p>
            <w:pPr>
              <w:rPr>
                <w:rFonts w:ascii="Times New Roman" w:hAnsi="Times New Roman" w:cs="Times New Roman" w:eastAsiaTheme="minorEastAsia"/>
                <w:b/>
                <w:kern w:val="2"/>
                <w:sz w:val="24"/>
                <w:szCs w:val="24"/>
                <w:lang w:val="en-US" w:eastAsia="zh-CN" w:bidi="ar-SA"/>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widowControl/>
        <w:jc w:val="left"/>
        <w:rPr>
          <w:rFonts w:asciiTheme="minorEastAsia" w:hAnsiTheme="minorEastAsia" w:eastAsiaTheme="minorEastAsia"/>
          <w:b/>
          <w:sz w:val="24"/>
        </w:rPr>
      </w:pPr>
      <w:r>
        <w:rPr>
          <w:bCs/>
          <w:sz w:val="24"/>
        </w:rPr>
        <w:br w:type="page"/>
      </w:r>
      <w:bookmarkStart w:id="52" w:name="_Toc520983591"/>
    </w:p>
    <w:p>
      <w:pPr>
        <w:spacing w:line="360" w:lineRule="auto"/>
        <w:jc w:val="center"/>
        <w:outlineLvl w:val="1"/>
        <w:rPr>
          <w:rFonts w:asciiTheme="minorEastAsia" w:hAnsiTheme="minorEastAsia" w:eastAsiaTheme="minorEastAsia"/>
          <w:b/>
          <w:sz w:val="24"/>
        </w:rPr>
      </w:pPr>
      <w:bookmarkStart w:id="53" w:name="_Toc28368"/>
      <w:r>
        <w:rPr>
          <w:rFonts w:hint="eastAsia" w:asciiTheme="minorEastAsia" w:hAnsiTheme="minorEastAsia" w:eastAsiaTheme="minorEastAsia"/>
          <w:b/>
          <w:sz w:val="24"/>
          <w:lang w:eastAsia="zh-CN"/>
        </w:rPr>
        <w:t>二</w:t>
      </w:r>
      <w:r>
        <w:rPr>
          <w:rFonts w:hint="eastAsia" w:asciiTheme="minorEastAsia" w:hAnsiTheme="minorEastAsia" w:eastAsiaTheme="minorEastAsia"/>
          <w:b/>
          <w:sz w:val="24"/>
        </w:rPr>
        <w:t>、投标函</w:t>
      </w:r>
      <w:bookmarkEnd w:id="52"/>
      <w:bookmarkEnd w:id="53"/>
    </w:p>
    <w:p>
      <w:pPr>
        <w:spacing w:line="360" w:lineRule="auto"/>
        <w:outlineLvl w:val="2"/>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outlineLvl w:val="2"/>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4"/>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54" w:name="_Toc516969106"/>
      <w:bookmarkStart w:id="55" w:name="_Toc3356"/>
      <w:bookmarkStart w:id="56" w:name="_Toc204594911"/>
      <w:bookmarkStart w:id="57" w:name="_Toc121626298"/>
      <w:bookmarkStart w:id="58" w:name="_Toc520983594"/>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、授权书</w:t>
      </w:r>
      <w:bookmarkEnd w:id="54"/>
      <w:bookmarkEnd w:id="55"/>
      <w:bookmarkEnd w:id="56"/>
      <w:bookmarkEnd w:id="57"/>
      <w:bookmarkEnd w:id="58"/>
    </w:p>
    <w:p>
      <w:pPr>
        <w:spacing w:line="360" w:lineRule="auto"/>
        <w:jc w:val="center"/>
        <w:rPr>
          <w:rFonts w:asciiTheme="minorEastAsia" w:hAnsiTheme="minorEastAsia" w:eastAsiaTheme="minorEastAsia"/>
          <w:b/>
          <w:sz w:val="24"/>
        </w:rPr>
      </w:pPr>
    </w:p>
    <w:p>
      <w:pPr>
        <w:pStyle w:val="28"/>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8"/>
        <w:snapToGrid w:val="0"/>
        <w:spacing w:line="360" w:lineRule="auto"/>
        <w:ind w:firstLine="480" w:firstLineChars="200"/>
        <w:jc w:val="left"/>
        <w:rPr>
          <w:rFonts w:hAnsi="宋体" w:eastAsia="宋体"/>
          <w:sz w:val="24"/>
          <w:szCs w:val="28"/>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rPr>
      </w:pPr>
    </w:p>
    <w:p>
      <w:pPr>
        <w:pStyle w:val="28"/>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8"/>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8"/>
        <w:snapToGrid w:val="0"/>
        <w:spacing w:line="360" w:lineRule="auto"/>
        <w:jc w:val="left"/>
        <w:rPr>
          <w:rFonts w:hAnsi="宋体" w:eastAsia="宋体"/>
          <w:sz w:val="24"/>
          <w:szCs w:val="28"/>
        </w:rPr>
      </w:pPr>
      <w:r>
        <w:rPr>
          <w:rFonts w:hint="eastAsia" w:hAnsi="宋体" w:eastAsia="宋体"/>
          <w:sz w:val="24"/>
          <w:szCs w:val="28"/>
        </w:rPr>
        <w:t>注：</w:t>
      </w:r>
    </w:p>
    <w:p>
      <w:pPr>
        <w:pStyle w:val="28"/>
        <w:snapToGrid w:val="0"/>
        <w:spacing w:line="360" w:lineRule="auto"/>
        <w:jc w:val="left"/>
        <w:outlineLvl w:val="2"/>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59" w:name="_Toc3460"/>
      <w:r>
        <w:rPr>
          <w:rFonts w:hint="eastAsia" w:asciiTheme="minorEastAsia" w:hAnsiTheme="minorEastAsia" w:eastAsiaTheme="minorEastAsia"/>
          <w:b/>
          <w:sz w:val="24"/>
          <w:lang w:eastAsia="zh-CN"/>
        </w:rPr>
        <w:t>四</w:t>
      </w:r>
      <w:r>
        <w:rPr>
          <w:rFonts w:hint="eastAsia" w:asciiTheme="minorEastAsia" w:hAnsiTheme="minorEastAsia" w:eastAsiaTheme="minorEastAsia"/>
          <w:b/>
          <w:sz w:val="24"/>
        </w:rPr>
        <w:t>、法定代表人身份证明书</w:t>
      </w:r>
      <w:bookmarkEnd w:id="59"/>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Microsoft YaHei UI">
    <w:altName w:val="宋体"/>
    <w:panose1 w:val="020B0503020204020204"/>
    <w:charset w:val="86"/>
    <w:family w:val="auto"/>
    <w:pitch w:val="default"/>
    <w:sig w:usb0="00000000" w:usb1="0000000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146FA3"/>
    <w:multiLevelType w:val="singleLevel"/>
    <w:tmpl w:val="81146FA3"/>
    <w:lvl w:ilvl="0" w:tentative="0">
      <w:start w:val="1"/>
      <w:numFmt w:val="chineseCounting"/>
      <w:suff w:val="nothing"/>
      <w:lvlText w:val="%1、"/>
      <w:lvlJc w:val="left"/>
      <w:rPr>
        <w:rFonts w:hint="eastAsia"/>
      </w:rPr>
    </w:lvl>
  </w:abstractNum>
  <w:abstractNum w:abstractNumId="1">
    <w:nsid w:val="AAF910DD"/>
    <w:multiLevelType w:val="singleLevel"/>
    <w:tmpl w:val="AAF910DD"/>
    <w:lvl w:ilvl="0" w:tentative="0">
      <w:start w:val="2"/>
      <w:numFmt w:val="decimal"/>
      <w:suff w:val="space"/>
      <w:lvlText w:val="%1."/>
      <w:lvlJc w:val="left"/>
    </w:lvl>
  </w:abstractNum>
  <w:abstractNum w:abstractNumId="2">
    <w:nsid w:val="4E0E85A7"/>
    <w:multiLevelType w:val="singleLevel"/>
    <w:tmpl w:val="4E0E85A7"/>
    <w:lvl w:ilvl="0" w:tentative="0">
      <w:start w:val="1"/>
      <w:numFmt w:val="chineseCounting"/>
      <w:suff w:val="nothing"/>
      <w:lvlText w:val="%1、"/>
      <w:lvlJc w:val="left"/>
      <w:rPr>
        <w:rFonts w:hint="eastAsia"/>
      </w:rPr>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84172"/>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904ED"/>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5D5E06"/>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9D16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4D7428"/>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91DB3"/>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294361"/>
    <w:rsid w:val="214D1EC4"/>
    <w:rsid w:val="21957C48"/>
    <w:rsid w:val="21BA76AF"/>
    <w:rsid w:val="21BF0821"/>
    <w:rsid w:val="21D266CD"/>
    <w:rsid w:val="21DC5877"/>
    <w:rsid w:val="21EF1DF1"/>
    <w:rsid w:val="21FD1568"/>
    <w:rsid w:val="220F3557"/>
    <w:rsid w:val="223F2A1E"/>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092D30"/>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006B4"/>
    <w:rsid w:val="48FD1AAC"/>
    <w:rsid w:val="490523D5"/>
    <w:rsid w:val="49135467"/>
    <w:rsid w:val="49221812"/>
    <w:rsid w:val="492D38FA"/>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9412E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435C6"/>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7E335A"/>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7768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44B65"/>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B62ED7"/>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C91AD8"/>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0627"/>
    <w:rsid w:val="7B5C32EC"/>
    <w:rsid w:val="7B6E3FBF"/>
    <w:rsid w:val="7B8D237D"/>
    <w:rsid w:val="7B936116"/>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8"/>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3"/>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0"/>
    <w:autoRedefine/>
    <w:qFormat/>
    <w:uiPriority w:val="0"/>
    <w:rPr>
      <w:rFonts w:ascii="Arial" w:hAnsi="Arial" w:cs="Arial"/>
      <w:b/>
      <w:sz w:val="28"/>
    </w:rPr>
  </w:style>
  <w:style w:type="paragraph" w:styleId="31">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7"/>
    <w:autoRedefine/>
    <w:unhideWhenUsed/>
    <w:qFormat/>
    <w:uiPriority w:val="0"/>
    <w:rPr>
      <w:sz w:val="18"/>
      <w:szCs w:val="18"/>
    </w:rPr>
  </w:style>
  <w:style w:type="paragraph" w:styleId="33">
    <w:name w:val="footer"/>
    <w:basedOn w:val="1"/>
    <w:link w:val="72"/>
    <w:autoRedefine/>
    <w:unhideWhenUsed/>
    <w:qFormat/>
    <w:uiPriority w:val="99"/>
    <w:pPr>
      <w:tabs>
        <w:tab w:val="center" w:pos="4153"/>
        <w:tab w:val="right" w:pos="8306"/>
      </w:tabs>
      <w:snapToGrid w:val="0"/>
      <w:jc w:val="left"/>
    </w:pPr>
    <w:rPr>
      <w:sz w:val="18"/>
      <w:szCs w:val="18"/>
    </w:rPr>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2"/>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3"/>
    <w:autoRedefine/>
    <w:qFormat/>
    <w:uiPriority w:val="99"/>
    <w:rPr>
      <w:rFonts w:ascii="@仿宋_GB2312" w:hAnsi="@仿宋_GB2312" w:eastAsia="@仿宋_GB2312" w:cs="@仿宋_GB2312"/>
      <w:sz w:val="18"/>
      <w:szCs w:val="18"/>
    </w:rPr>
  </w:style>
  <w:style w:type="character" w:customStyle="1" w:styleId="73">
    <w:name w:val="纯文本 字符"/>
    <w:link w:val="28"/>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0"/>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6">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4"/>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3"/>
    <w:next w:val="25"/>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4"/>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21"/>
    <w:basedOn w:val="58"/>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35</Pages>
  <Words>15508</Words>
  <Characters>16608</Characters>
  <Lines>101</Lines>
  <Paragraphs>28</Paragraphs>
  <TotalTime>22</TotalTime>
  <ScaleCrop>false</ScaleCrop>
  <LinksUpToDate>false</LinksUpToDate>
  <CharactersWithSpaces>17987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高羽</cp:lastModifiedBy>
  <cp:lastPrinted>2023-05-30T07:28:00Z</cp:lastPrinted>
  <dcterms:modified xsi:type="dcterms:W3CDTF">2024-09-21T01:08:07Z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7A6DA097432B4D218F18BFBFC7DA11EB_13</vt:lpwstr>
  </property>
</Properties>
</file>