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bCs/>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b/>
          <w:spacing w:val="20"/>
          <w:sz w:val="32"/>
          <w:szCs w:val="32"/>
        </w:rPr>
      </w:pPr>
      <w:r>
        <w:rPr>
          <w:b/>
          <w:spacing w:val="20"/>
          <w:sz w:val="32"/>
          <w:szCs w:val="32"/>
        </w:rPr>
        <w:t>招标项目名称：</w:t>
      </w:r>
      <w:r>
        <w:rPr>
          <w:rFonts w:hint="eastAsia"/>
          <w:b/>
          <w:spacing w:val="20"/>
          <w:sz w:val="32"/>
          <w:szCs w:val="32"/>
          <w:u w:val="single"/>
        </w:rPr>
        <w:t>庐江文旅投资食品原材料采购禽肉蛋类</w:t>
      </w:r>
    </w:p>
    <w:p>
      <w:pPr>
        <w:tabs>
          <w:tab w:val="left" w:pos="2410"/>
        </w:tabs>
        <w:autoSpaceDE w:val="0"/>
        <w:autoSpaceDN w:val="0"/>
        <w:adjustRightInd w:val="0"/>
        <w:snapToGrid w:val="0"/>
        <w:spacing w:line="500" w:lineRule="exact"/>
        <w:rPr>
          <w:rFonts w:hint="eastAsia" w:eastAsia="宋体"/>
          <w:b/>
          <w:spacing w:val="20"/>
          <w:sz w:val="32"/>
          <w:szCs w:val="32"/>
          <w:lang w:val="en-US" w:eastAsia="zh-CN"/>
        </w:rPr>
      </w:pPr>
      <w:r>
        <w:rPr>
          <w:b/>
          <w:spacing w:val="20"/>
          <w:sz w:val="32"/>
          <w:szCs w:val="32"/>
        </w:rPr>
        <w:t>招标项目编号：</w:t>
      </w:r>
      <w:r>
        <w:rPr>
          <w:rFonts w:hint="eastAsia"/>
          <w:b/>
          <w:spacing w:val="20"/>
          <w:sz w:val="32"/>
          <w:szCs w:val="32"/>
          <w:u w:val="single"/>
        </w:rPr>
        <w:t>2024LJWL01</w:t>
      </w:r>
      <w:r>
        <w:rPr>
          <w:rFonts w:hint="eastAsia"/>
          <w:b/>
          <w:spacing w:val="20"/>
          <w:sz w:val="32"/>
          <w:szCs w:val="32"/>
          <w:u w:val="single"/>
          <w:lang w:val="en-US" w:eastAsia="zh-CN"/>
        </w:rPr>
        <w:t>0</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庐江县文旅投资有限公司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3"/>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10</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rPr>
          <w:rFonts w:ascii="Times New Roman" w:hAnsi="Times New Roman" w:eastAsia="黑体" w:cs="Times New Roman"/>
        </w:rPr>
        <w:t xml:space="preserve"> </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42</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53</w:t>
      </w:r>
      <w:r>
        <w:fldChar w:fldCharType="end"/>
      </w:r>
      <w:r>
        <w:rPr>
          <w:rFonts w:ascii="Times New Roman" w:hAnsi="Times New Roman" w:eastAsia="黑体" w:cs="Times New Roman"/>
        </w:rPr>
        <w:fldChar w:fldCharType="end"/>
      </w:r>
    </w:p>
    <w:p>
      <w:pPr>
        <w:pStyle w:val="35"/>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57</w:t>
      </w:r>
      <w:r>
        <w:fldChar w:fldCharType="end"/>
      </w:r>
      <w:r>
        <w:rPr>
          <w:rFonts w:ascii="Times New Roman" w:hAnsi="Times New Roman" w:eastAsia="黑体" w:cs="Times New Roman"/>
        </w:rPr>
        <w:fldChar w:fldCharType="end"/>
      </w:r>
    </w:p>
    <w:p/>
    <w:p>
      <w:pPr>
        <w:tabs>
          <w:tab w:val="left" w:pos="1992"/>
          <w:tab w:val="center" w:pos="4153"/>
        </w:tabs>
        <w:jc w:val="left"/>
        <w:rPr>
          <w:rFonts w:hint="eastAsia"/>
        </w:rPr>
      </w:pPr>
      <w:r>
        <w:rPr>
          <w:rFonts w:hint="eastAsia"/>
        </w:rPr>
        <w:tab/>
      </w:r>
      <w:r>
        <w:rPr>
          <w:rFonts w:hint="eastAsia"/>
        </w:rPr>
        <w:tab/>
      </w: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448" w:name="_GoBack"/>
      <w:bookmarkEnd w:id="448"/>
      <w:bookmarkStart w:id="0" w:name="_Toc6592"/>
      <w:bookmarkStart w:id="1" w:name="_Toc26117"/>
      <w:r>
        <w:rPr>
          <w:rFonts w:hint="eastAsia" w:eastAsia="黑体"/>
          <w:lang w:val="en-US" w:eastAsia="zh-CN"/>
        </w:rPr>
        <w:t xml:space="preserve">   </w:t>
      </w:r>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庐江文旅投资食品原材料采购禽肉蛋类</w:t>
      </w:r>
      <w:r>
        <w:rPr>
          <w:rFonts w:eastAsia="黑体"/>
          <w:sz w:val="28"/>
          <w:szCs w:val="28"/>
        </w:rPr>
        <w:t xml:space="preserve">招标公告 </w:t>
      </w:r>
    </w:p>
    <w:p>
      <w:pPr>
        <w:spacing w:line="500" w:lineRule="exact"/>
        <w:ind w:firstLine="420" w:firstLineChars="200"/>
        <w:rPr>
          <w:bCs/>
          <w:color w:val="000000"/>
        </w:rPr>
      </w:pPr>
      <w:r>
        <w:rPr>
          <w:rFonts w:hint="eastAsia"/>
          <w:bCs/>
          <w:color w:val="000000"/>
          <w:u w:val="single"/>
        </w:rPr>
        <w:t>庐江县文旅投资有限公司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庐江文旅投资食品原材料采购禽肉蛋类</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eastAsia" w:eastAsia="宋体"/>
          <w:u w:val="single"/>
          <w:lang w:val="en-US" w:eastAsia="zh-CN"/>
        </w:rPr>
      </w:pPr>
      <w:r>
        <w:rPr>
          <w:bCs/>
          <w:snapToGrid w:val="0"/>
        </w:rPr>
        <w:t>1.1 项目名称：</w:t>
      </w:r>
      <w:r>
        <w:rPr>
          <w:rFonts w:hint="eastAsia"/>
          <w:u w:val="single"/>
        </w:rPr>
        <w:t>庐江文旅投资食品原材料采购禽肉蛋类</w:t>
      </w:r>
      <w:r>
        <w:rPr>
          <w:rFonts w:hint="eastAsia"/>
          <w:u w:val="single"/>
          <w:lang w:val="en-US" w:eastAsia="zh-CN"/>
        </w:rPr>
        <w:t xml:space="preserve"> </w:t>
      </w:r>
    </w:p>
    <w:p>
      <w:pPr>
        <w:spacing w:line="500" w:lineRule="exact"/>
        <w:ind w:firstLine="437"/>
        <w:rPr>
          <w:bCs/>
          <w:snapToGrid w:val="0"/>
          <w:u w:val="single"/>
        </w:rPr>
      </w:pPr>
      <w:r>
        <w:rPr>
          <w:bCs/>
          <w:snapToGrid w:val="0"/>
        </w:rPr>
        <w:t>1.2 项目编号：</w:t>
      </w:r>
      <w:r>
        <w:rPr>
          <w:bCs/>
          <w:snapToGrid w:val="0"/>
          <w:u w:val="single"/>
        </w:rPr>
        <w:t xml:space="preserve"> </w:t>
      </w:r>
      <w:r>
        <w:rPr>
          <w:rFonts w:hint="eastAsia"/>
          <w:bCs/>
          <w:snapToGrid w:val="0"/>
          <w:u w:val="single"/>
        </w:rPr>
        <w:t>2024LJWL01</w:t>
      </w:r>
      <w:r>
        <w:rPr>
          <w:rFonts w:hint="eastAsia"/>
          <w:bCs/>
          <w:snapToGrid w:val="0"/>
          <w:u w:val="single"/>
          <w:lang w:val="en-US" w:eastAsia="zh-CN"/>
        </w:rPr>
        <w:t xml:space="preserve">0          </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庐江县文旅投资有限公司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bCs/>
          <w:snapToGrid w:val="0"/>
          <w:u w:val="single"/>
        </w:rPr>
        <w:t xml:space="preserve"> </w:t>
      </w:r>
      <w:r>
        <w:rPr>
          <w:rFonts w:hint="eastAsia"/>
          <w:u w:val="single"/>
        </w:rPr>
        <w:t>庐江文旅投资食品原材料采购禽肉蛋类</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49万元</w:t>
      </w:r>
      <w:r>
        <w:rPr>
          <w:rFonts w:hint="eastAsia"/>
          <w:bCs/>
          <w:snapToGrid w:val="0"/>
          <w:u w:val="single"/>
          <w:lang w:eastAsia="zh-CN"/>
        </w:rPr>
        <w:t>（</w:t>
      </w:r>
      <w:r>
        <w:rPr>
          <w:rFonts w:hint="eastAsia"/>
          <w:bCs/>
          <w:snapToGrid w:val="0"/>
          <w:u w:val="single"/>
          <w:lang w:val="en-US" w:eastAsia="zh-CN"/>
        </w:rPr>
        <w:t>一期云里安凹预算31万元，二期云溪山舍18万元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color w:val="000000"/>
          <w:u w:val="single"/>
        </w:rPr>
        <w:t xml:space="preserve">  </w:t>
      </w:r>
      <w:r>
        <w:rPr>
          <w:rFonts w:hint="eastAsia"/>
          <w:color w:val="000000"/>
          <w:u w:val="single"/>
          <w:lang w:val="en-US" w:eastAsia="zh-CN"/>
        </w:rPr>
        <w:t>云里安凹与云溪山舍民宿</w:t>
      </w:r>
      <w:r>
        <w:rPr>
          <w:color w:val="000000"/>
          <w:u w:val="single"/>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rFonts w:hint="eastAsia"/>
          <w:color w:val="000000"/>
          <w:u w:val="single"/>
        </w:rPr>
        <w:t>具体送货时间以委托人通知为准，并保质保量将货物送达委托人指定地点，按照相关规定须进行卫生检验检疫的，应同时提供依法有效的该批货物经检验合格的证明等待验收。委托人紧急需要的品种，必须在委托人通知后次日早上送至委托人指定地点。</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rFonts w:hint="default" w:eastAsia="宋体"/>
          <w:bCs/>
          <w:snapToGrid w:val="0"/>
          <w:kern w:val="0"/>
          <w:szCs w:val="21"/>
          <w:lang w:val="en-US" w:eastAsia="zh-CN"/>
        </w:rPr>
      </w:pPr>
      <w:r>
        <w:rPr>
          <w:bCs/>
          <w:snapToGrid w:val="0"/>
          <w:kern w:val="0"/>
          <w:szCs w:val="21"/>
        </w:rPr>
        <w:t>2.1具有独立承担民事责任的能力</w:t>
      </w:r>
      <w:r>
        <w:rPr>
          <w:rFonts w:hint="eastAsia"/>
          <w:bCs/>
          <w:snapToGrid w:val="0"/>
          <w:kern w:val="0"/>
          <w:szCs w:val="21"/>
          <w:lang w:eastAsia="zh-CN"/>
        </w:rPr>
        <w:t>，</w:t>
      </w:r>
      <w:r>
        <w:rPr>
          <w:rFonts w:hint="eastAsia"/>
          <w:bCs/>
          <w:snapToGrid w:val="0"/>
          <w:kern w:val="0"/>
          <w:szCs w:val="21"/>
          <w:lang w:val="en-US" w:eastAsia="zh-CN"/>
        </w:rPr>
        <w:t>具有中华人民共和国境内的一般纳税人。</w:t>
      </w:r>
    </w:p>
    <w:p>
      <w:pPr>
        <w:spacing w:line="500" w:lineRule="exact"/>
        <w:ind w:firstLine="437"/>
        <w:rPr>
          <w:rFonts w:hint="eastAsia" w:eastAsia="宋体"/>
          <w:bCs/>
          <w:snapToGrid w:val="0"/>
          <w:kern w:val="0"/>
          <w:szCs w:val="21"/>
          <w:lang w:eastAsia="zh-CN"/>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p>
    <w:p>
      <w:pPr>
        <w:spacing w:line="500" w:lineRule="exact"/>
        <w:ind w:firstLine="437"/>
        <w:rPr>
          <w:rFonts w:hint="eastAsia"/>
          <w:bCs/>
          <w:snapToGrid w:val="0"/>
          <w:kern w:val="0"/>
          <w:szCs w:val="21"/>
          <w:lang w:eastAsia="zh-CN"/>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2019</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w:t>
      </w:r>
      <w:r>
        <w:rPr>
          <w:rFonts w:hint="eastAsia"/>
          <w:bCs/>
          <w:snapToGrid w:val="0"/>
          <w:kern w:val="0"/>
          <w:szCs w:val="21"/>
        </w:rPr>
        <w:t>具有酒店</w:t>
      </w:r>
      <w:r>
        <w:rPr>
          <w:rFonts w:hint="eastAsia"/>
          <w:bCs/>
          <w:snapToGrid w:val="0"/>
          <w:kern w:val="0"/>
          <w:szCs w:val="21"/>
          <w:lang w:val="en-US" w:eastAsia="zh-CN"/>
        </w:rPr>
        <w:t>禽肉蛋类</w:t>
      </w:r>
      <w:r>
        <w:rPr>
          <w:rFonts w:hint="eastAsia"/>
          <w:bCs/>
          <w:snapToGrid w:val="0"/>
          <w:kern w:val="0"/>
          <w:szCs w:val="21"/>
        </w:rPr>
        <w:t>产品供货业绩</w:t>
      </w:r>
      <w:r>
        <w:rPr>
          <w:rFonts w:hint="eastAsia"/>
          <w:bCs/>
          <w:snapToGrid w:val="0"/>
          <w:kern w:val="0"/>
          <w:szCs w:val="21"/>
          <w:lang w:eastAsia="zh-CN"/>
        </w:rPr>
        <w:t>。</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bCs/>
          <w:i/>
          <w:iCs/>
          <w:snapToGrid w:val="0"/>
          <w:color w:val="000000"/>
          <w:kern w:val="0"/>
          <w:szCs w:val="21"/>
        </w:rPr>
      </w:pPr>
      <w:r>
        <w:rPr>
          <w:bCs/>
          <w:snapToGrid w:val="0"/>
          <w:color w:val="000000"/>
          <w:kern w:val="0"/>
          <w:szCs w:val="21"/>
        </w:rPr>
        <w:t>2.7 一个制造商对同一品牌同一型号的货物，仅能委托一个代理商参加投标。</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9</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16</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：2896535418@qq.com</w:t>
      </w:r>
    </w:p>
    <w:p>
      <w:pPr>
        <w:spacing w:line="500" w:lineRule="exact"/>
        <w:rPr>
          <w:rFonts w:eastAsia="黑体"/>
          <w:sz w:val="24"/>
        </w:rPr>
      </w:pPr>
      <w:r>
        <w:rPr>
          <w:rFonts w:eastAsia="黑体"/>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2024</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10</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17</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10</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00</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sz w:val="21"/>
          <w:szCs w:val="21"/>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000000"/>
          <w:szCs w:val="21"/>
        </w:rPr>
      </w:pPr>
      <w:r>
        <w:rPr>
          <w:bCs/>
          <w:snapToGrid w:val="0"/>
          <w:kern w:val="0"/>
          <w:szCs w:val="21"/>
        </w:rPr>
        <w:t>5.1 开标时间：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color w:val="000000"/>
          <w:szCs w:val="21"/>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color w:val="000000"/>
          <w:szCs w:val="21"/>
        </w:rPr>
        <w:t>月</w:t>
      </w:r>
      <w:r>
        <w:rPr>
          <w:bCs/>
          <w:snapToGrid w:val="0"/>
          <w:kern w:val="0"/>
          <w:szCs w:val="21"/>
          <w:u w:val="single"/>
        </w:rPr>
        <w:t xml:space="preserve"> </w:t>
      </w:r>
      <w:r>
        <w:rPr>
          <w:rFonts w:hint="eastAsia"/>
          <w:bCs/>
          <w:snapToGrid w:val="0"/>
          <w:kern w:val="0"/>
          <w:szCs w:val="21"/>
          <w:u w:val="single"/>
          <w:lang w:val="en-US" w:eastAsia="zh-CN"/>
        </w:rPr>
        <w:t>17</w:t>
      </w:r>
      <w:r>
        <w:rPr>
          <w:bCs/>
          <w:snapToGrid w:val="0"/>
          <w:kern w:val="0"/>
          <w:szCs w:val="21"/>
          <w:u w:val="single"/>
        </w:rPr>
        <w:t xml:space="preserve"> </w:t>
      </w:r>
      <w:r>
        <w:rPr>
          <w:bCs/>
          <w:color w:val="000000"/>
          <w:szCs w:val="21"/>
        </w:rPr>
        <w:t>日</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kern w:val="0"/>
          <w:szCs w:val="21"/>
        </w:rPr>
        <w:t>时</w:t>
      </w:r>
      <w:r>
        <w:rPr>
          <w:bCs/>
          <w:snapToGrid w:val="0"/>
          <w:kern w:val="0"/>
          <w:szCs w:val="21"/>
          <w:u w:val="single"/>
        </w:rPr>
        <w:t xml:space="preserve"> </w:t>
      </w:r>
      <w:r>
        <w:rPr>
          <w:rFonts w:hint="eastAsia"/>
          <w:bCs/>
          <w:snapToGrid w:val="0"/>
          <w:kern w:val="0"/>
          <w:szCs w:val="21"/>
          <w:u w:val="single"/>
          <w:lang w:val="en-US" w:eastAsia="zh-CN"/>
        </w:rPr>
        <w:t>00</w:t>
      </w:r>
      <w:r>
        <w:rPr>
          <w:bCs/>
          <w:snapToGrid w:val="0"/>
          <w:kern w:val="0"/>
          <w:szCs w:val="21"/>
          <w:u w:val="single"/>
        </w:rPr>
        <w:t xml:space="preserve"> </w:t>
      </w:r>
      <w:r>
        <w:rPr>
          <w:bCs/>
          <w:snapToGrid w:val="0"/>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本次招标公告在文旅博览集团有限公司网站http://www.zwzcgl.com和庐江文旅投资公众号上发布。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rFonts w:hint="eastAsia" w:eastAsia="宋体"/>
          <w:bCs/>
          <w:snapToGrid w:val="0"/>
          <w:kern w:val="0"/>
          <w:szCs w:val="21"/>
          <w:u w:val="single"/>
          <w:lang w:val="en-US" w:eastAsia="zh-CN"/>
        </w:rPr>
      </w:pPr>
      <w:r>
        <w:rPr>
          <w:bCs/>
          <w:snapToGrid w:val="0"/>
          <w:kern w:val="0"/>
          <w:szCs w:val="21"/>
        </w:rPr>
        <w:t>招标人</w:t>
      </w:r>
      <w:r>
        <w:rPr>
          <w:rFonts w:hint="eastAsia"/>
          <w:bCs/>
          <w:snapToGrid w:val="0"/>
          <w:kern w:val="0"/>
          <w:szCs w:val="21"/>
        </w:rPr>
        <w:t>：</w:t>
      </w:r>
      <w:r>
        <w:rPr>
          <w:rFonts w:hint="eastAsia"/>
          <w:bCs/>
          <w:snapToGrid w:val="0"/>
          <w:kern w:val="0"/>
          <w:szCs w:val="21"/>
          <w:u w:val="single"/>
        </w:rPr>
        <w:t>庐江县文旅投资有限公司</w:t>
      </w:r>
      <w:r>
        <w:rPr>
          <w:rFonts w:hint="eastAsia"/>
          <w:bCs/>
          <w:snapToGrid w:val="0"/>
          <w:kern w:val="0"/>
          <w:szCs w:val="21"/>
          <w:u w:val="single"/>
          <w:lang w:val="en-US" w:eastAsia="zh-CN"/>
        </w:rPr>
        <w:t xml:space="preserve"> </w:t>
      </w:r>
    </w:p>
    <w:p>
      <w:pPr>
        <w:widowControl/>
        <w:spacing w:line="500" w:lineRule="exact"/>
        <w:ind w:firstLine="420" w:firstLineChars="200"/>
        <w:jc w:val="left"/>
        <w:rPr>
          <w:rFonts w:hint="eastAsia" w:eastAsia="宋体"/>
          <w:bCs/>
          <w:snapToGrid w:val="0"/>
          <w:kern w:val="0"/>
          <w:szCs w:val="21"/>
          <w:lang w:val="en-US" w:eastAsia="zh-CN"/>
        </w:rPr>
      </w:pPr>
      <w:r>
        <w:rPr>
          <w:bCs/>
          <w:snapToGrid w:val="0"/>
          <w:kern w:val="0"/>
          <w:szCs w:val="21"/>
        </w:rPr>
        <w:t>地  址：</w:t>
      </w:r>
      <w:r>
        <w:rPr>
          <w:rFonts w:hint="eastAsia"/>
          <w:bCs/>
          <w:snapToGrid w:val="0"/>
          <w:kern w:val="0"/>
          <w:szCs w:val="21"/>
          <w:u w:val="single"/>
        </w:rPr>
        <w:t>庐江县长冲村安凹组99号</w:t>
      </w:r>
      <w:r>
        <w:rPr>
          <w:rFonts w:hint="eastAsia"/>
          <w:bCs/>
          <w:snapToGrid w:val="0"/>
          <w:kern w:val="0"/>
          <w:szCs w:val="21"/>
          <w:u w:val="single"/>
          <w:lang w:val="en-US" w:eastAsia="zh-CN"/>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val="en-US" w:eastAsia="zh-CN"/>
        </w:rPr>
        <w:t>陶佳欣</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bCs/>
          <w:snapToGrid w:val="0"/>
          <w:kern w:val="0"/>
          <w:szCs w:val="21"/>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15516970023</w:t>
      </w:r>
      <w:r>
        <w:rPr>
          <w:rFonts w:hint="eastAsia"/>
          <w:bCs/>
          <w:snapToGrid w:val="0"/>
          <w:kern w:val="0"/>
          <w:szCs w:val="21"/>
          <w:u w:val="single"/>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before="240" w:beforeLines="100" w:after="240" w:afterLines="100" w:line="500" w:lineRule="exact"/>
        <w:jc w:val="center"/>
        <w:outlineLvl w:val="0"/>
      </w:pPr>
      <w:r>
        <w:rPr>
          <w:bCs/>
          <w:snapToGrid w:val="0"/>
          <w:kern w:val="0"/>
          <w:szCs w:val="21"/>
        </w:rPr>
        <w:br w:type="page"/>
      </w:r>
      <w:bookmarkStart w:id="2" w:name="_Toc30158"/>
      <w:bookmarkStart w:id="3" w:name="_Toc83"/>
      <w:r>
        <w:rPr>
          <w:rStyle w:val="65"/>
          <w:rFonts w:hint="eastAsia" w:ascii="黑体" w:hAnsi="黑体" w:eastAsia="黑体" w:cs="黑体"/>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sz w:val="28"/>
          <w:szCs w:val="28"/>
        </w:rPr>
      </w:pPr>
      <w:bookmarkStart w:id="4" w:name="_Toc21317"/>
      <w:bookmarkStart w:id="5" w:name="_Toc17753"/>
      <w:bookmarkStart w:id="6" w:name="_Toc7591"/>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庐江县文旅投资有限公司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庐江文旅投资食品原材料采购禽肉蛋类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lang w:val="en-US" w:eastAsia="zh-CN"/>
              </w:rPr>
              <w:t>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rPr>
                <w:rFonts w:hint="eastAsia"/>
                <w:color w:val="000000"/>
              </w:rPr>
            </w:pPr>
            <w:r>
              <w:rPr>
                <w:rFonts w:hint="eastAsia"/>
                <w:color w:val="000000"/>
              </w:rPr>
              <w:t>项目编号</w:t>
            </w:r>
          </w:p>
        </w:tc>
        <w:tc>
          <w:tcPr>
            <w:tcW w:w="5995" w:type="dxa"/>
            <w:noWrap w:val="0"/>
            <w:vAlign w:val="center"/>
          </w:tcPr>
          <w:p>
            <w:pPr>
              <w:snapToGrid w:val="0"/>
              <w:spacing w:line="500" w:lineRule="exact"/>
              <w:jc w:val="left"/>
              <w:rPr>
                <w:rFonts w:hint="eastAsia" w:eastAsia="宋体"/>
                <w:color w:val="000000"/>
                <w:lang w:val="en-US" w:eastAsia="zh-CN"/>
              </w:rPr>
            </w:pPr>
            <w:r>
              <w:rPr>
                <w:rFonts w:hint="eastAsia"/>
                <w:color w:val="000000"/>
              </w:rPr>
              <w:t>2024LJWL01</w:t>
            </w:r>
            <w:r>
              <w:rPr>
                <w:rFonts w:hint="eastAsia"/>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eastAsia"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rFonts w:hint="eastAsia" w:ascii="宋体" w:hAnsi="宋体" w:cs="宋体"/>
              </w:rPr>
              <w:t>通过</w:t>
            </w:r>
            <w:r>
              <w:rPr>
                <w:rFonts w:hint="eastAsia" w:ascii="宋体" w:hAnsi="宋体" w:cs="宋体"/>
                <w:bCs/>
                <w:snapToGrid w:val="0"/>
                <w:color w:val="000000"/>
                <w:kern w:val="0"/>
                <w:szCs w:val="21"/>
              </w:rPr>
              <w:t>合肥文</w:t>
            </w:r>
            <w:r>
              <w:rPr>
                <w:rFonts w:hint="eastAsia" w:ascii="宋体" w:hAnsi="宋体" w:cs="宋体"/>
                <w:bCs/>
                <w:snapToGrid w:val="0"/>
                <w:color w:val="000000"/>
              </w:rPr>
              <w:t>旅博览集团有限公司网站</w:t>
            </w:r>
            <w:r>
              <w:fldChar w:fldCharType="begin"/>
            </w:r>
            <w:r>
              <w:instrText xml:space="preserve"> HYPERLINK "http://www.zwzcgl.com" </w:instrText>
            </w:r>
            <w:r>
              <w:fldChar w:fldCharType="separate"/>
            </w:r>
            <w:r>
              <w:rPr>
                <w:rFonts w:hint="eastAsia" w:ascii="宋体" w:hAnsi="宋体" w:cs="宋体"/>
                <w:bCs/>
                <w:snapToGrid w:val="0"/>
                <w:color w:val="000000"/>
              </w:rPr>
              <w:t>http://www.zwzcgl.com</w:t>
            </w:r>
            <w:r>
              <w:rPr>
                <w:rFonts w:hint="eastAsia" w:ascii="宋体" w:hAnsi="宋体" w:cs="宋体"/>
                <w:bCs/>
                <w:snapToGrid w:val="0"/>
                <w:color w:val="000000"/>
              </w:rPr>
              <w:fldChar w:fldCharType="end"/>
            </w:r>
            <w:r>
              <w:rPr>
                <w:rFonts w:hint="eastAsia" w:ascii="宋体" w:hAnsi="宋体" w:cs="宋体"/>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lang w:val="en-US" w:eastAsia="zh-CN"/>
              </w:rPr>
              <w:t>49</w:t>
            </w:r>
            <w:r>
              <w:rPr>
                <w:bCs/>
                <w:snapToGrid w:val="0"/>
                <w:color w:val="000000"/>
                <w:kern w:val="0"/>
                <w:szCs w:val="21"/>
              </w:rPr>
              <w:t>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color w:val="FF0000"/>
              </w:rPr>
            </w:pPr>
            <w:r>
              <w:t>投标保证金的金额：</w:t>
            </w:r>
            <w:r>
              <w:rPr>
                <w:i w:val="0"/>
                <w:iCs w:val="0"/>
                <w:color w:val="FF0000"/>
              </w:rPr>
              <w:t>人民币</w:t>
            </w:r>
            <w:r>
              <w:rPr>
                <w:i w:val="0"/>
                <w:iCs w:val="0"/>
                <w:color w:val="FF0000"/>
                <w:u w:val="single"/>
              </w:rPr>
              <w:t xml:space="preserve">  </w:t>
            </w:r>
            <w:r>
              <w:rPr>
                <w:rFonts w:hint="eastAsia"/>
                <w:i w:val="0"/>
                <w:iCs w:val="0"/>
                <w:color w:val="FF0000"/>
                <w:u w:val="single"/>
                <w:lang w:val="en-US" w:eastAsia="zh-CN"/>
              </w:rPr>
              <w:t>0.9</w:t>
            </w:r>
            <w:r>
              <w:rPr>
                <w:i w:val="0"/>
                <w:iCs w:val="0"/>
                <w:color w:val="FF0000"/>
                <w:u w:val="single"/>
              </w:rPr>
              <w:t xml:space="preserve"> </w:t>
            </w:r>
            <w:r>
              <w:rPr>
                <w:i w:val="0"/>
                <w:iCs w:val="0"/>
                <w:color w:val="FF0000"/>
              </w:rPr>
              <w:t xml:space="preserve"> 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ascii="Times New Roman" w:hAnsi="Times New Roman"/>
                <w:bCs/>
                <w:snapToGrid w:val="0"/>
                <w:color w:val="FF0000"/>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w:t>
            </w:r>
            <w:r>
              <w:rPr>
                <w:rFonts w:hint="eastAsia"/>
                <w:bCs/>
                <w:snapToGrid w:val="0"/>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11078137"/>
      <w:bookmarkStart w:id="9" w:name="_Toc460226989"/>
      <w:bookmarkStart w:id="10" w:name="_Toc19747"/>
      <w:bookmarkStart w:id="11" w:name="_Toc421916975"/>
      <w:bookmarkStart w:id="12" w:name="_Toc27292"/>
      <w:bookmarkStart w:id="13" w:name="_Toc460226720"/>
      <w:bookmarkStart w:id="14" w:name="_Toc283798416"/>
      <w:bookmarkStart w:id="15" w:name="_Toc30945"/>
      <w:bookmarkStart w:id="16" w:name="_Toc460660062"/>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pStyle w:val="106"/>
              <w:adjustRightInd w:val="0"/>
              <w:snapToGrid w:val="0"/>
              <w:spacing w:line="500" w:lineRule="exact"/>
              <w:ind w:firstLine="420" w:firstLineChars="200"/>
              <w:rPr>
                <w:rFonts w:hint="eastAsia"/>
                <w:bCs/>
                <w:snapToGrid w:val="0"/>
                <w:color w:val="000000"/>
                <w:kern w:val="0"/>
                <w:szCs w:val="21"/>
                <w:lang w:eastAsia="zh-CN"/>
              </w:rPr>
            </w:pPr>
            <w:r>
              <w:rPr>
                <w:bCs/>
                <w:snapToGrid w:val="0"/>
                <w:color w:val="000000"/>
                <w:kern w:val="0"/>
                <w:szCs w:val="21"/>
              </w:rPr>
              <w:t>2.具备有效的资质证书（见招标公告要求）</w:t>
            </w:r>
            <w:r>
              <w:rPr>
                <w:rFonts w:hint="eastAsia"/>
                <w:bCs/>
                <w:snapToGrid w:val="0"/>
                <w:color w:val="000000"/>
                <w:kern w:val="0"/>
                <w:szCs w:val="21"/>
                <w:lang w:eastAsia="zh-CN"/>
              </w:rPr>
              <w:t>。</w:t>
            </w:r>
          </w:p>
          <w:p>
            <w:pPr>
              <w:pStyle w:val="106"/>
              <w:adjustRightInd w:val="0"/>
              <w:snapToGrid w:val="0"/>
              <w:spacing w:line="500" w:lineRule="exact"/>
              <w:ind w:firstLine="420" w:firstLineChars="200"/>
              <w:rPr>
                <w:rFonts w:hint="default"/>
                <w:bCs/>
                <w:snapToGrid w:val="0"/>
                <w:color w:val="000000"/>
                <w:kern w:val="0"/>
                <w:szCs w:val="21"/>
                <w:lang w:val="en-US" w:eastAsia="zh-CN"/>
              </w:rPr>
            </w:pPr>
          </w:p>
        </w:tc>
      </w:tr>
    </w:tbl>
    <w:p>
      <w:pPr>
        <w:pStyle w:val="106"/>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等材料（如要求）扫描件。</w:t>
      </w:r>
    </w:p>
    <w:p>
      <w:pPr>
        <w:pStyle w:val="2"/>
        <w:spacing w:before="120" w:beforeLines="50" w:after="120" w:afterLines="50" w:line="500" w:lineRule="exact"/>
        <w:jc w:val="center"/>
        <w:rPr>
          <w:rFonts w:ascii="Times New Roman" w:hAnsi="Times New Roman" w:eastAsia="黑体"/>
          <w:b w:val="0"/>
        </w:rPr>
      </w:pPr>
      <w:bookmarkStart w:id="18" w:name="_Toc460660063"/>
      <w:bookmarkStart w:id="19" w:name="_Toc421916976"/>
      <w:bookmarkStart w:id="20" w:name="_Toc460226721"/>
      <w:bookmarkStart w:id="21" w:name="_Toc283798417"/>
      <w:bookmarkStart w:id="22" w:name="_Toc460226990"/>
      <w:r>
        <w:rPr>
          <w:rFonts w:ascii="Times New Roman" w:hAnsi="Times New Roman" w:eastAsia="仿宋"/>
          <w:b w:val="0"/>
        </w:rPr>
        <w:br w:type="page"/>
      </w:r>
      <w:bookmarkStart w:id="23" w:name="_Toc11078138"/>
      <w:bookmarkStart w:id="24" w:name="_Toc24851"/>
      <w:bookmarkStart w:id="25" w:name="_Toc21862"/>
      <w:bookmarkStart w:id="26" w:name="_Toc23207"/>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firstLine="420" w:firstLineChars="200"/>
              <w:jc w:val="left"/>
              <w:rPr>
                <w:rFonts w:ascii="Times New Roman" w:hAnsi="Times New Roman"/>
                <w:bCs/>
                <w:color w:val="000000"/>
                <w:szCs w:val="21"/>
              </w:rPr>
            </w:pPr>
            <w:r>
              <w:rPr>
                <w:rFonts w:hint="eastAsia" w:ascii="Times New Roman" w:hAnsi="Times New Roman"/>
                <w:bCs/>
                <w:color w:val="000000"/>
                <w:szCs w:val="21"/>
                <w:lang w:eastAsia="zh-CN"/>
              </w:rPr>
              <w:t>☑</w:t>
            </w:r>
            <w:r>
              <w:rPr>
                <w:rFonts w:ascii="Times New Roman" w:hAnsi="Times New Roman"/>
                <w:bCs/>
                <w:color w:val="000000"/>
                <w:szCs w:val="21"/>
              </w:rPr>
              <w:t>无需提供</w:t>
            </w: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rPr>
                <w:rFonts w:ascii="Times New Roman" w:hAnsi="Times New Roman"/>
                <w:bCs/>
                <w:color w:val="000000"/>
                <w:szCs w:val="21"/>
              </w:rPr>
            </w:pP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11078139"/>
      <w:bookmarkStart w:id="28" w:name="_Toc460226722"/>
      <w:bookmarkStart w:id="29" w:name="_Toc7611"/>
      <w:bookmarkStart w:id="30" w:name="_Toc14660"/>
      <w:bookmarkStart w:id="31" w:name="_Toc283798418"/>
      <w:bookmarkStart w:id="32" w:name="_Toc15410"/>
      <w:bookmarkStart w:id="33" w:name="_Toc421916977"/>
      <w:bookmarkStart w:id="34" w:name="_Toc460226991"/>
      <w:bookmarkStart w:id="35" w:name="_Toc460660064"/>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adjustRightInd w:val="0"/>
        <w:snapToGrid w:val="0"/>
        <w:spacing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4971"/>
      <w:bookmarkStart w:id="37" w:name="_Toc11078140"/>
      <w:bookmarkStart w:id="38" w:name="_Toc17183"/>
      <w:bookmarkStart w:id="39" w:name="_Toc6460"/>
      <w:bookmarkStart w:id="40" w:name="_Toc460226992"/>
      <w:bookmarkStart w:id="41" w:name="_Toc421916978"/>
      <w:bookmarkStart w:id="42" w:name="_Toc460226723"/>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993"/>
      <w:bookmarkStart w:id="44" w:name="_Toc421916979"/>
      <w:bookmarkStart w:id="45" w:name="_Toc460226724"/>
      <w:bookmarkStart w:id="46" w:name="_Toc460660066"/>
      <w:bookmarkStart w:id="47" w:name="_Toc28437"/>
      <w:bookmarkStart w:id="48" w:name="_Toc11078142"/>
      <w:bookmarkStart w:id="49" w:name="_Toc7853"/>
      <w:bookmarkStart w:id="50" w:name="_Toc17143"/>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FF0000"/>
                <w:kern w:val="0"/>
                <w:szCs w:val="21"/>
                <w:lang w:val="en-US" w:eastAsia="zh-CN"/>
              </w:rPr>
            </w:pPr>
            <w:r>
              <w:rPr>
                <w:rFonts w:hint="eastAsia"/>
                <w:bCs/>
                <w:snapToGrid w:val="0"/>
                <w:color w:val="FF0000"/>
                <w:kern w:val="0"/>
                <w:szCs w:val="21"/>
                <w:lang w:val="en-US" w:eastAsia="zh-CN"/>
              </w:rPr>
              <w:t>/</w:t>
            </w:r>
          </w:p>
          <w:p>
            <w:pPr>
              <w:spacing w:line="500" w:lineRule="exact"/>
              <w:rPr>
                <w:bCs/>
                <w:color w:val="0000FF"/>
                <w:szCs w:val="21"/>
              </w:rPr>
            </w:pPr>
          </w:p>
        </w:tc>
      </w:tr>
      <w:bookmarkEnd w:id="17"/>
    </w:tbl>
    <w:p>
      <w:pPr>
        <w:bidi w:val="0"/>
      </w:pPr>
      <w:bookmarkStart w:id="51" w:name="_Toc1583"/>
      <w:bookmarkStart w:id="52" w:name="_Toc144974497"/>
      <w:bookmarkStart w:id="53" w:name="_Toc11558"/>
      <w:bookmarkStart w:id="54" w:name="_Toc14931"/>
      <w:bookmarkStart w:id="55" w:name="_Toc179632546"/>
      <w:bookmarkStart w:id="56" w:name="_Toc152045529"/>
      <w:bookmarkStart w:id="57" w:name="_Toc152042305"/>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
      <w:pPr>
        <w:bidi w:val="0"/>
      </w:pPr>
    </w:p>
    <w:p>
      <w:pPr>
        <w:bidi w:val="0"/>
      </w:pPr>
    </w:p>
    <w:p>
      <w:pPr>
        <w:bidi w:val="0"/>
      </w:pPr>
    </w:p>
    <w:p/>
    <w:p>
      <w:pPr>
        <w:bidi w:val="0"/>
      </w:pPr>
    </w:p>
    <w:p/>
    <w:p>
      <w:pPr>
        <w:bidi w:val="0"/>
      </w:pPr>
    </w:p>
    <w:p>
      <w:pPr>
        <w:bidi w:val="0"/>
      </w:pPr>
    </w:p>
    <w:p>
      <w:pPr>
        <w:bidi w:val="0"/>
      </w:pPr>
    </w:p>
    <w:p>
      <w:pPr>
        <w:bidi w:val="0"/>
      </w:pPr>
    </w:p>
    <w:p>
      <w:pPr>
        <w:bidi w:val="0"/>
      </w:pPr>
    </w:p>
    <w:p>
      <w:pPr>
        <w:bidi w:val="0"/>
      </w:pPr>
    </w:p>
    <w:p>
      <w:pPr>
        <w:bidi w:val="0"/>
      </w:pPr>
    </w:p>
    <w:p/>
    <w:p>
      <w:pPr>
        <w:bidi w:val="0"/>
      </w:pPr>
    </w:p>
    <w:p/>
    <w:p>
      <w:pPr>
        <w:bidi w:val="0"/>
      </w:pPr>
    </w:p>
    <w:p>
      <w:pPr>
        <w:bidi w:val="0"/>
      </w:pPr>
    </w:p>
    <w:p>
      <w:pPr>
        <w:bidi w:val="0"/>
      </w:pPr>
    </w:p>
    <w:p>
      <w:pPr>
        <w:bidi w:val="0"/>
      </w:pPr>
    </w:p>
    <w:p>
      <w:pPr>
        <w:pStyle w:val="2"/>
        <w:spacing w:before="0" w:after="0" w:line="500" w:lineRule="exact"/>
        <w:rPr>
          <w:rFonts w:ascii="Times New Roman" w:hAnsi="Times New Roman" w:eastAsia="黑体"/>
          <w:b w:val="0"/>
        </w:rPr>
      </w:pPr>
      <w:r>
        <w:rPr>
          <w:rFonts w:ascii="Times New Roman" w:hAnsi="Times New Roman" w:eastAsia="黑体"/>
          <w:b w:val="0"/>
          <w:sz w:val="28"/>
          <w:szCs w:val="28"/>
        </w:rPr>
        <w:t>1. 总则</w:t>
      </w:r>
      <w:bookmarkEnd w:id="51"/>
      <w:bookmarkEnd w:id="52"/>
      <w:bookmarkEnd w:id="53"/>
      <w:bookmarkEnd w:id="54"/>
      <w:bookmarkEnd w:id="55"/>
      <w:bookmarkEnd w:id="56"/>
      <w:bookmarkEnd w:id="57"/>
    </w:p>
    <w:p>
      <w:pPr>
        <w:pStyle w:val="4"/>
        <w:spacing w:before="0" w:after="0" w:line="500" w:lineRule="exact"/>
        <w:rPr>
          <w:rFonts w:ascii="Times New Roman" w:hAnsi="Times New Roman"/>
          <w:snapToGrid w:val="0"/>
          <w:shd w:val="clear" w:color="auto" w:fill="FFFFFF"/>
          <w:lang w:val="zh-CN"/>
        </w:rPr>
      </w:pPr>
      <w:bookmarkStart w:id="58" w:name="_Toc152042306"/>
      <w:bookmarkStart w:id="59" w:name="_Toc144974498"/>
      <w:bookmarkStart w:id="60" w:name="_Toc179632547"/>
      <w:bookmarkStart w:id="61" w:name="_Toc152045530"/>
      <w:r>
        <w:rPr>
          <w:rFonts w:ascii="Times New Roman" w:hAnsi="Times New Roman"/>
          <w:snapToGrid w:val="0"/>
          <w:shd w:val="clear" w:color="auto" w:fill="FFFFFF"/>
          <w:lang w:val="zh-CN"/>
        </w:rPr>
        <w:t>1.1 项目概况</w:t>
      </w:r>
      <w:bookmarkEnd w:id="58"/>
      <w:bookmarkEnd w:id="59"/>
      <w:bookmarkEnd w:id="60"/>
      <w:bookmarkEnd w:id="61"/>
    </w:p>
    <w:p>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4"/>
        <w:spacing w:before="0" w:after="0" w:line="500" w:lineRule="exact"/>
        <w:rPr>
          <w:rFonts w:ascii="Times New Roman" w:hAnsi="Times New Roman"/>
        </w:rPr>
      </w:pPr>
      <w:bookmarkStart w:id="62" w:name="_Toc152045531"/>
      <w:bookmarkStart w:id="63" w:name="_Toc144974499"/>
      <w:bookmarkStart w:id="64" w:name="_Toc152042307"/>
      <w:bookmarkStart w:id="65" w:name="_Toc179632548"/>
      <w:r>
        <w:rPr>
          <w:rFonts w:ascii="Times New Roman" w:hAnsi="Times New Roman"/>
        </w:rPr>
        <w:t>1.2 资金来源和落实情况</w:t>
      </w:r>
      <w:bookmarkEnd w:id="62"/>
      <w:bookmarkEnd w:id="63"/>
      <w:bookmarkEnd w:id="64"/>
      <w:bookmarkEnd w:id="65"/>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4"/>
        <w:spacing w:before="0" w:after="0" w:line="500" w:lineRule="exact"/>
        <w:rPr>
          <w:rFonts w:ascii="Times New Roman" w:hAnsi="Times New Roman"/>
        </w:rPr>
      </w:pPr>
      <w:bookmarkStart w:id="66" w:name="_Toc144974500"/>
      <w:bookmarkStart w:id="67" w:name="_Toc152042308"/>
      <w:bookmarkStart w:id="68" w:name="_Toc179632549"/>
      <w:bookmarkStart w:id="69" w:name="_Toc152045532"/>
      <w:r>
        <w:rPr>
          <w:rFonts w:ascii="Times New Roman" w:hAnsi="Times New Roman"/>
        </w:rPr>
        <w:t>1.3 招标范围、交货及安装周期、交货及安装地点和技术性能指标</w:t>
      </w:r>
      <w:bookmarkEnd w:id="66"/>
      <w:bookmarkEnd w:id="67"/>
      <w:bookmarkEnd w:id="68"/>
      <w:bookmarkEnd w:id="69"/>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4"/>
        <w:spacing w:before="0" w:after="0" w:line="500" w:lineRule="exact"/>
        <w:rPr>
          <w:rFonts w:ascii="Times New Roman" w:hAnsi="Times New Roman"/>
        </w:rPr>
      </w:pPr>
      <w:bookmarkStart w:id="70" w:name="_Toc179632551"/>
      <w:bookmarkStart w:id="71" w:name="_Toc152042310"/>
      <w:bookmarkStart w:id="72" w:name="_Toc144974502"/>
      <w:bookmarkStart w:id="73" w:name="_Toc152045534"/>
      <w:r>
        <w:rPr>
          <w:rFonts w:ascii="Times New Roman" w:hAnsi="Times New Roman"/>
        </w:rPr>
        <w:t>1.4 投标人资格要求</w:t>
      </w:r>
      <w:bookmarkEnd w:id="70"/>
      <w:bookmarkEnd w:id="71"/>
      <w:bookmarkEnd w:id="72"/>
      <w:bookmarkEnd w:id="73"/>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4" w:name="_Toc144974503"/>
      <w:bookmarkStart w:id="75" w:name="_Toc152045535"/>
      <w:bookmarkStart w:id="76" w:name="_Toc179632552"/>
      <w:bookmarkStart w:id="77" w:name="_Toc152042311"/>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（9）法律法规或投标人须知前附表规定的其他情形。</w:t>
      </w:r>
    </w:p>
    <w:p>
      <w:pPr>
        <w:pStyle w:val="4"/>
        <w:spacing w:before="0" w:after="0" w:line="500" w:lineRule="exact"/>
        <w:rPr>
          <w:rFonts w:ascii="Times New Roman" w:hAnsi="Times New Roman"/>
        </w:rPr>
      </w:pPr>
      <w:r>
        <w:rPr>
          <w:rFonts w:ascii="Times New Roman" w:hAnsi="Times New Roman"/>
        </w:rPr>
        <w:t>1.5 费用承担</w:t>
      </w:r>
      <w:bookmarkEnd w:id="74"/>
      <w:bookmarkEnd w:id="75"/>
      <w:bookmarkEnd w:id="76"/>
      <w:bookmarkEnd w:id="77"/>
    </w:p>
    <w:p>
      <w:pPr>
        <w:spacing w:line="500" w:lineRule="exact"/>
        <w:ind w:firstLine="420" w:firstLineChars="200"/>
      </w:pPr>
      <w:r>
        <w:t>投标人准备和参加投标活动发生的费用自理。</w:t>
      </w:r>
    </w:p>
    <w:p>
      <w:pPr>
        <w:pStyle w:val="4"/>
        <w:spacing w:before="0" w:after="0" w:line="500" w:lineRule="exact"/>
        <w:rPr>
          <w:rFonts w:ascii="Times New Roman" w:hAnsi="Times New Roman"/>
        </w:rPr>
      </w:pPr>
      <w:bookmarkStart w:id="78" w:name="_Toc179632553"/>
      <w:bookmarkStart w:id="79" w:name="_Toc152042312"/>
      <w:bookmarkStart w:id="80" w:name="_Toc144974504"/>
      <w:bookmarkStart w:id="81" w:name="_Toc152045536"/>
      <w:r>
        <w:rPr>
          <w:rFonts w:ascii="Times New Roman" w:hAnsi="Times New Roman"/>
        </w:rPr>
        <w:t>1.6 保密</w:t>
      </w:r>
      <w:bookmarkEnd w:id="78"/>
      <w:bookmarkEnd w:id="79"/>
      <w:bookmarkEnd w:id="80"/>
      <w:bookmarkEnd w:id="81"/>
    </w:p>
    <w:p>
      <w:pPr>
        <w:spacing w:line="500" w:lineRule="exact"/>
        <w:ind w:firstLine="420" w:firstLineChars="200"/>
      </w:pPr>
      <w:bookmarkStart w:id="82" w:name="_Toc144974505"/>
      <w:bookmarkStart w:id="83" w:name="_Toc152042313"/>
      <w:bookmarkStart w:id="84" w:name="_Toc179632554"/>
      <w:bookmarkStart w:id="85" w:name="_Toc152045537"/>
      <w:r>
        <w:t>参与招标投标活动的各方应对招标文件和投标文件中的商业和技术等秘密保密，</w:t>
      </w:r>
      <w:r>
        <w:rPr>
          <w:bCs/>
          <w:snapToGrid w:val="0"/>
          <w:color w:val="000000"/>
          <w:kern w:val="0"/>
          <w:szCs w:val="21"/>
        </w:rPr>
        <w:t>否则应承担相应的法律责任</w:t>
      </w:r>
      <w:r>
        <w:t>。</w:t>
      </w:r>
    </w:p>
    <w:p>
      <w:pPr>
        <w:pStyle w:val="4"/>
        <w:spacing w:before="0" w:after="0" w:line="500" w:lineRule="exact"/>
        <w:rPr>
          <w:rFonts w:ascii="Times New Roman" w:hAnsi="Times New Roman"/>
        </w:rPr>
      </w:pPr>
      <w:r>
        <w:rPr>
          <w:rFonts w:ascii="Times New Roman" w:hAnsi="Times New Roman"/>
        </w:rPr>
        <w:t>1.7 语言</w:t>
      </w:r>
      <w:bookmarkEnd w:id="82"/>
      <w:r>
        <w:rPr>
          <w:rFonts w:ascii="Times New Roman" w:hAnsi="Times New Roman"/>
        </w:rPr>
        <w:t>文字</w:t>
      </w:r>
      <w:bookmarkEnd w:id="83"/>
      <w:bookmarkEnd w:id="84"/>
      <w:bookmarkEnd w:id="85"/>
    </w:p>
    <w:p>
      <w:pPr>
        <w:spacing w:line="500" w:lineRule="exact"/>
        <w:ind w:firstLine="420" w:firstLineChars="200"/>
      </w:pPr>
      <w:bookmarkStart w:id="86" w:name="_Toc152042314"/>
      <w:bookmarkStart w:id="87" w:name="_Toc144974506"/>
      <w:bookmarkStart w:id="88" w:name="_Toc152045538"/>
      <w:bookmarkStart w:id="89" w:name="_Toc179632555"/>
      <w:r>
        <w:rPr>
          <w:bCs/>
          <w:snapToGrid w:val="0"/>
          <w:color w:val="000000"/>
          <w:kern w:val="0"/>
          <w:szCs w:val="21"/>
        </w:rPr>
        <w:t>招标投标文件使用的语言文字为中文。专用术语使用外文的，应附有中文注释。</w:t>
      </w:r>
    </w:p>
    <w:p>
      <w:pPr>
        <w:pStyle w:val="4"/>
        <w:spacing w:before="0" w:after="0" w:line="500" w:lineRule="exact"/>
        <w:rPr>
          <w:rFonts w:ascii="Times New Roman" w:hAnsi="Times New Roman"/>
        </w:rPr>
      </w:pPr>
      <w:r>
        <w:rPr>
          <w:rFonts w:ascii="Times New Roman" w:hAnsi="Times New Roman"/>
        </w:rPr>
        <w:t>1.8 计量单位</w:t>
      </w:r>
      <w:bookmarkEnd w:id="86"/>
      <w:bookmarkEnd w:id="87"/>
      <w:bookmarkEnd w:id="88"/>
      <w:bookmarkEnd w:id="89"/>
    </w:p>
    <w:p>
      <w:pPr>
        <w:spacing w:line="500" w:lineRule="exact"/>
        <w:ind w:firstLine="420" w:firstLineChars="200"/>
      </w:pPr>
      <w:r>
        <w:t>所有计量均采用中华人民共和国法定计量单位。</w:t>
      </w:r>
    </w:p>
    <w:p>
      <w:pPr>
        <w:pStyle w:val="4"/>
        <w:spacing w:before="0" w:after="0" w:line="500" w:lineRule="exact"/>
        <w:rPr>
          <w:rFonts w:ascii="Times New Roman" w:hAnsi="Times New Roman"/>
        </w:rPr>
      </w:pPr>
      <w:bookmarkStart w:id="90" w:name="_Toc152042315"/>
      <w:bookmarkStart w:id="91" w:name="_Toc152045539"/>
      <w:bookmarkStart w:id="92" w:name="_Toc144974507"/>
      <w:bookmarkStart w:id="93" w:name="_Toc179632556"/>
      <w:r>
        <w:rPr>
          <w:rFonts w:ascii="Times New Roman" w:hAnsi="Times New Roman"/>
        </w:rPr>
        <w:t>1.9 踏勘现场</w:t>
      </w:r>
      <w:bookmarkEnd w:id="90"/>
      <w:bookmarkEnd w:id="91"/>
      <w:bookmarkEnd w:id="92"/>
      <w:bookmarkEnd w:id="93"/>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rPr>
      </w:pPr>
      <w:bookmarkStart w:id="94" w:name="_Toc152042317"/>
      <w:bookmarkStart w:id="95" w:name="_Toc144974509"/>
      <w:bookmarkStart w:id="96" w:name="_Toc152045541"/>
      <w:bookmarkStart w:id="97" w:name="_Toc179632558"/>
      <w:r>
        <w:rPr>
          <w:rFonts w:ascii="Times New Roman" w:hAnsi="Times New Roman"/>
        </w:rPr>
        <w:t>1.10 分包</w:t>
      </w:r>
      <w:bookmarkEnd w:id="94"/>
      <w:bookmarkEnd w:id="95"/>
      <w:bookmarkEnd w:id="96"/>
      <w:bookmarkEnd w:id="97"/>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rPr>
      </w:pPr>
      <w:bookmarkStart w:id="98" w:name="_Toc179632559"/>
      <w:r>
        <w:rPr>
          <w:rFonts w:ascii="Times New Roman" w:hAnsi="Times New Roman"/>
        </w:rPr>
        <w:t xml:space="preserve">1.11 </w:t>
      </w:r>
      <w:bookmarkEnd w:id="98"/>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2"/>
        <w:spacing w:before="0" w:after="0" w:line="500" w:lineRule="exact"/>
        <w:rPr>
          <w:rFonts w:ascii="Times New Roman" w:hAnsi="Times New Roman" w:eastAsia="黑体"/>
          <w:b w:val="0"/>
          <w:sz w:val="28"/>
          <w:szCs w:val="28"/>
        </w:rPr>
      </w:pPr>
      <w:bookmarkStart w:id="99" w:name="_Toc30505"/>
      <w:bookmarkStart w:id="100" w:name="_Toc152045542"/>
      <w:bookmarkStart w:id="101" w:name="_Toc2334"/>
      <w:bookmarkStart w:id="102" w:name="_Toc152042318"/>
      <w:bookmarkStart w:id="103" w:name="_Toc179632560"/>
      <w:bookmarkStart w:id="104" w:name="_Toc11167"/>
      <w:bookmarkStart w:id="105" w:name="_Toc144974510"/>
      <w:r>
        <w:rPr>
          <w:rFonts w:ascii="Times New Roman" w:hAnsi="Times New Roman" w:eastAsia="黑体"/>
          <w:b w:val="0"/>
          <w:sz w:val="28"/>
          <w:szCs w:val="28"/>
        </w:rPr>
        <w:t>2. 招标文件</w:t>
      </w:r>
      <w:bookmarkEnd w:id="99"/>
      <w:bookmarkEnd w:id="100"/>
      <w:bookmarkEnd w:id="101"/>
      <w:bookmarkEnd w:id="102"/>
      <w:bookmarkEnd w:id="103"/>
      <w:bookmarkEnd w:id="104"/>
      <w:bookmarkEnd w:id="105"/>
    </w:p>
    <w:p>
      <w:pPr>
        <w:pStyle w:val="4"/>
        <w:spacing w:before="0" w:after="0" w:line="500" w:lineRule="exact"/>
        <w:rPr>
          <w:rFonts w:ascii="Times New Roman" w:hAnsi="Times New Roman"/>
        </w:rPr>
      </w:pPr>
      <w:bookmarkStart w:id="106" w:name="_Toc179632561"/>
      <w:bookmarkStart w:id="107" w:name="_Toc152045543"/>
      <w:bookmarkStart w:id="108" w:name="_Toc152042319"/>
      <w:bookmarkStart w:id="109" w:name="_Toc144974511"/>
      <w:r>
        <w:rPr>
          <w:rFonts w:ascii="Times New Roman" w:hAnsi="Times New Roman"/>
        </w:rPr>
        <w:t>2.1 招标文件的组成</w:t>
      </w:r>
      <w:bookmarkEnd w:id="106"/>
      <w:bookmarkEnd w:id="107"/>
      <w:bookmarkEnd w:id="108"/>
      <w:bookmarkEnd w:id="109"/>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rPr>
      </w:pPr>
      <w:bookmarkStart w:id="110" w:name="_Toc144974512"/>
      <w:bookmarkStart w:id="111" w:name="_Toc152042320"/>
      <w:bookmarkStart w:id="112" w:name="_Toc179632562"/>
      <w:bookmarkStart w:id="113" w:name="_Toc152045544"/>
      <w:r>
        <w:rPr>
          <w:rFonts w:ascii="Times New Roman" w:hAnsi="Times New Roman"/>
        </w:rPr>
        <w:t>2.2 招标文件的澄清</w:t>
      </w:r>
      <w:bookmarkEnd w:id="110"/>
      <w:bookmarkEnd w:id="111"/>
      <w:bookmarkEnd w:id="112"/>
      <w:bookmarkEnd w:id="113"/>
    </w:p>
    <w:p>
      <w:pPr>
        <w:spacing w:line="500" w:lineRule="exact"/>
        <w:ind w:firstLine="420" w:firstLineChars="200"/>
      </w:pPr>
      <w:bookmarkStart w:id="114" w:name="_Toc144974513"/>
      <w:bookmarkStart w:id="115" w:name="_Toc152045545"/>
      <w:bookmarkStart w:id="116" w:name="_Toc179632563"/>
      <w:bookmarkStart w:id="117" w:name="_Toc152042321"/>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rPr>
      </w:pPr>
      <w:r>
        <w:rPr>
          <w:rFonts w:ascii="Times New Roman" w:hAnsi="Times New Roman"/>
        </w:rPr>
        <w:t>2.3 招标文件的修改</w:t>
      </w:r>
      <w:bookmarkEnd w:id="114"/>
      <w:bookmarkEnd w:id="115"/>
      <w:bookmarkEnd w:id="116"/>
      <w:bookmarkEnd w:id="117"/>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sz w:val="28"/>
          <w:szCs w:val="28"/>
        </w:rPr>
      </w:pPr>
      <w:bookmarkStart w:id="118" w:name="_Toc152042322"/>
      <w:bookmarkStart w:id="119" w:name="_Toc144974514"/>
      <w:bookmarkStart w:id="120" w:name="_Toc19092"/>
      <w:bookmarkStart w:id="121" w:name="_Toc152045546"/>
      <w:bookmarkStart w:id="122" w:name="_Toc6119"/>
      <w:bookmarkStart w:id="123" w:name="_Toc12574"/>
      <w:bookmarkStart w:id="124" w:name="_Toc179632564"/>
      <w:r>
        <w:rPr>
          <w:rFonts w:ascii="Times New Roman" w:hAnsi="Times New Roman" w:eastAsia="黑体"/>
          <w:b w:val="0"/>
          <w:sz w:val="28"/>
          <w:szCs w:val="28"/>
        </w:rPr>
        <w:t>3. 投标文件</w:t>
      </w:r>
      <w:bookmarkEnd w:id="118"/>
      <w:bookmarkEnd w:id="119"/>
      <w:bookmarkEnd w:id="120"/>
      <w:bookmarkEnd w:id="121"/>
      <w:bookmarkEnd w:id="122"/>
      <w:bookmarkEnd w:id="123"/>
      <w:bookmarkEnd w:id="124"/>
    </w:p>
    <w:p>
      <w:pPr>
        <w:pStyle w:val="4"/>
        <w:spacing w:before="0" w:after="0" w:line="500" w:lineRule="exact"/>
        <w:rPr>
          <w:rFonts w:ascii="Times New Roman" w:hAnsi="Times New Roman"/>
        </w:rPr>
      </w:pPr>
      <w:bookmarkStart w:id="125" w:name="_Toc152045547"/>
      <w:bookmarkStart w:id="126" w:name="_Toc144974515"/>
      <w:bookmarkStart w:id="127" w:name="_Toc152042323"/>
      <w:bookmarkStart w:id="128" w:name="_Toc179632565"/>
      <w:r>
        <w:rPr>
          <w:rFonts w:ascii="Times New Roman" w:hAnsi="Times New Roman"/>
        </w:rPr>
        <w:t>3.1 投标文件的组成</w:t>
      </w:r>
      <w:bookmarkEnd w:id="125"/>
      <w:bookmarkEnd w:id="126"/>
      <w:bookmarkEnd w:id="127"/>
      <w:bookmarkEnd w:id="128"/>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rPr>
      </w:pPr>
      <w:bookmarkStart w:id="129" w:name="_Toc179632566"/>
      <w:bookmarkStart w:id="130" w:name="_Toc152045548"/>
      <w:bookmarkStart w:id="131" w:name="_Toc144974516"/>
      <w:bookmarkStart w:id="132" w:name="_Toc152042324"/>
      <w:r>
        <w:rPr>
          <w:rFonts w:ascii="Times New Roman" w:hAnsi="Times New Roman"/>
        </w:rPr>
        <w:t>3.2 投标报价</w:t>
      </w:r>
      <w:bookmarkEnd w:id="129"/>
      <w:bookmarkEnd w:id="130"/>
      <w:bookmarkEnd w:id="131"/>
      <w:bookmarkEnd w:id="132"/>
    </w:p>
    <w:p>
      <w:pPr>
        <w:spacing w:line="500" w:lineRule="exact"/>
        <w:ind w:firstLine="420" w:firstLineChars="200"/>
        <w:rPr>
          <w:bCs/>
          <w:snapToGrid w:val="0"/>
          <w:color w:val="000000"/>
          <w:kern w:val="0"/>
          <w:szCs w:val="21"/>
        </w:rPr>
      </w:pPr>
      <w:bookmarkStart w:id="133" w:name="_Toc152042325"/>
      <w:bookmarkStart w:id="134" w:name="_Toc152045549"/>
      <w:bookmarkStart w:id="135" w:name="_Toc179632567"/>
      <w:bookmarkStart w:id="136" w:name="_Toc14497451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4"/>
        <w:spacing w:before="0" w:after="0" w:line="500" w:lineRule="exact"/>
        <w:rPr>
          <w:rFonts w:ascii="Times New Roman" w:hAnsi="Times New Roman"/>
        </w:rPr>
      </w:pPr>
      <w:r>
        <w:rPr>
          <w:rFonts w:ascii="Times New Roman" w:hAnsi="Times New Roman"/>
        </w:rPr>
        <w:t>3.3 投标有效期</w:t>
      </w:r>
      <w:bookmarkEnd w:id="133"/>
      <w:bookmarkEnd w:id="134"/>
      <w:bookmarkEnd w:id="135"/>
      <w:bookmarkEnd w:id="136"/>
    </w:p>
    <w:p>
      <w:pPr>
        <w:spacing w:line="500" w:lineRule="exact"/>
        <w:ind w:firstLine="420" w:firstLineChars="200"/>
        <w:jc w:val="left"/>
      </w:pPr>
      <w:bookmarkStart w:id="137" w:name="_Toc152045550"/>
      <w:bookmarkStart w:id="138" w:name="_Toc144974518"/>
      <w:bookmarkStart w:id="139" w:name="_Toc152042326"/>
      <w:bookmarkStart w:id="140" w:name="_Toc17963256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rPr>
      </w:pPr>
      <w:r>
        <w:rPr>
          <w:rFonts w:ascii="Times New Roman" w:hAnsi="Times New Roman"/>
        </w:rPr>
        <w:t>3.4 投标保证金</w:t>
      </w:r>
      <w:bookmarkEnd w:id="137"/>
      <w:bookmarkEnd w:id="138"/>
      <w:bookmarkEnd w:id="139"/>
      <w:bookmarkEnd w:id="140"/>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1" w:name="_Toc152045552"/>
      <w:bookmarkStart w:id="142" w:name="_Toc152042328"/>
      <w:bookmarkStart w:id="143" w:name="_Toc179632570"/>
      <w:bookmarkStart w:id="144" w:name="_Toc14497452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bookmarkEnd w:id="141"/>
    <w:bookmarkEnd w:id="142"/>
    <w:bookmarkEnd w:id="143"/>
    <w:bookmarkEnd w:id="144"/>
    <w:p>
      <w:pPr>
        <w:pStyle w:val="4"/>
        <w:spacing w:before="0" w:after="0" w:line="500" w:lineRule="exact"/>
        <w:rPr>
          <w:rFonts w:ascii="Times New Roman" w:hAnsi="Times New Roman"/>
        </w:rPr>
      </w:pPr>
      <w:r>
        <w:rPr>
          <w:rFonts w:ascii="Times New Roman" w:hAnsi="Times New Roman"/>
        </w:rPr>
        <w:t>3.5 资格审查资料</w:t>
      </w:r>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45" w:name="_Toc369531538"/>
      <w:bookmarkStart w:id="146" w:name="_Toc29902"/>
      <w:bookmarkStart w:id="147" w:name="_Toc384308232"/>
      <w:bookmarkStart w:id="148" w:name="_Toc300834971"/>
      <w:bookmarkStart w:id="149" w:name="_Toc361508607"/>
      <w:bookmarkStart w:id="150" w:name="_Toc247527575"/>
      <w:bookmarkStart w:id="151" w:name="_Toc352691495"/>
      <w:bookmarkStart w:id="152" w:name="_Toc247513974"/>
      <w:r>
        <w:t>技术方案的</w:t>
      </w:r>
      <w:bookmarkEnd w:id="145"/>
      <w:bookmarkEnd w:id="146"/>
      <w:bookmarkEnd w:id="147"/>
      <w:bookmarkEnd w:id="148"/>
      <w:bookmarkEnd w:id="149"/>
      <w:bookmarkEnd w:id="150"/>
      <w:bookmarkEnd w:id="151"/>
      <w:bookmarkEnd w:id="152"/>
      <w:r>
        <w:t>，视为提供备选方案。</w:t>
      </w:r>
    </w:p>
    <w:p>
      <w:pPr>
        <w:pStyle w:val="4"/>
        <w:spacing w:before="0" w:after="0" w:line="500" w:lineRule="exact"/>
        <w:rPr>
          <w:rFonts w:ascii="Times New Roman" w:hAnsi="Times New Roman"/>
        </w:rPr>
      </w:pPr>
      <w:bookmarkStart w:id="153" w:name="_Toc152045554"/>
      <w:bookmarkStart w:id="154" w:name="_Toc152042330"/>
      <w:bookmarkStart w:id="155" w:name="_Toc144974522"/>
      <w:bookmarkStart w:id="156" w:name="_Toc179632572"/>
      <w:r>
        <w:rPr>
          <w:rFonts w:ascii="Times New Roman" w:hAnsi="Times New Roman"/>
        </w:rPr>
        <w:t>3.7 投标文件的编制</w:t>
      </w:r>
      <w:bookmarkEnd w:id="153"/>
      <w:bookmarkEnd w:id="154"/>
      <w:bookmarkEnd w:id="155"/>
      <w:bookmarkEnd w:id="156"/>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sz w:val="28"/>
          <w:szCs w:val="28"/>
        </w:rPr>
      </w:pPr>
      <w:bookmarkStart w:id="157" w:name="_Toc144974523"/>
      <w:bookmarkStart w:id="158" w:name="_Toc179632573"/>
      <w:bookmarkStart w:id="159" w:name="_Toc152042331"/>
      <w:bookmarkStart w:id="160" w:name="_Toc152045555"/>
      <w:bookmarkStart w:id="161" w:name="_Toc22300"/>
      <w:bookmarkStart w:id="162" w:name="_Toc20257"/>
      <w:bookmarkStart w:id="163" w:name="_Toc27208"/>
      <w:r>
        <w:rPr>
          <w:rFonts w:ascii="Times New Roman" w:hAnsi="Times New Roman" w:eastAsia="黑体"/>
          <w:b w:val="0"/>
          <w:sz w:val="28"/>
          <w:szCs w:val="28"/>
        </w:rPr>
        <w:t>4. 投标</w:t>
      </w:r>
      <w:bookmarkEnd w:id="157"/>
      <w:bookmarkEnd w:id="158"/>
      <w:bookmarkEnd w:id="159"/>
      <w:bookmarkEnd w:id="160"/>
      <w:bookmarkEnd w:id="161"/>
      <w:bookmarkEnd w:id="162"/>
      <w:bookmarkEnd w:id="163"/>
    </w:p>
    <w:p>
      <w:pPr>
        <w:pStyle w:val="4"/>
        <w:spacing w:before="0" w:after="0" w:line="500" w:lineRule="exact"/>
        <w:rPr>
          <w:rFonts w:ascii="Times New Roman" w:hAnsi="Times New Roman"/>
        </w:rPr>
      </w:pPr>
      <w:bookmarkStart w:id="164" w:name="_Toc152045556"/>
      <w:bookmarkStart w:id="165" w:name="_Toc144974524"/>
      <w:bookmarkStart w:id="166" w:name="_Toc152042332"/>
      <w:bookmarkStart w:id="167" w:name="_Toc179632574"/>
      <w:r>
        <w:rPr>
          <w:rFonts w:ascii="Times New Roman" w:hAnsi="Times New Roman"/>
        </w:rPr>
        <w:t>4.1 投标文件的加密（密封）和标记</w:t>
      </w:r>
      <w:bookmarkEnd w:id="164"/>
      <w:bookmarkEnd w:id="165"/>
      <w:bookmarkEnd w:id="166"/>
      <w:bookmarkEnd w:id="167"/>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rPr>
      </w:pPr>
      <w:bookmarkStart w:id="168" w:name="_Toc152042333"/>
      <w:bookmarkStart w:id="169" w:name="_Toc144974525"/>
      <w:bookmarkStart w:id="170" w:name="_Toc179632575"/>
      <w:bookmarkStart w:id="171" w:name="_Toc152045557"/>
      <w:r>
        <w:rPr>
          <w:rFonts w:ascii="Times New Roman" w:hAnsi="Times New Roman"/>
        </w:rPr>
        <w:t>4.2 投标文件的递交</w:t>
      </w:r>
      <w:bookmarkEnd w:id="168"/>
      <w:bookmarkEnd w:id="169"/>
      <w:bookmarkEnd w:id="170"/>
      <w:bookmarkEnd w:id="171"/>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4"/>
        <w:spacing w:before="0" w:after="0" w:line="500" w:lineRule="exact"/>
        <w:rPr>
          <w:rFonts w:ascii="Times New Roman" w:hAnsi="Times New Roman"/>
        </w:rPr>
      </w:pPr>
      <w:bookmarkStart w:id="172" w:name="_Toc179632576"/>
      <w:bookmarkStart w:id="173" w:name="_Toc152042334"/>
      <w:bookmarkStart w:id="174" w:name="_Toc144974526"/>
      <w:bookmarkStart w:id="175" w:name="_Toc152045558"/>
      <w:r>
        <w:rPr>
          <w:rFonts w:ascii="Times New Roman" w:hAnsi="Times New Roman"/>
        </w:rPr>
        <w:t>4.3 投标文件的修改与撤回</w:t>
      </w:r>
      <w:bookmarkEnd w:id="172"/>
      <w:bookmarkEnd w:id="173"/>
      <w:bookmarkEnd w:id="174"/>
      <w:bookmarkEnd w:id="175"/>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sz w:val="28"/>
          <w:szCs w:val="28"/>
        </w:rPr>
      </w:pPr>
      <w:bookmarkStart w:id="176" w:name="_Toc152042335"/>
      <w:bookmarkStart w:id="177" w:name="_Toc152045559"/>
      <w:bookmarkStart w:id="178" w:name="_Toc144974527"/>
      <w:bookmarkStart w:id="179" w:name="_Toc29283"/>
      <w:bookmarkStart w:id="180" w:name="_Toc31172"/>
      <w:bookmarkStart w:id="181" w:name="_Toc32671"/>
      <w:bookmarkStart w:id="182" w:name="_Toc179632577"/>
      <w:r>
        <w:rPr>
          <w:rFonts w:ascii="Times New Roman" w:hAnsi="Times New Roman" w:eastAsia="黑体"/>
          <w:b w:val="0"/>
          <w:sz w:val="28"/>
          <w:szCs w:val="28"/>
        </w:rPr>
        <w:t>5. 开标</w:t>
      </w:r>
      <w:bookmarkEnd w:id="176"/>
      <w:bookmarkEnd w:id="177"/>
      <w:bookmarkEnd w:id="178"/>
      <w:bookmarkEnd w:id="179"/>
      <w:bookmarkEnd w:id="180"/>
      <w:bookmarkEnd w:id="181"/>
      <w:bookmarkEnd w:id="182"/>
    </w:p>
    <w:p>
      <w:pPr>
        <w:pStyle w:val="4"/>
        <w:spacing w:before="0" w:after="0" w:line="500" w:lineRule="exact"/>
        <w:rPr>
          <w:rFonts w:ascii="Times New Roman" w:hAnsi="Times New Roman"/>
        </w:rPr>
      </w:pPr>
      <w:bookmarkStart w:id="183" w:name="_Toc144974528"/>
      <w:bookmarkStart w:id="184" w:name="_Toc152042336"/>
      <w:bookmarkStart w:id="185" w:name="_Toc152045560"/>
      <w:bookmarkStart w:id="186" w:name="_Toc179632578"/>
      <w:r>
        <w:rPr>
          <w:rFonts w:ascii="Times New Roman" w:hAnsi="Times New Roman"/>
        </w:rPr>
        <w:t>5.1 开标时间和地点</w:t>
      </w:r>
      <w:bookmarkEnd w:id="183"/>
      <w:bookmarkEnd w:id="184"/>
      <w:bookmarkEnd w:id="185"/>
      <w:bookmarkEnd w:id="186"/>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rPr>
      </w:pPr>
      <w:bookmarkStart w:id="187" w:name="_Toc179632579"/>
      <w:bookmarkStart w:id="188" w:name="_Toc152045561"/>
      <w:bookmarkStart w:id="189" w:name="_Toc144974529"/>
      <w:bookmarkStart w:id="190" w:name="_Toc152042337"/>
      <w:r>
        <w:rPr>
          <w:rFonts w:ascii="Times New Roman" w:hAnsi="Times New Roman"/>
        </w:rPr>
        <w:t>5.2 开标程序</w:t>
      </w:r>
      <w:bookmarkEnd w:id="187"/>
      <w:bookmarkEnd w:id="188"/>
      <w:bookmarkEnd w:id="189"/>
      <w:bookmarkEnd w:id="190"/>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sz w:val="28"/>
          <w:szCs w:val="28"/>
        </w:rPr>
      </w:pPr>
      <w:bookmarkStart w:id="191" w:name="_Toc152045562"/>
      <w:bookmarkStart w:id="192" w:name="_Toc179632580"/>
      <w:bookmarkStart w:id="193" w:name="_Toc13412"/>
      <w:bookmarkStart w:id="194" w:name="_Toc144974530"/>
      <w:bookmarkStart w:id="195" w:name="_Toc22475"/>
      <w:bookmarkStart w:id="196" w:name="_Toc19864"/>
      <w:bookmarkStart w:id="197" w:name="_Toc152042338"/>
      <w:r>
        <w:rPr>
          <w:rFonts w:ascii="Times New Roman" w:hAnsi="Times New Roman" w:eastAsia="黑体"/>
          <w:b w:val="0"/>
          <w:sz w:val="28"/>
          <w:szCs w:val="28"/>
        </w:rPr>
        <w:t>6. 评标</w:t>
      </w:r>
      <w:bookmarkEnd w:id="191"/>
      <w:bookmarkEnd w:id="192"/>
      <w:bookmarkEnd w:id="193"/>
      <w:bookmarkEnd w:id="194"/>
      <w:bookmarkEnd w:id="195"/>
      <w:bookmarkEnd w:id="196"/>
      <w:bookmarkEnd w:id="197"/>
    </w:p>
    <w:p>
      <w:pPr>
        <w:pStyle w:val="4"/>
        <w:spacing w:before="0" w:after="0" w:line="500" w:lineRule="exact"/>
        <w:rPr>
          <w:rFonts w:ascii="Times New Roman" w:hAnsi="Times New Roman"/>
        </w:rPr>
      </w:pPr>
      <w:bookmarkStart w:id="198" w:name="_Toc144974531"/>
      <w:bookmarkStart w:id="199" w:name="_Toc179632581"/>
      <w:bookmarkStart w:id="200" w:name="_Toc152042339"/>
      <w:bookmarkStart w:id="201" w:name="_Toc152045563"/>
      <w:r>
        <w:rPr>
          <w:rFonts w:ascii="Times New Roman" w:hAnsi="Times New Roman"/>
        </w:rPr>
        <w:t>6.1 评标委员会</w:t>
      </w:r>
      <w:bookmarkEnd w:id="198"/>
      <w:bookmarkEnd w:id="199"/>
      <w:bookmarkEnd w:id="200"/>
      <w:bookmarkEnd w:id="201"/>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2" w:name="_Toc152042340"/>
      <w:bookmarkStart w:id="203" w:name="_Toc152045564"/>
      <w:bookmarkStart w:id="204" w:name="_Toc144974532"/>
      <w:bookmarkStart w:id="205" w:name="_Toc179632582"/>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rPr>
      </w:pPr>
      <w:r>
        <w:rPr>
          <w:rFonts w:ascii="Times New Roman" w:hAnsi="Times New Roman"/>
        </w:rPr>
        <w:t>6.2 评标原则</w:t>
      </w:r>
      <w:bookmarkEnd w:id="202"/>
      <w:bookmarkEnd w:id="203"/>
      <w:bookmarkEnd w:id="204"/>
      <w:bookmarkEnd w:id="205"/>
    </w:p>
    <w:p>
      <w:pPr>
        <w:spacing w:line="500" w:lineRule="exact"/>
        <w:ind w:firstLine="420" w:firstLineChars="200"/>
      </w:pPr>
      <w:r>
        <w:t>评标活动遵循公平、公正、科学和择优的原则。</w:t>
      </w:r>
    </w:p>
    <w:p>
      <w:pPr>
        <w:pStyle w:val="4"/>
        <w:spacing w:before="0" w:after="0" w:line="500" w:lineRule="exact"/>
        <w:rPr>
          <w:rFonts w:ascii="Times New Roman" w:hAnsi="Times New Roman"/>
        </w:rPr>
      </w:pPr>
      <w:bookmarkStart w:id="206" w:name="_Toc152042341"/>
      <w:bookmarkStart w:id="207" w:name="_Toc179632583"/>
      <w:bookmarkStart w:id="208" w:name="_Toc152045565"/>
      <w:bookmarkStart w:id="209" w:name="_Toc144974533"/>
      <w:r>
        <w:rPr>
          <w:rFonts w:ascii="Times New Roman" w:hAnsi="Times New Roman"/>
        </w:rPr>
        <w:t>6.3 评标</w:t>
      </w:r>
      <w:bookmarkEnd w:id="206"/>
      <w:bookmarkEnd w:id="207"/>
      <w:bookmarkEnd w:id="208"/>
      <w:bookmarkEnd w:id="209"/>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0" w:name="_Toc179632584"/>
      <w:bookmarkStart w:id="211" w:name="_Toc144974534"/>
      <w:bookmarkStart w:id="212" w:name="_Toc152045566"/>
      <w:bookmarkStart w:id="213" w:name="_Toc152042342"/>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0"/>
    <w:bookmarkEnd w:id="211"/>
    <w:bookmarkEnd w:id="212"/>
    <w:bookmarkEnd w:id="213"/>
    <w:p>
      <w:pPr>
        <w:pStyle w:val="2"/>
        <w:spacing w:before="0" w:after="0" w:line="500" w:lineRule="exact"/>
        <w:rPr>
          <w:rFonts w:ascii="Times New Roman" w:hAnsi="Times New Roman" w:eastAsia="黑体"/>
          <w:b w:val="0"/>
          <w:bCs w:val="0"/>
          <w:sz w:val="28"/>
          <w:szCs w:val="28"/>
        </w:rPr>
      </w:pPr>
      <w:bookmarkStart w:id="214" w:name="_Toc8209"/>
      <w:bookmarkStart w:id="215" w:name="_Toc2937"/>
      <w:bookmarkStart w:id="216" w:name="_Toc144974539"/>
      <w:bookmarkStart w:id="217" w:name="_Toc179632589"/>
      <w:bookmarkStart w:id="218" w:name="_Toc21046"/>
      <w:bookmarkStart w:id="219" w:name="_Toc30747"/>
      <w:bookmarkStart w:id="220" w:name="_Toc152045571"/>
      <w:bookmarkStart w:id="221" w:name="_Toc152042347"/>
      <w:r>
        <w:rPr>
          <w:rFonts w:ascii="Times New Roman" w:hAnsi="Times New Roman" w:eastAsia="黑体"/>
          <w:b w:val="0"/>
          <w:bCs w:val="0"/>
          <w:sz w:val="28"/>
          <w:szCs w:val="28"/>
        </w:rPr>
        <w:t>7. 合同授予</w:t>
      </w:r>
      <w:bookmarkEnd w:id="214"/>
      <w:bookmarkEnd w:id="215"/>
    </w:p>
    <w:p>
      <w:pPr>
        <w:pStyle w:val="4"/>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2" w:name="_Toc369531549"/>
      <w:bookmarkStart w:id="223" w:name="_Toc361508618"/>
      <w:bookmarkStart w:id="224" w:name="_Toc247513985"/>
      <w:bookmarkStart w:id="225" w:name="_Toc300834982"/>
      <w:bookmarkStart w:id="226" w:name="_Toc30095"/>
      <w:bookmarkStart w:id="227" w:name="_Toc384308243"/>
      <w:bookmarkStart w:id="228" w:name="_Toc247527586"/>
      <w:bookmarkStart w:id="229" w:name="_Toc352691505"/>
      <w:r>
        <w:t>害关系人对评标结</w:t>
      </w:r>
      <w:bookmarkEnd w:id="222"/>
      <w:bookmarkEnd w:id="223"/>
      <w:bookmarkEnd w:id="224"/>
      <w:bookmarkEnd w:id="225"/>
      <w:bookmarkEnd w:id="226"/>
      <w:bookmarkEnd w:id="227"/>
      <w:bookmarkEnd w:id="228"/>
      <w:bookmarkEnd w:id="229"/>
      <w: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0" w:name="_Toc369531550"/>
      <w:bookmarkStart w:id="231" w:name="_Toc5668"/>
      <w:bookmarkStart w:id="232" w:name="_Toc300834983"/>
      <w:bookmarkStart w:id="233" w:name="_Toc384308244"/>
      <w:bookmarkStart w:id="234" w:name="_Toc352691506"/>
      <w:bookmarkStart w:id="235" w:name="_Toc361508619"/>
      <w:r>
        <w:t>招标人按投标人须知前附表规定的形式向中标人发出中标通知书，同时将中</w:t>
      </w:r>
      <w:bookmarkEnd w:id="230"/>
      <w:bookmarkEnd w:id="231"/>
      <w:bookmarkEnd w:id="232"/>
      <w:bookmarkEnd w:id="233"/>
      <w:bookmarkEnd w:id="234"/>
      <w:bookmarkEnd w:id="235"/>
      <w:r>
        <w:t>标结果通知未中标的投标人。</w:t>
      </w:r>
    </w:p>
    <w:p>
      <w:pPr>
        <w:pStyle w:val="4"/>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pPr>
        <w:pStyle w:val="2"/>
        <w:spacing w:before="0" w:after="0" w:line="500" w:lineRule="exact"/>
        <w:rPr>
          <w:rFonts w:ascii="Times New Roman" w:hAnsi="Times New Roman" w:eastAsia="黑体"/>
          <w:b w:val="0"/>
          <w:bCs w:val="0"/>
          <w:sz w:val="28"/>
          <w:szCs w:val="28"/>
        </w:rPr>
      </w:pPr>
      <w:bookmarkStart w:id="236" w:name="_Toc27547"/>
      <w:r>
        <w:rPr>
          <w:rFonts w:ascii="Times New Roman" w:hAnsi="Times New Roman" w:eastAsia="黑体"/>
          <w:b w:val="0"/>
          <w:bCs w:val="0"/>
          <w:sz w:val="28"/>
          <w:szCs w:val="28"/>
        </w:rPr>
        <w:t>8. 重新招标和不再招标</w:t>
      </w:r>
      <w:bookmarkEnd w:id="216"/>
      <w:bookmarkEnd w:id="217"/>
      <w:bookmarkEnd w:id="218"/>
      <w:bookmarkEnd w:id="219"/>
      <w:bookmarkEnd w:id="220"/>
      <w:bookmarkEnd w:id="221"/>
      <w:bookmarkEnd w:id="236"/>
    </w:p>
    <w:p>
      <w:pPr>
        <w:pStyle w:val="4"/>
        <w:spacing w:before="0" w:after="0" w:line="500" w:lineRule="exact"/>
        <w:rPr>
          <w:rFonts w:ascii="Times New Roman" w:hAnsi="Times New Roman"/>
        </w:rPr>
      </w:pPr>
      <w:bookmarkStart w:id="237" w:name="_Toc152042348"/>
      <w:bookmarkStart w:id="238" w:name="_Toc144974540"/>
      <w:bookmarkStart w:id="239" w:name="_Toc179632590"/>
      <w:bookmarkStart w:id="240" w:name="_Toc152045572"/>
      <w:r>
        <w:rPr>
          <w:rFonts w:ascii="Times New Roman" w:hAnsi="Times New Roman"/>
        </w:rPr>
        <w:t>8.1 重新招标</w:t>
      </w:r>
      <w:bookmarkEnd w:id="237"/>
      <w:bookmarkEnd w:id="238"/>
      <w:bookmarkEnd w:id="239"/>
      <w:bookmarkEnd w:id="240"/>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4"/>
        <w:spacing w:before="0" w:after="0" w:line="500" w:lineRule="exact"/>
        <w:rPr>
          <w:rFonts w:ascii="Times New Roman" w:hAnsi="Times New Roman"/>
        </w:rPr>
      </w:pPr>
      <w:bookmarkStart w:id="241" w:name="_Toc144974541"/>
      <w:bookmarkStart w:id="242" w:name="_Toc152042349"/>
      <w:bookmarkStart w:id="243" w:name="_Toc152045573"/>
      <w:bookmarkStart w:id="244" w:name="_Toc179632591"/>
      <w:r>
        <w:rPr>
          <w:rFonts w:ascii="Times New Roman" w:hAnsi="Times New Roman"/>
        </w:rPr>
        <w:t>8.2 不再招标</w:t>
      </w:r>
      <w:bookmarkEnd w:id="241"/>
      <w:bookmarkEnd w:id="242"/>
      <w:bookmarkEnd w:id="243"/>
      <w:bookmarkEnd w:id="244"/>
    </w:p>
    <w:p>
      <w:pPr>
        <w:spacing w:line="500" w:lineRule="exact"/>
        <w:ind w:firstLine="420" w:firstLineChars="200"/>
      </w:pPr>
      <w: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sz w:val="28"/>
          <w:szCs w:val="28"/>
        </w:rPr>
      </w:pPr>
      <w:bookmarkStart w:id="245" w:name="_Toc5562"/>
      <w:bookmarkStart w:id="246" w:name="_Toc152042350"/>
      <w:bookmarkStart w:id="247" w:name="_Toc152045574"/>
      <w:bookmarkStart w:id="248" w:name="_Toc4377"/>
      <w:bookmarkStart w:id="249" w:name="_Toc144974542"/>
      <w:bookmarkStart w:id="250" w:name="_Toc31132"/>
      <w:bookmarkStart w:id="251" w:name="_Toc179632592"/>
      <w:r>
        <w:rPr>
          <w:rFonts w:ascii="Times New Roman" w:hAnsi="Times New Roman" w:eastAsia="黑体"/>
          <w:b w:val="0"/>
          <w:sz w:val="28"/>
          <w:szCs w:val="28"/>
        </w:rPr>
        <w:t>9. 纪律和监督</w:t>
      </w:r>
      <w:bookmarkEnd w:id="245"/>
      <w:bookmarkEnd w:id="246"/>
      <w:bookmarkEnd w:id="247"/>
      <w:bookmarkEnd w:id="248"/>
      <w:bookmarkEnd w:id="249"/>
      <w:bookmarkEnd w:id="250"/>
      <w:bookmarkEnd w:id="251"/>
    </w:p>
    <w:p>
      <w:pPr>
        <w:pStyle w:val="4"/>
        <w:spacing w:before="0" w:after="0" w:line="500" w:lineRule="exact"/>
        <w:rPr>
          <w:rFonts w:ascii="Times New Roman" w:hAnsi="Times New Roman"/>
        </w:rPr>
      </w:pPr>
      <w:bookmarkStart w:id="252" w:name="_Toc152045575"/>
      <w:bookmarkStart w:id="253" w:name="_Toc152042351"/>
      <w:bookmarkStart w:id="254" w:name="_Toc179632593"/>
      <w:bookmarkStart w:id="255" w:name="_Toc144974543"/>
      <w:r>
        <w:rPr>
          <w:rFonts w:ascii="Times New Roman" w:hAnsi="Times New Roman"/>
        </w:rPr>
        <w:t>9.1 对招标人的纪律要求</w:t>
      </w:r>
      <w:bookmarkEnd w:id="252"/>
      <w:bookmarkEnd w:id="253"/>
      <w:bookmarkEnd w:id="254"/>
      <w:bookmarkEnd w:id="255"/>
    </w:p>
    <w:p>
      <w:pPr>
        <w:spacing w:line="500" w:lineRule="exact"/>
        <w:ind w:firstLine="420" w:firstLineChars="200"/>
      </w:pPr>
      <w: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rPr>
      </w:pPr>
      <w:bookmarkStart w:id="256" w:name="_Toc152045576"/>
      <w:bookmarkStart w:id="257" w:name="_Toc144974544"/>
      <w:bookmarkStart w:id="258" w:name="_Toc179632594"/>
      <w:bookmarkStart w:id="259" w:name="_Toc152042352"/>
      <w:r>
        <w:rPr>
          <w:rFonts w:ascii="Times New Roman" w:hAnsi="Times New Roman"/>
        </w:rPr>
        <w:t>9.2 对投标人的纪律要求</w:t>
      </w:r>
      <w:bookmarkEnd w:id="256"/>
      <w:bookmarkEnd w:id="257"/>
      <w:bookmarkEnd w:id="258"/>
      <w:bookmarkEnd w:id="259"/>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rPr>
      </w:pPr>
      <w:bookmarkStart w:id="260" w:name="_Toc152045577"/>
      <w:bookmarkStart w:id="261" w:name="_Toc179632595"/>
      <w:bookmarkStart w:id="262" w:name="_Toc152042353"/>
      <w:bookmarkStart w:id="263" w:name="_Toc144974545"/>
      <w:r>
        <w:rPr>
          <w:rFonts w:ascii="Times New Roman" w:hAnsi="Times New Roman"/>
        </w:rPr>
        <w:t>9.3 对评标委员会成员的纪律要求</w:t>
      </w:r>
      <w:bookmarkEnd w:id="260"/>
      <w:bookmarkEnd w:id="261"/>
      <w:bookmarkEnd w:id="262"/>
      <w:bookmarkEnd w:id="263"/>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rPr>
      </w:pPr>
      <w:bookmarkStart w:id="264" w:name="_Toc152045578"/>
      <w:bookmarkStart w:id="265" w:name="_Toc152042354"/>
      <w:bookmarkStart w:id="266" w:name="_Toc179632596"/>
      <w:bookmarkStart w:id="267" w:name="_Toc144974546"/>
      <w:r>
        <w:rPr>
          <w:rFonts w:ascii="Times New Roman" w:hAnsi="Times New Roman"/>
        </w:rPr>
        <w:t>9.4 对与评标活动有关的工作人员的纪律要求</w:t>
      </w:r>
      <w:bookmarkEnd w:id="264"/>
      <w:bookmarkEnd w:id="265"/>
      <w:bookmarkEnd w:id="266"/>
    </w:p>
    <w:p>
      <w:pPr>
        <w:spacing w:line="500" w:lineRule="exact"/>
        <w:ind w:firstLine="420" w:firstLineChars="200"/>
      </w:pPr>
      <w:bookmarkStart w:id="268"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8"/>
    </w:p>
    <w:p>
      <w:pPr>
        <w:pStyle w:val="4"/>
        <w:spacing w:before="0" w:after="0" w:line="500" w:lineRule="exact"/>
        <w:rPr>
          <w:rFonts w:ascii="Times New Roman" w:hAnsi="Times New Roman"/>
        </w:rPr>
      </w:pPr>
      <w:bookmarkStart w:id="269" w:name="_Toc152042356"/>
      <w:bookmarkStart w:id="270" w:name="_Toc152045579"/>
      <w:bookmarkStart w:id="271" w:name="_Toc179632597"/>
      <w:r>
        <w:rPr>
          <w:rFonts w:ascii="Times New Roman" w:hAnsi="Times New Roman"/>
        </w:rPr>
        <w:t>9.5 投诉</w:t>
      </w:r>
      <w:bookmarkEnd w:id="267"/>
      <w:bookmarkEnd w:id="269"/>
      <w:bookmarkEnd w:id="270"/>
      <w:bookmarkEnd w:id="271"/>
    </w:p>
    <w:p>
      <w:pPr>
        <w:spacing w:line="500" w:lineRule="exact"/>
        <w:ind w:firstLine="420" w:firstLineChars="200"/>
        <w:rPr>
          <w:bCs/>
          <w:snapToGrid w:val="0"/>
          <w:color w:val="000000"/>
          <w:kern w:val="0"/>
          <w:szCs w:val="21"/>
        </w:rPr>
      </w:pPr>
      <w:bookmarkStart w:id="272" w:name="_Toc152042357"/>
      <w:bookmarkStart w:id="273" w:name="_Toc144974547"/>
      <w:bookmarkStart w:id="274" w:name="_Toc152045580"/>
      <w:bookmarkStart w:id="275" w:name="_Toc179632598"/>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sz w:val="28"/>
          <w:szCs w:val="28"/>
        </w:rPr>
      </w:pPr>
      <w:bookmarkStart w:id="276" w:name="_Toc31091"/>
      <w:bookmarkStart w:id="277" w:name="_Toc19401"/>
      <w:bookmarkStart w:id="278" w:name="_Toc9393"/>
      <w:r>
        <w:rPr>
          <w:rFonts w:ascii="Times New Roman" w:hAnsi="Times New Roman" w:eastAsia="黑体"/>
          <w:b w:val="0"/>
          <w:sz w:val="28"/>
          <w:szCs w:val="28"/>
        </w:rPr>
        <w:t>10. 需要补充的其他内容</w:t>
      </w:r>
      <w:bookmarkEnd w:id="272"/>
      <w:bookmarkEnd w:id="273"/>
      <w:bookmarkEnd w:id="274"/>
      <w:bookmarkEnd w:id="275"/>
      <w:bookmarkEnd w:id="276"/>
      <w:bookmarkEnd w:id="277"/>
      <w:bookmarkEnd w:id="278"/>
    </w:p>
    <w:p>
      <w:pPr>
        <w:pStyle w:val="4"/>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79" w:name="_Toc19032"/>
      <w:bookmarkStart w:id="280" w:name="_Toc10214"/>
      <w:bookmarkStart w:id="281" w:name="_Toc28504"/>
      <w:bookmarkStart w:id="282" w:name="_Toc721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79"/>
      <w:bookmarkEnd w:id="280"/>
      <w:bookmarkEnd w:id="281"/>
      <w:bookmarkEnd w:id="282"/>
    </w:p>
    <w:p>
      <w:pPr>
        <w:keepNext/>
        <w:keepLines/>
        <w:spacing w:before="120" w:beforeLines="50" w:after="120" w:afterLines="50" w:line="500" w:lineRule="exact"/>
        <w:jc w:val="center"/>
        <w:outlineLvl w:val="1"/>
        <w:rPr>
          <w:rFonts w:eastAsia="黑体"/>
          <w:sz w:val="28"/>
          <w:szCs w:val="20"/>
        </w:rPr>
      </w:pPr>
      <w:bookmarkStart w:id="283" w:name="_Toc23184"/>
      <w:bookmarkStart w:id="284" w:name="_Toc2621"/>
      <w:bookmarkStart w:id="285" w:name="_Toc29260"/>
      <w:bookmarkStart w:id="286" w:name="_Toc2596"/>
      <w:bookmarkStart w:id="287" w:name="_Toc3300"/>
      <w:r>
        <w:rPr>
          <w:rFonts w:eastAsia="黑体"/>
          <w:sz w:val="28"/>
          <w:szCs w:val="20"/>
        </w:rPr>
        <w:t>评标办法前附表</w:t>
      </w:r>
      <w:bookmarkEnd w:id="283"/>
      <w:bookmarkEnd w:id="284"/>
      <w:bookmarkEnd w:id="285"/>
      <w:bookmarkEnd w:id="286"/>
      <w:bookmarkEnd w:id="287"/>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default"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u w:val="single"/>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22</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48</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snapToGrid w:val="0"/>
              <w:spacing w:line="500" w:lineRule="exact"/>
              <w:jc w:val="center"/>
              <w:rPr>
                <w:bCs/>
                <w:kern w:val="0"/>
                <w:szCs w:val="21"/>
              </w:rPr>
            </w:pPr>
            <w:r>
              <w:rPr>
                <w:bCs/>
                <w:kern w:val="0"/>
                <w:szCs w:val="21"/>
              </w:rPr>
              <w:t>2.2.2</w:t>
            </w:r>
          </w:p>
        </w:tc>
        <w:tc>
          <w:tcPr>
            <w:tcW w:w="890" w:type="dxa"/>
            <w:vMerge w:val="restart"/>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center"/>
            </w:pPr>
            <w:r>
              <w:t>价格分评标基准价计算</w:t>
            </w:r>
          </w:p>
        </w:tc>
        <w:tc>
          <w:tcPr>
            <w:tcW w:w="6085" w:type="dxa"/>
            <w:noWrap w:val="0"/>
            <w:tcMar>
              <w:left w:w="75" w:type="dxa"/>
            </w:tcMar>
            <w:vAlign w:val="center"/>
          </w:tcPr>
          <w:p>
            <w:pPr>
              <w:widowControl/>
              <w:spacing w:line="500" w:lineRule="exact"/>
              <w:ind w:firstLine="420" w:firstLineChars="200"/>
              <w:jc w:val="left"/>
              <w:rPr>
                <w:color w:val="000000"/>
              </w:rPr>
            </w:pPr>
            <w:r>
              <w:rPr>
                <w:color w:val="000000"/>
              </w:rPr>
              <w:t>评标价=投标函文字报价</w:t>
            </w:r>
          </w:p>
          <w:p>
            <w:pPr>
              <w:spacing w:line="500" w:lineRule="exact"/>
              <w:ind w:firstLine="420" w:firstLineChars="200"/>
              <w:rPr>
                <w:color w:val="000000"/>
                <w:szCs w:val="22"/>
              </w:rPr>
            </w:pPr>
            <w:r>
              <w:rPr>
                <w:color w:val="000000"/>
                <w:szCs w:val="22"/>
              </w:rPr>
              <w:t>评标基准价计算：通过商务及技术文件、报价文件初步评审的投标人最低评标价作为评标基准价</w:t>
            </w:r>
          </w:p>
          <w:p>
            <w:pPr>
              <w:widowControl/>
              <w:snapToGrid w:val="0"/>
              <w:spacing w:line="500" w:lineRule="exact"/>
              <w:jc w:val="left"/>
              <w:rPr>
                <w:kern w:val="0"/>
                <w:szCs w:val="21"/>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snapToGrid w:val="0"/>
              <w:spacing w:line="500" w:lineRule="exact"/>
              <w:jc w:val="center"/>
              <w:rPr>
                <w:bCs/>
                <w:kern w:val="0"/>
                <w:szCs w:val="21"/>
              </w:rPr>
            </w:pPr>
          </w:p>
        </w:tc>
        <w:tc>
          <w:tcPr>
            <w:tcW w:w="890" w:type="dxa"/>
            <w:vMerge w:val="continue"/>
            <w:noWrap w:val="0"/>
            <w:vAlign w:val="center"/>
          </w:tcPr>
          <w:p>
            <w:pPr>
              <w:snapToGrid w:val="0"/>
              <w:spacing w:line="500" w:lineRule="exact"/>
              <w:jc w:val="center"/>
            </w:pPr>
          </w:p>
        </w:tc>
        <w:tc>
          <w:tcPr>
            <w:tcW w:w="1525" w:type="dxa"/>
            <w:noWrap w:val="0"/>
            <w:tcMar>
              <w:left w:w="75" w:type="dxa"/>
            </w:tcMar>
            <w:vAlign w:val="center"/>
          </w:tcPr>
          <w:p>
            <w:pPr>
              <w:snapToGrid w:val="0"/>
              <w:spacing w:line="500" w:lineRule="exact"/>
              <w:jc w:val="center"/>
            </w:pPr>
            <w:r>
              <w:t>报价合理性得分评标基准价计算</w:t>
            </w:r>
          </w:p>
        </w:tc>
        <w:tc>
          <w:tcPr>
            <w:tcW w:w="6085" w:type="dxa"/>
            <w:noWrap w:val="0"/>
            <w:tcMar>
              <w:left w:w="75" w:type="dxa"/>
            </w:tcMar>
            <w:vAlign w:val="center"/>
          </w:tcPr>
          <w:p>
            <w:pPr>
              <w:widowControl/>
              <w:snapToGrid w:val="0"/>
              <w:spacing w:line="500" w:lineRule="exact"/>
              <w:jc w:val="left"/>
              <w:rPr>
                <w:color w:val="000000"/>
                <w:szCs w:val="22"/>
              </w:rPr>
            </w:pPr>
            <w:r>
              <w:rPr>
                <w:color w:val="000000"/>
                <w:szCs w:val="22"/>
              </w:rPr>
              <w:t>（1）确定评标价平均值</w:t>
            </w:r>
          </w:p>
          <w:p>
            <w:pPr>
              <w:widowControl/>
              <w:snapToGrid w:val="0"/>
              <w:spacing w:line="500" w:lineRule="exact"/>
              <w:jc w:val="left"/>
              <w:rPr>
                <w:color w:val="000000"/>
                <w:szCs w:val="22"/>
              </w:rPr>
            </w:pPr>
            <w:r>
              <w:rPr>
                <w:color w:val="000000"/>
                <w:szCs w:val="22"/>
              </w:rPr>
              <w:t>当有效投标人数量不少于5家时，则去掉一个最高价和一个最低价，取其他投标函文字报价进行算术平均得出平均值；当有效投标人数量不足5家时，则直接取全部投标函文字报价进行算术平均得出平均值。</w:t>
            </w:r>
          </w:p>
          <w:p>
            <w:pPr>
              <w:widowControl/>
              <w:snapToGrid w:val="0"/>
              <w:spacing w:line="500" w:lineRule="exact"/>
              <w:jc w:val="left"/>
              <w:rPr>
                <w:color w:val="000000"/>
                <w:szCs w:val="22"/>
              </w:rPr>
            </w:pPr>
            <w:r>
              <w:rPr>
                <w:color w:val="000000"/>
                <w:szCs w:val="22"/>
              </w:rPr>
              <w:t>（2）确定评标基准价</w:t>
            </w:r>
          </w:p>
          <w:p>
            <w:pPr>
              <w:widowControl/>
              <w:snapToGrid w:val="0"/>
              <w:spacing w:line="500" w:lineRule="exact"/>
              <w:jc w:val="left"/>
              <w:rPr>
                <w:color w:val="000000"/>
                <w:szCs w:val="22"/>
              </w:rPr>
            </w:pPr>
            <w:r>
              <w:rPr>
                <w:color w:val="000000"/>
                <w:szCs w:val="22"/>
              </w:rPr>
              <w:t>评标基准价=评标价平均值</w:t>
            </w:r>
          </w:p>
          <w:p>
            <w:pPr>
              <w:widowControl/>
              <w:snapToGrid w:val="0"/>
              <w:spacing w:line="500" w:lineRule="exact"/>
              <w:jc w:val="left"/>
              <w:rPr>
                <w:color w:val="000000"/>
                <w:szCs w:val="22"/>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r>
        <w:rPr>
          <w:rFonts w:eastAsia="黑体"/>
          <w:bCs/>
          <w:sz w:val="28"/>
          <w:szCs w:val="28"/>
        </w:rPr>
        <w:t>商务及技术文件初步评审标准</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widowControl/>
              <w:spacing w:line="500" w:lineRule="exact"/>
              <w:ind w:firstLine="105" w:firstLineChars="50"/>
              <w:jc w:val="center"/>
              <w:rPr>
                <w:kern w:val="0"/>
                <w:szCs w:val="21"/>
              </w:rPr>
            </w:pPr>
            <w:r>
              <w:rPr>
                <w:b/>
                <w:bCs/>
                <w:kern w:val="0"/>
                <w:szCs w:val="21"/>
              </w:rPr>
              <w:t>评审因素</w:t>
            </w:r>
          </w:p>
        </w:tc>
        <w:tc>
          <w:tcPr>
            <w:tcW w:w="6085" w:type="dxa"/>
            <w:noWrap w:val="0"/>
            <w:vAlign w:val="center"/>
          </w:tcPr>
          <w:p>
            <w:pPr>
              <w:widowControl/>
              <w:spacing w:line="500" w:lineRule="exact"/>
              <w:ind w:firstLine="105" w:firstLineChars="50"/>
              <w:jc w:val="center"/>
              <w:rPr>
                <w:kern w:val="0"/>
                <w:szCs w:val="21"/>
              </w:rPr>
            </w:pPr>
            <w:r>
              <w:rPr>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2.1.1</w:t>
            </w:r>
          </w:p>
        </w:tc>
        <w:tc>
          <w:tcPr>
            <w:tcW w:w="890" w:type="dxa"/>
            <w:vMerge w:val="restart"/>
            <w:noWrap w:val="0"/>
            <w:vAlign w:val="center"/>
          </w:tcPr>
          <w:p>
            <w:pPr>
              <w:widowControl/>
              <w:spacing w:line="500" w:lineRule="exact"/>
              <w:jc w:val="center"/>
              <w:rPr>
                <w:bCs/>
                <w:kern w:val="0"/>
                <w:szCs w:val="21"/>
              </w:rPr>
            </w:pPr>
            <w:r>
              <w:rPr>
                <w:bCs/>
                <w:kern w:val="0"/>
                <w:szCs w:val="21"/>
              </w:rPr>
              <w:t>形式评审标准</w:t>
            </w:r>
          </w:p>
        </w:tc>
        <w:tc>
          <w:tcPr>
            <w:tcW w:w="1525" w:type="dxa"/>
            <w:noWrap w:val="0"/>
            <w:tcMar>
              <w:left w:w="75" w:type="dxa"/>
            </w:tcMar>
            <w:vAlign w:val="center"/>
          </w:tcPr>
          <w:p>
            <w:pPr>
              <w:spacing w:line="500" w:lineRule="exact"/>
              <w:jc w:val="center"/>
              <w:rPr>
                <w:color w:val="000000"/>
              </w:rPr>
            </w:pPr>
            <w:r>
              <w:rPr>
                <w:color w:val="000000"/>
              </w:rPr>
              <w:t>投标人名称</w:t>
            </w:r>
          </w:p>
        </w:tc>
        <w:tc>
          <w:tcPr>
            <w:tcW w:w="6085" w:type="dxa"/>
            <w:noWrap w:val="0"/>
            <w:tcMar>
              <w:left w:w="75" w:type="dxa"/>
            </w:tcMar>
            <w:vAlign w:val="center"/>
          </w:tcPr>
          <w:p>
            <w:pPr>
              <w:spacing w:line="500" w:lineRule="exact"/>
              <w:rPr>
                <w:rFonts w:hint="eastAsia"/>
                <w:color w:val="000000"/>
              </w:rPr>
            </w:pPr>
            <w:r>
              <w:rPr>
                <w:color w:val="000000"/>
              </w:rPr>
              <w:t>与营业执照（事业单位法人证书）、资质证书一致</w:t>
            </w:r>
            <w:r>
              <w:rPr>
                <w:rFonts w:hint="eastAsia"/>
                <w:color w:val="000000"/>
              </w:rPr>
              <w:t>。</w:t>
            </w:r>
          </w:p>
          <w:p>
            <w:pPr>
              <w:spacing w:line="500" w:lineRule="exact"/>
              <w:rPr>
                <w:color w:val="000000"/>
              </w:rPr>
            </w:pPr>
            <w:r>
              <w:rPr>
                <w:color w:val="000000"/>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kern w:val="0"/>
                <w:szCs w:val="21"/>
              </w:rPr>
              <w:t>签字盖章</w:t>
            </w:r>
          </w:p>
        </w:tc>
        <w:tc>
          <w:tcPr>
            <w:tcW w:w="6085" w:type="dxa"/>
            <w:noWrap w:val="0"/>
            <w:tcMar>
              <w:left w:w="75" w:type="dxa"/>
            </w:tcMar>
            <w:vAlign w:val="center"/>
          </w:tcPr>
          <w:p>
            <w:pPr>
              <w:spacing w:line="500" w:lineRule="exact"/>
              <w:rPr>
                <w:color w:val="000000"/>
              </w:rPr>
            </w:pPr>
            <w:r>
              <w:rPr>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color w:val="000000"/>
              </w:rPr>
              <w:t>投标文件格式</w:t>
            </w:r>
          </w:p>
        </w:tc>
        <w:tc>
          <w:tcPr>
            <w:tcW w:w="6085" w:type="dxa"/>
            <w:noWrap w:val="0"/>
            <w:tcMar>
              <w:left w:w="75" w:type="dxa"/>
            </w:tcMar>
            <w:vAlign w:val="center"/>
          </w:tcPr>
          <w:p>
            <w:pPr>
              <w:spacing w:line="500" w:lineRule="exact"/>
              <w:rPr>
                <w:color w:val="000000"/>
              </w:rPr>
            </w:pPr>
            <w:r>
              <w:rPr>
                <w:color w:val="000000"/>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color w:val="000000"/>
              </w:rPr>
              <w:t>联合体投标人</w:t>
            </w:r>
            <w:r>
              <w:rPr>
                <w:i w:val="0"/>
                <w:iCs w:val="0"/>
                <w:color w:val="auto"/>
              </w:rPr>
              <w:t>（本招标项目不适用）</w:t>
            </w:r>
          </w:p>
        </w:tc>
        <w:tc>
          <w:tcPr>
            <w:tcW w:w="6085" w:type="dxa"/>
            <w:noWrap w:val="0"/>
            <w:tcMar>
              <w:left w:w="75" w:type="dxa"/>
            </w:tcMar>
            <w:vAlign w:val="center"/>
          </w:tcPr>
          <w:p>
            <w:pPr>
              <w:spacing w:line="500" w:lineRule="exact"/>
              <w:rPr>
                <w:color w:val="000000"/>
              </w:rPr>
            </w:pPr>
            <w:r>
              <w:rPr>
                <w:color w:val="000000"/>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spacing w:line="500" w:lineRule="exact"/>
              <w:jc w:val="center"/>
              <w:rPr>
                <w:color w:val="000000"/>
              </w:rPr>
            </w:pPr>
            <w:r>
              <w:rPr>
                <w:kern w:val="0"/>
                <w:szCs w:val="21"/>
              </w:rPr>
              <w:t>备选投标方案</w:t>
            </w:r>
          </w:p>
        </w:tc>
        <w:tc>
          <w:tcPr>
            <w:tcW w:w="6085" w:type="dxa"/>
            <w:noWrap w:val="0"/>
            <w:tcMar>
              <w:left w:w="75" w:type="dxa"/>
            </w:tcMar>
            <w:vAlign w:val="center"/>
          </w:tcPr>
          <w:p>
            <w:pPr>
              <w:spacing w:line="500" w:lineRule="exact"/>
              <w:rPr>
                <w:color w:val="000000"/>
              </w:rPr>
            </w:pPr>
            <w:r>
              <w:rPr>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2.1.2</w:t>
            </w:r>
          </w:p>
        </w:tc>
        <w:tc>
          <w:tcPr>
            <w:tcW w:w="890" w:type="dxa"/>
            <w:vMerge w:val="restart"/>
            <w:noWrap w:val="0"/>
            <w:vAlign w:val="center"/>
          </w:tcPr>
          <w:p>
            <w:pPr>
              <w:widowControl/>
              <w:spacing w:line="500" w:lineRule="exact"/>
              <w:jc w:val="center"/>
              <w:rPr>
                <w:kern w:val="0"/>
                <w:szCs w:val="21"/>
              </w:rPr>
            </w:pPr>
            <w:r>
              <w:rPr>
                <w:bCs/>
                <w:kern w:val="0"/>
                <w:szCs w:val="21"/>
              </w:rPr>
              <w:t>资格评审标准</w:t>
            </w:r>
          </w:p>
        </w:tc>
        <w:tc>
          <w:tcPr>
            <w:tcW w:w="1525" w:type="dxa"/>
            <w:noWrap w:val="0"/>
            <w:tcMar>
              <w:left w:w="75" w:type="dxa"/>
            </w:tcMar>
            <w:vAlign w:val="center"/>
          </w:tcPr>
          <w:p>
            <w:pPr>
              <w:spacing w:line="500" w:lineRule="exact"/>
              <w:jc w:val="center"/>
              <w:rPr>
                <w:color w:val="000000"/>
              </w:rPr>
            </w:pPr>
            <w:r>
              <w:rPr>
                <w:color w:val="000000"/>
              </w:rPr>
              <w:t>营业执照（事业单位法人证书）</w:t>
            </w:r>
          </w:p>
        </w:tc>
        <w:tc>
          <w:tcPr>
            <w:tcW w:w="6085" w:type="dxa"/>
            <w:noWrap w:val="0"/>
            <w:tcMar>
              <w:left w:w="75" w:type="dxa"/>
            </w:tcMar>
            <w:vAlign w:val="center"/>
          </w:tcPr>
          <w:p>
            <w:pPr>
              <w:spacing w:line="500" w:lineRule="exact"/>
              <w:jc w:val="left"/>
              <w:rPr>
                <w:color w:val="000000"/>
                <w:kern w:val="0"/>
                <w:szCs w:val="21"/>
              </w:rPr>
            </w:pPr>
            <w:r>
              <w:rPr>
                <w:color w:val="000000"/>
              </w:rPr>
              <w:t>符合第二章</w:t>
            </w:r>
            <w:r>
              <w:rPr>
                <w:kern w:val="0"/>
                <w:szCs w:val="21"/>
              </w:rPr>
              <w:t>“投标人须知”</w:t>
            </w:r>
            <w:r>
              <w:rPr>
                <w:color w:val="000000"/>
              </w:rPr>
              <w:t>第3.5.1项规定，具备有效的营业执照（事业单位法人证书）</w:t>
            </w:r>
            <w:r>
              <w:rPr>
                <w:color w:val="000000"/>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资质要求</w:t>
            </w:r>
          </w:p>
        </w:tc>
        <w:tc>
          <w:tcPr>
            <w:tcW w:w="6085" w:type="dxa"/>
            <w:noWrap w:val="0"/>
            <w:tcMar>
              <w:left w:w="75" w:type="dxa"/>
            </w:tcMar>
            <w:vAlign w:val="center"/>
          </w:tcPr>
          <w:p>
            <w:pPr>
              <w:spacing w:line="500" w:lineRule="exact"/>
              <w:rPr>
                <w:color w:val="000000"/>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投标货物制造商的资质要求（如有）</w:t>
            </w:r>
          </w:p>
        </w:tc>
        <w:tc>
          <w:tcPr>
            <w:tcW w:w="6085" w:type="dxa"/>
            <w:noWrap w:val="0"/>
            <w:tcMar>
              <w:left w:w="75" w:type="dxa"/>
            </w:tcMar>
            <w:vAlign w:val="center"/>
          </w:tcPr>
          <w:p>
            <w:pPr>
              <w:spacing w:line="500" w:lineRule="exact"/>
              <w:rPr>
                <w:color w:val="000000"/>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kern w:val="0"/>
                <w:szCs w:val="21"/>
              </w:rPr>
            </w:pPr>
            <w:r>
              <w:rPr>
                <w:color w:val="000000"/>
                <w:kern w:val="0"/>
                <w:szCs w:val="21"/>
              </w:rPr>
              <w:t>生产/制造许可证（如有）</w:t>
            </w:r>
          </w:p>
        </w:tc>
        <w:tc>
          <w:tcPr>
            <w:tcW w:w="6085" w:type="dxa"/>
            <w:noWrap w:val="0"/>
            <w:tcMar>
              <w:left w:w="75" w:type="dxa"/>
            </w:tcMar>
            <w:vAlign w:val="center"/>
          </w:tcPr>
          <w:p>
            <w:pPr>
              <w:spacing w:line="500" w:lineRule="exact"/>
              <w:jc w:val="left"/>
              <w:rPr>
                <w:color w:val="000000"/>
                <w:kern w:val="0"/>
                <w:szCs w:val="21"/>
              </w:rPr>
            </w:pPr>
            <w:r>
              <w:rPr>
                <w:color w:val="000000"/>
                <w:szCs w:val="21"/>
              </w:rPr>
              <w:t>具备有效的生产/制造许可证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财务要求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投标人业绩要求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spacing w:line="500" w:lineRule="exact"/>
              <w:jc w:val="center"/>
              <w:rPr>
                <w:color w:val="000000"/>
              </w:rPr>
            </w:pPr>
            <w:r>
              <w:rPr>
                <w:color w:val="000000"/>
              </w:rPr>
              <w:t>投标货物的业绩要求（如有）</w:t>
            </w:r>
          </w:p>
        </w:tc>
        <w:tc>
          <w:tcPr>
            <w:tcW w:w="6085" w:type="dxa"/>
            <w:noWrap w:val="0"/>
            <w:tcMar>
              <w:left w:w="75" w:type="dxa"/>
            </w:tcMar>
            <w:vAlign w:val="center"/>
          </w:tcPr>
          <w:p>
            <w:pPr>
              <w:spacing w:line="500" w:lineRule="exact"/>
              <w:rPr>
                <w:color w:val="0000FF"/>
              </w:rPr>
            </w:pPr>
            <w:r>
              <w:rPr>
                <w:color w:val="000000"/>
              </w:rPr>
              <w:t>符合第二章</w:t>
            </w:r>
            <w:r>
              <w:rPr>
                <w:kern w:val="0"/>
                <w:szCs w:val="21"/>
              </w:rPr>
              <w:t>“投标人须知”</w:t>
            </w:r>
            <w:r>
              <w:rPr>
                <w:color w:val="000000"/>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信誉要求</w:t>
            </w:r>
          </w:p>
        </w:tc>
        <w:tc>
          <w:tcPr>
            <w:tcW w:w="6085" w:type="dxa"/>
            <w:noWrap w:val="0"/>
            <w:tcMar>
              <w:left w:w="75" w:type="dxa"/>
            </w:tcMar>
            <w:vAlign w:val="center"/>
          </w:tcPr>
          <w:p>
            <w:pPr>
              <w:spacing w:line="500" w:lineRule="exact"/>
              <w:jc w:val="left"/>
              <w:rPr>
                <w:kern w:val="0"/>
                <w:szCs w:val="21"/>
              </w:rPr>
            </w:pPr>
            <w:r>
              <w:rPr>
                <w:kern w:val="0"/>
                <w:szCs w:val="21"/>
              </w:rPr>
              <w:t>符合第二章“投标人须知”第1.4.1项规定。</w:t>
            </w:r>
            <w:r>
              <w:rPr>
                <w:bCs/>
                <w:i w:val="0"/>
                <w:iCs w:val="0"/>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pPr>
            <w:r>
              <w:t>其他要求</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pPr>
            <w:r>
              <w:t>联合体投标人</w:t>
            </w:r>
            <w:r>
              <w:rPr>
                <w:color w:val="000000"/>
              </w:rPr>
              <w:t>（</w:t>
            </w:r>
            <w:r>
              <w:rPr>
                <w:color w:val="FF0000"/>
              </w:rPr>
              <w:t>本招标项目不适用</w:t>
            </w:r>
            <w:r>
              <w:rPr>
                <w:color w:val="000000"/>
              </w:rPr>
              <w:t>）</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color w:val="000000"/>
              </w:rPr>
              <w:t>不存在禁止投标的情形</w:t>
            </w:r>
          </w:p>
        </w:tc>
        <w:tc>
          <w:tcPr>
            <w:tcW w:w="6085" w:type="dxa"/>
            <w:noWrap w:val="0"/>
            <w:tcMar>
              <w:left w:w="75" w:type="dxa"/>
            </w:tcMar>
            <w:vAlign w:val="center"/>
          </w:tcPr>
          <w:p>
            <w:pPr>
              <w:spacing w:line="500" w:lineRule="exact"/>
              <w:jc w:val="left"/>
              <w:rPr>
                <w:kern w:val="0"/>
                <w:szCs w:val="21"/>
              </w:rPr>
            </w:pPr>
            <w:r>
              <w:rPr>
                <w:color w:val="000000"/>
              </w:rPr>
              <w:t>不存在第二章</w:t>
            </w:r>
            <w:r>
              <w:rPr>
                <w:kern w:val="0"/>
                <w:szCs w:val="21"/>
              </w:rPr>
              <w:t>“投标人须知”</w:t>
            </w:r>
            <w:r>
              <w:rPr>
                <w:color w:val="000000"/>
              </w:rPr>
              <w:t>第1.4.3项或第1.4.4项规定的任何一种情形。</w:t>
            </w:r>
            <w:r>
              <w:rPr>
                <w:bCs/>
                <w:i w:val="0"/>
                <w:iCs w:val="0"/>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kern w:val="0"/>
                <w:szCs w:val="21"/>
              </w:rPr>
            </w:pPr>
            <w:r>
              <w:t>2.1.3</w:t>
            </w:r>
          </w:p>
        </w:tc>
        <w:tc>
          <w:tcPr>
            <w:tcW w:w="890" w:type="dxa"/>
            <w:vMerge w:val="restart"/>
            <w:noWrap w:val="0"/>
            <w:vAlign w:val="center"/>
          </w:tcPr>
          <w:p>
            <w:pPr>
              <w:widowControl/>
              <w:spacing w:line="500" w:lineRule="exact"/>
              <w:jc w:val="left"/>
              <w:rPr>
                <w:kern w:val="0"/>
                <w:szCs w:val="21"/>
              </w:rPr>
            </w:pPr>
            <w:r>
              <w:rPr>
                <w:bCs/>
                <w:kern w:val="0"/>
                <w:szCs w:val="21"/>
              </w:rPr>
              <w:t>响应性评审标准</w:t>
            </w: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投标内容</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交货(安装)周期</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交货(安装)地点</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spacing w:line="500" w:lineRule="exact"/>
              <w:jc w:val="center"/>
              <w:rPr>
                <w:color w:val="000000"/>
              </w:rPr>
            </w:pPr>
            <w:r>
              <w:rPr>
                <w:color w:val="000000"/>
              </w:rPr>
              <w:t>技术性能指标</w:t>
            </w:r>
          </w:p>
        </w:tc>
        <w:tc>
          <w:tcPr>
            <w:tcW w:w="6085" w:type="dxa"/>
            <w:noWrap w:val="0"/>
            <w:tcMar>
              <w:left w:w="75" w:type="dxa"/>
            </w:tcMar>
            <w:vAlign w:val="center"/>
          </w:tcPr>
          <w:p>
            <w:pPr>
              <w:spacing w:line="500" w:lineRule="exact"/>
              <w:jc w:val="left"/>
              <w:rPr>
                <w:color w:val="000000"/>
              </w:rPr>
            </w:pPr>
            <w:r>
              <w:rPr>
                <w:color w:val="000000"/>
              </w:rPr>
              <w:t>符合第二章</w:t>
            </w:r>
            <w:r>
              <w:rPr>
                <w:kern w:val="0"/>
                <w:szCs w:val="21"/>
              </w:rPr>
              <w:t>“投标人须知”</w:t>
            </w:r>
            <w:r>
              <w:rPr>
                <w:color w:val="000000"/>
              </w:rPr>
              <w:t>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pPr>
          </w:p>
        </w:tc>
        <w:tc>
          <w:tcPr>
            <w:tcW w:w="890" w:type="dxa"/>
            <w:vMerge w:val="continue"/>
            <w:noWrap w:val="0"/>
            <w:vAlign w:val="center"/>
          </w:tcPr>
          <w:p>
            <w:pPr>
              <w:widowControl/>
              <w:spacing w:line="500" w:lineRule="exact"/>
              <w:jc w:val="left"/>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投标有效期</w:t>
            </w:r>
          </w:p>
        </w:tc>
        <w:tc>
          <w:tcPr>
            <w:tcW w:w="6085" w:type="dxa"/>
            <w:noWrap w:val="0"/>
            <w:tcMar>
              <w:left w:w="75" w:type="dxa"/>
            </w:tcMar>
            <w:vAlign w:val="center"/>
          </w:tcPr>
          <w:p>
            <w:pPr>
              <w:spacing w:line="500" w:lineRule="exact"/>
              <w:rPr>
                <w:kern w:val="0"/>
                <w:szCs w:val="21"/>
              </w:rPr>
            </w:pPr>
            <w:r>
              <w:rPr>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投标保证金</w:t>
            </w:r>
          </w:p>
        </w:tc>
        <w:tc>
          <w:tcPr>
            <w:tcW w:w="6085" w:type="dxa"/>
            <w:noWrap w:val="0"/>
            <w:tcMar>
              <w:left w:w="75" w:type="dxa"/>
            </w:tcMar>
            <w:vAlign w:val="center"/>
          </w:tcPr>
          <w:p>
            <w:pPr>
              <w:widowControl/>
              <w:spacing w:line="500" w:lineRule="exact"/>
              <w:jc w:val="left"/>
              <w:rPr>
                <w:kern w:val="0"/>
                <w:szCs w:val="21"/>
              </w:rPr>
            </w:pPr>
            <w:r>
              <w:rPr>
                <w:kern w:val="0"/>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jc w:val="center"/>
              <w:rPr>
                <w:rFonts w:hint="eastAsia"/>
                <w:kern w:val="0"/>
                <w:szCs w:val="21"/>
              </w:rPr>
            </w:pPr>
            <w:r>
              <w:rPr>
                <w:rFonts w:hint="eastAsia"/>
                <w:kern w:val="0"/>
                <w:szCs w:val="21"/>
              </w:rPr>
              <w:t>权利义务</w:t>
            </w:r>
          </w:p>
        </w:tc>
        <w:tc>
          <w:tcPr>
            <w:tcW w:w="6085" w:type="dxa"/>
            <w:noWrap w:val="0"/>
            <w:tcMar>
              <w:left w:w="75" w:type="dxa"/>
            </w:tcMar>
            <w:vAlign w:val="center"/>
          </w:tcPr>
          <w:p>
            <w:pPr>
              <w:widowControl/>
              <w:jc w:val="left"/>
              <w:rPr>
                <w:kern w:val="0"/>
                <w:szCs w:val="21"/>
              </w:rPr>
            </w:pPr>
            <w:r>
              <w:rPr>
                <w:rFonts w:hint="eastAsia"/>
              </w:rPr>
              <w:t>符合第二章</w:t>
            </w:r>
            <w:r>
              <w:t>“</w:t>
            </w:r>
            <w:r>
              <w:rPr>
                <w:rFonts w:hint="eastAsia"/>
              </w:rPr>
              <w:t>投标人须知</w:t>
            </w:r>
            <w:r>
              <w:t>”</w:t>
            </w:r>
            <w:r>
              <w:rPr>
                <w:rFonts w:hint="eastAsia"/>
              </w:rPr>
              <w:t>第</w:t>
            </w:r>
            <w:r>
              <w:t>1.1</w:t>
            </w:r>
            <w:r>
              <w:rPr>
                <w:rFonts w:hint="eastAsia"/>
              </w:rPr>
              <w:t>1</w:t>
            </w:r>
            <w:r>
              <w:t>.1</w:t>
            </w:r>
            <w:r>
              <w:rPr>
                <w:rFonts w:hint="eastAsi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spacing w:line="500" w:lineRule="exact"/>
              <w:jc w:val="center"/>
              <w:rPr>
                <w:color w:val="000000"/>
              </w:rPr>
            </w:pPr>
            <w:r>
              <w:rPr>
                <w:color w:val="000000"/>
              </w:rPr>
              <w:t>投标货物及技术服务和质保期服务</w:t>
            </w:r>
          </w:p>
        </w:tc>
        <w:tc>
          <w:tcPr>
            <w:tcW w:w="6085" w:type="dxa"/>
            <w:noWrap w:val="0"/>
            <w:tcMar>
              <w:left w:w="75" w:type="dxa"/>
            </w:tcMar>
            <w:vAlign w:val="center"/>
          </w:tcPr>
          <w:p>
            <w:pPr>
              <w:widowControl/>
              <w:spacing w:line="500" w:lineRule="exact"/>
              <w:rPr>
                <w:color w:val="000000"/>
                <w:kern w:val="0"/>
                <w:szCs w:val="21"/>
              </w:rPr>
            </w:pPr>
            <w:r>
              <w:rPr>
                <w:color w:val="000000"/>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adjustRightInd w:val="0"/>
              <w:snapToGrid w:val="0"/>
              <w:jc w:val="center"/>
              <w:rPr>
                <w:rFonts w:hint="eastAsia"/>
                <w:color w:val="000000"/>
              </w:rPr>
            </w:pPr>
            <w:r>
              <w:rPr>
                <w:color w:val="000000"/>
              </w:rPr>
              <w:t>技术支持资料</w:t>
            </w:r>
          </w:p>
        </w:tc>
        <w:tc>
          <w:tcPr>
            <w:tcW w:w="6085" w:type="dxa"/>
            <w:noWrap w:val="0"/>
            <w:tcMar>
              <w:left w:w="75" w:type="dxa"/>
            </w:tcMar>
            <w:vAlign w:val="center"/>
          </w:tcPr>
          <w:p>
            <w:pPr>
              <w:widowControl/>
              <w:rPr>
                <w:rFonts w:hint="eastAsia"/>
                <w:color w:val="000000"/>
                <w:kern w:val="0"/>
                <w:szCs w:val="21"/>
              </w:rPr>
            </w:pPr>
            <w:r>
              <w:rPr>
                <w:color w:val="000000"/>
              </w:rPr>
              <w:t>符合第二章</w:t>
            </w:r>
            <w:r>
              <w:rPr>
                <w:rFonts w:hint="eastAsia"/>
                <w:kern w:val="0"/>
                <w:szCs w:val="21"/>
              </w:rPr>
              <w:t>“投标人须知”</w:t>
            </w:r>
            <w:r>
              <w:rPr>
                <w:color w:val="000000"/>
              </w:rPr>
              <w:t>第1.1</w:t>
            </w:r>
            <w:r>
              <w:rPr>
                <w:rFonts w:hint="eastAsia"/>
                <w:color w:val="000000"/>
              </w:rPr>
              <w:t>1</w:t>
            </w:r>
            <w:r>
              <w:rPr>
                <w:color w:val="000000"/>
              </w:rPr>
              <w:t>.3项规定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kern w:val="0"/>
                <w:szCs w:val="21"/>
              </w:rPr>
            </w:pPr>
          </w:p>
        </w:tc>
        <w:tc>
          <w:tcPr>
            <w:tcW w:w="890" w:type="dxa"/>
            <w:vMerge w:val="continue"/>
            <w:noWrap w:val="0"/>
            <w:vAlign w:val="center"/>
          </w:tcPr>
          <w:p>
            <w:pPr>
              <w:widowControl/>
              <w:spacing w:line="500" w:lineRule="exact"/>
              <w:jc w:val="left"/>
              <w:rPr>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其他实质性要求</w:t>
            </w:r>
          </w:p>
        </w:tc>
        <w:tc>
          <w:tcPr>
            <w:tcW w:w="6085" w:type="dxa"/>
            <w:noWrap w:val="0"/>
            <w:tcMar>
              <w:left w:w="75" w:type="dxa"/>
            </w:tcMar>
            <w:vAlign w:val="center"/>
          </w:tcPr>
          <w:p>
            <w:pPr>
              <w:widowControl/>
              <w:spacing w:line="500" w:lineRule="exact"/>
              <w:jc w:val="left"/>
              <w:rPr>
                <w:kern w:val="0"/>
                <w:szCs w:val="21"/>
              </w:rPr>
            </w:pPr>
            <w:r>
              <w:rPr>
                <w:kern w:val="0"/>
                <w:szCs w:val="21"/>
              </w:rPr>
              <w:t>投标文件对招标文件的其他实质性要求和条件作出响应</w:t>
            </w:r>
          </w:p>
        </w:tc>
      </w:tr>
    </w:tbl>
    <w:p>
      <w:pPr>
        <w:keepNext/>
        <w:keepLines/>
        <w:spacing w:line="500" w:lineRule="exact"/>
        <w:jc w:val="center"/>
        <w:rPr>
          <w:rFonts w:eastAsia="黑体"/>
          <w:bCs/>
          <w:sz w:val="28"/>
          <w:szCs w:val="28"/>
        </w:rPr>
      </w:pPr>
    </w:p>
    <w:p>
      <w:pPr>
        <w:keepNext/>
        <w:keepLines/>
        <w:spacing w:before="120" w:beforeLines="50" w:after="120" w:afterLines="50" w:line="500" w:lineRule="exact"/>
        <w:jc w:val="center"/>
        <w:outlineLvl w:val="2"/>
        <w:rPr>
          <w:rFonts w:eastAsia="黑体"/>
          <w:bCs/>
          <w:sz w:val="28"/>
          <w:szCs w:val="28"/>
        </w:rPr>
      </w:pPr>
      <w:r>
        <w:rPr>
          <w:rFonts w:eastAsia="黑体"/>
          <w:bCs/>
          <w:sz w:val="28"/>
          <w:szCs w:val="28"/>
        </w:rPr>
        <w:t>报价文件初步评审标准</w:t>
      </w:r>
    </w:p>
    <w:tbl>
      <w:tblPr>
        <w:tblStyle w:val="54"/>
        <w:tblW w:w="553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006"/>
        <w:gridCol w:w="927"/>
        <w:gridCol w:w="2172"/>
        <w:gridCol w:w="510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1049" w:type="pct"/>
            <w:gridSpan w:val="2"/>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r>
              <w:rPr>
                <w:b/>
                <w:bCs/>
                <w:kern w:val="0"/>
                <w:szCs w:val="21"/>
              </w:rPr>
              <w:t>条款号</w:t>
            </w:r>
          </w:p>
        </w:tc>
        <w:tc>
          <w:tcPr>
            <w:tcW w:w="1179" w:type="pct"/>
            <w:tcBorders>
              <w:top w:val="outset" w:color="auto" w:sz="6" w:space="0"/>
              <w:left w:val="single" w:color="auto" w:sz="4" w:space="0"/>
              <w:bottom w:val="outset" w:color="auto" w:sz="6" w:space="0"/>
              <w:right w:val="single" w:color="auto" w:sz="4" w:space="0"/>
            </w:tcBorders>
            <w:noWrap w:val="0"/>
            <w:vAlign w:val="center"/>
          </w:tcPr>
          <w:p>
            <w:pPr>
              <w:widowControl/>
              <w:spacing w:line="500" w:lineRule="exact"/>
              <w:ind w:firstLine="105" w:firstLineChars="50"/>
              <w:jc w:val="center"/>
              <w:rPr>
                <w:kern w:val="0"/>
                <w:szCs w:val="21"/>
              </w:rPr>
            </w:pPr>
            <w:r>
              <w:rPr>
                <w:b/>
                <w:bCs/>
                <w:kern w:val="0"/>
                <w:szCs w:val="21"/>
              </w:rPr>
              <w:t>评审因素</w:t>
            </w:r>
          </w:p>
        </w:tc>
        <w:tc>
          <w:tcPr>
            <w:tcW w:w="2770" w:type="pct"/>
            <w:tcBorders>
              <w:top w:val="outset" w:color="auto" w:sz="6" w:space="0"/>
              <w:left w:val="single" w:color="auto" w:sz="4" w:space="0"/>
              <w:bottom w:val="outset" w:color="auto" w:sz="6" w:space="0"/>
              <w:right w:val="outset" w:color="auto" w:sz="6" w:space="0"/>
            </w:tcBorders>
            <w:noWrap w:val="0"/>
            <w:vAlign w:val="center"/>
          </w:tcPr>
          <w:p>
            <w:pPr>
              <w:widowControl/>
              <w:spacing w:line="500" w:lineRule="exact"/>
              <w:ind w:firstLine="105" w:firstLineChars="50"/>
              <w:jc w:val="center"/>
              <w:rPr>
                <w:kern w:val="0"/>
                <w:szCs w:val="21"/>
              </w:rPr>
            </w:pPr>
            <w:r>
              <w:rPr>
                <w:b/>
                <w:bCs/>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kern w:val="0"/>
                <w:szCs w:val="21"/>
              </w:rPr>
            </w:pPr>
            <w:r>
              <w:rPr>
                <w:bCs/>
                <w:kern w:val="0"/>
                <w:szCs w:val="21"/>
              </w:rPr>
              <w:t>2.1.1</w:t>
            </w:r>
          </w:p>
        </w:tc>
        <w:tc>
          <w:tcPr>
            <w:tcW w:w="503" w:type="pct"/>
            <w:vMerge w:val="restart"/>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r>
              <w:rPr>
                <w:bCs/>
                <w:kern w:val="0"/>
                <w:szCs w:val="21"/>
              </w:rPr>
              <w:t>形式评审标准</w:t>
            </w: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000000"/>
              </w:rPr>
            </w:pPr>
            <w:r>
              <w:rPr>
                <w:color w:val="000000"/>
              </w:rPr>
              <w:t>投标人名称</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spacing w:line="500" w:lineRule="exact"/>
              <w:rPr>
                <w:rFonts w:hint="eastAsia"/>
                <w:color w:val="000000"/>
              </w:rPr>
            </w:pPr>
            <w:r>
              <w:rPr>
                <w:color w:val="000000"/>
              </w:rPr>
              <w:t>与营业执照（事业单位法人证书）、资质证书一致</w:t>
            </w:r>
            <w:r>
              <w:rPr>
                <w:rFonts w:hint="eastAsia"/>
                <w:color w:val="000000"/>
              </w:rPr>
              <w:t>。</w:t>
            </w:r>
          </w:p>
          <w:p>
            <w:pPr>
              <w:spacing w:line="500" w:lineRule="exact"/>
              <w:rPr>
                <w:color w:val="000000"/>
              </w:rPr>
            </w:pPr>
            <w:r>
              <w:rPr>
                <w:color w:val="000000"/>
              </w:rPr>
              <w:t>名称变更的，应当提供证书颁发等单位提供的变更说明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t>投标文件格式</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color w:val="000000"/>
                <w:kern w:val="0"/>
                <w:szCs w:val="21"/>
              </w:rPr>
              <w:t>符合第六章“投标文件格式”的规定，关键字迹清晰可辨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pPr>
            <w:r>
              <w:rPr>
                <w:kern w:val="0"/>
                <w:szCs w:val="21"/>
              </w:rPr>
              <w:t>备选投标方案</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kern w:val="0"/>
                <w:szCs w:val="21"/>
              </w:rPr>
              <w:t>除招标文件明确允许备选投标方案外，投标人不得提交备选投标方案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rPr>
                <w:kern w:val="0"/>
                <w:szCs w:val="21"/>
              </w:rPr>
              <w:t>签字盖章</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000000"/>
                <w:kern w:val="0"/>
                <w:szCs w:val="21"/>
              </w:rPr>
            </w:pPr>
            <w:r>
              <w:rPr>
                <w:color w:val="000000"/>
                <w:kern w:val="0"/>
                <w:szCs w:val="21"/>
              </w:rPr>
              <w:t>符合第六章“投标文件格式”的规定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kern w:val="0"/>
                <w:szCs w:val="21"/>
              </w:rPr>
            </w:pPr>
            <w:r>
              <w:rPr>
                <w:bCs/>
                <w:kern w:val="0"/>
                <w:szCs w:val="21"/>
              </w:rPr>
              <w:t>2.1.2</w:t>
            </w:r>
          </w:p>
        </w:tc>
        <w:tc>
          <w:tcPr>
            <w:tcW w:w="503" w:type="pct"/>
            <w:vMerge w:val="restart"/>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kern w:val="0"/>
                <w:szCs w:val="21"/>
              </w:rPr>
            </w:pPr>
            <w:r>
              <w:rPr>
                <w:bCs/>
                <w:kern w:val="0"/>
                <w:szCs w:val="21"/>
              </w:rPr>
              <w:t>响应性评审标准</w:t>
            </w: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kern w:val="0"/>
                <w:szCs w:val="21"/>
              </w:rPr>
            </w:pPr>
            <w:r>
              <w:rPr>
                <w:kern w:val="0"/>
                <w:szCs w:val="21"/>
              </w:rPr>
              <w:t>投标内容</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bCs/>
                <w:kern w:val="0"/>
                <w:szCs w:val="21"/>
              </w:rPr>
            </w:pPr>
          </w:p>
        </w:tc>
        <w:tc>
          <w:tcPr>
            <w:tcW w:w="503" w:type="pct"/>
            <w:vMerge w:val="continue"/>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bCs/>
                <w:kern w:val="0"/>
                <w:szCs w:val="21"/>
              </w:rPr>
            </w:pP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000000"/>
              </w:rPr>
            </w:pPr>
            <w:r>
              <w:rPr>
                <w:color w:val="000000"/>
              </w:rPr>
              <w:t>投标报价</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符合第二章“投标人须知”第3.2款规定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left"/>
              <w:rPr>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ind w:left="-57" w:leftChars="-27"/>
              <w:jc w:val="center"/>
              <w:rPr>
                <w:color w:val="000000"/>
                <w:kern w:val="0"/>
                <w:szCs w:val="21"/>
              </w:rPr>
            </w:pPr>
            <w:r>
              <w:rPr>
                <w:color w:val="000000"/>
                <w:kern w:val="0"/>
                <w:szCs w:val="21"/>
              </w:rPr>
              <w:t>其它情形</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kern w:val="0"/>
                <w:szCs w:val="21"/>
              </w:rPr>
            </w:pPr>
            <w:r>
              <w:rPr>
                <w:kern w:val="0"/>
                <w:szCs w:val="21"/>
              </w:rPr>
              <w:t>投标文件中不得存在招标人不能接受的其它实质性条件</w:t>
            </w:r>
          </w:p>
        </w:tc>
      </w:tr>
    </w:tbl>
    <w:p>
      <w:pPr>
        <w:spacing w:line="500" w:lineRule="exact"/>
        <w:jc w:val="center"/>
        <w:rPr>
          <w:kern w:val="0"/>
          <w:szCs w:val="21"/>
        </w:rPr>
      </w:pPr>
    </w:p>
    <w:p>
      <w:pPr>
        <w:keepNext/>
        <w:keepLines/>
        <w:spacing w:after="120" w:afterLines="50" w:line="500" w:lineRule="exact"/>
        <w:jc w:val="center"/>
        <w:outlineLvl w:val="2"/>
        <w:rPr>
          <w:rFonts w:eastAsia="黑体"/>
          <w:bCs/>
          <w:sz w:val="28"/>
          <w:szCs w:val="28"/>
        </w:rPr>
      </w:pPr>
      <w:r>
        <w:rPr>
          <w:rFonts w:eastAsia="黑体"/>
          <w:bCs/>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自201</w:t>
            </w:r>
            <w:r>
              <w:rPr>
                <w:rFonts w:hint="eastAsia" w:ascii="宋体" w:hAnsi="宋体" w:cs="宋体"/>
                <w:b/>
                <w:bCs/>
                <w:kern w:val="0"/>
                <w:sz w:val="21"/>
                <w:szCs w:val="21"/>
                <w:highlight w:val="yellow"/>
                <w:lang w:val="en-US" w:eastAsia="zh-CN"/>
              </w:rPr>
              <w:t>9</w:t>
            </w:r>
            <w:r>
              <w:rPr>
                <w:rFonts w:hint="eastAsia" w:ascii="宋体" w:hAnsi="宋体" w:cs="宋体"/>
                <w:b/>
                <w:bCs/>
                <w:kern w:val="0"/>
                <w:sz w:val="21"/>
                <w:szCs w:val="21"/>
                <w:highlight w:val="yellow"/>
              </w:rPr>
              <w:t>年1月1日以来（以合同签订时间为准），投标人具有</w:t>
            </w:r>
            <w:r>
              <w:rPr>
                <w:rFonts w:hint="eastAsia" w:ascii="宋体" w:hAnsi="宋体" w:cs="宋体"/>
                <w:b/>
                <w:bCs/>
                <w:sz w:val="21"/>
                <w:szCs w:val="21"/>
                <w:highlight w:val="yellow"/>
                <w:lang w:val="en-US" w:eastAsia="zh-CN"/>
              </w:rPr>
              <w:t>禽肉蛋</w:t>
            </w:r>
            <w:r>
              <w:rPr>
                <w:rFonts w:hint="eastAsia" w:ascii="宋体" w:hAnsi="宋体" w:cs="宋体"/>
                <w:b/>
                <w:bCs/>
                <w:kern w:val="0"/>
                <w:sz w:val="21"/>
                <w:szCs w:val="21"/>
                <w:highlight w:val="yellow"/>
              </w:rPr>
              <w:t>类食材供应业绩，须单个合同金额不少</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0万元，每提供一个业绩得</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ascii="宋体" w:hAnsi="宋体" w:cs="宋体"/>
                <w:b/>
                <w:bCs/>
                <w:kern w:val="0"/>
                <w:sz w:val="21"/>
                <w:szCs w:val="21"/>
                <w:highlight w:val="yellow"/>
              </w:rPr>
            </w:pPr>
            <w:r>
              <w:rPr>
                <w:rFonts w:hint="eastAsia" w:ascii="宋体" w:hAnsi="宋体" w:cs="宋体"/>
                <w:b/>
                <w:bCs/>
                <w:kern w:val="0"/>
                <w:sz w:val="21"/>
                <w:szCs w:val="21"/>
                <w:highlight w:val="yellow"/>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snapToGrid w:val="0"/>
              <w:spacing w:line="360" w:lineRule="auto"/>
              <w:jc w:val="left"/>
              <w:rPr>
                <w:rFonts w:hint="eastAsia" w:ascii="宋体" w:hAnsi="宋体" w:cs="宋体"/>
                <w:b/>
                <w:bCs/>
                <w:sz w:val="21"/>
                <w:szCs w:val="21"/>
                <w:highlight w:val="yellow"/>
              </w:rPr>
            </w:pPr>
            <w:r>
              <w:rPr>
                <w:rFonts w:hint="eastAsia" w:ascii="宋体" w:hAnsi="宋体" w:cs="宋体"/>
                <w:b/>
                <w:bCs/>
                <w:sz w:val="21"/>
                <w:szCs w:val="21"/>
                <w:highlight w:val="yellow"/>
              </w:rPr>
              <w:t>（2）供货业绩如不能将</w:t>
            </w:r>
            <w:r>
              <w:rPr>
                <w:rFonts w:hint="eastAsia" w:ascii="宋体" w:hAnsi="宋体" w:cs="宋体"/>
                <w:b/>
                <w:bCs/>
                <w:sz w:val="21"/>
                <w:szCs w:val="21"/>
                <w:highlight w:val="yellow"/>
                <w:lang w:val="en-US" w:eastAsia="zh-CN"/>
              </w:rPr>
              <w:t>禽肉蛋</w:t>
            </w:r>
            <w:r>
              <w:rPr>
                <w:rFonts w:hint="eastAsia" w:ascii="宋体" w:hAnsi="宋体" w:cs="宋体"/>
                <w:b/>
                <w:bCs/>
                <w:kern w:val="0"/>
                <w:sz w:val="21"/>
                <w:szCs w:val="21"/>
                <w:highlight w:val="yellow"/>
              </w:rPr>
              <w:t>类</w:t>
            </w:r>
            <w:r>
              <w:rPr>
                <w:rFonts w:hint="eastAsia" w:ascii="宋体" w:hAnsi="宋体" w:cs="宋体"/>
                <w:b/>
                <w:bCs/>
                <w:sz w:val="21"/>
                <w:szCs w:val="21"/>
                <w:highlight w:val="yellow"/>
              </w:rPr>
              <w:t>食材与其他食材项目分开，须提供合同甲方盖章的</w:t>
            </w:r>
            <w:r>
              <w:rPr>
                <w:rFonts w:hint="eastAsia" w:ascii="宋体" w:hAnsi="宋体" w:cs="宋体"/>
                <w:b/>
                <w:bCs/>
                <w:sz w:val="21"/>
                <w:szCs w:val="21"/>
                <w:highlight w:val="yellow"/>
                <w:lang w:val="en-US" w:eastAsia="zh-CN"/>
              </w:rPr>
              <w:t>禽肉蛋</w:t>
            </w:r>
            <w:r>
              <w:rPr>
                <w:rFonts w:hint="eastAsia" w:ascii="宋体" w:hAnsi="宋体" w:cs="宋体"/>
                <w:b/>
                <w:bCs/>
                <w:kern w:val="0"/>
                <w:sz w:val="21"/>
                <w:szCs w:val="21"/>
                <w:highlight w:val="yellow"/>
              </w:rPr>
              <w:t>类</w:t>
            </w:r>
            <w:r>
              <w:rPr>
                <w:rFonts w:hint="eastAsia" w:ascii="宋体" w:hAnsi="宋体" w:cs="宋体"/>
                <w:b/>
                <w:bCs/>
                <w:sz w:val="21"/>
                <w:szCs w:val="21"/>
                <w:highlight w:val="yellow"/>
              </w:rPr>
              <w:t>食材供货业绩金额证明，且附供货清单；</w:t>
            </w:r>
          </w:p>
          <w:p>
            <w:pPr>
              <w:snapToGrid w:val="0"/>
              <w:spacing w:line="360" w:lineRule="auto"/>
              <w:jc w:val="left"/>
              <w:rPr>
                <w:rFonts w:hint="eastAsia" w:ascii="宋体" w:hAnsi="宋体" w:eastAsia="宋体" w:cs="宋体"/>
                <w:kern w:val="2"/>
                <w:sz w:val="21"/>
                <w:szCs w:val="21"/>
                <w:highlight w:val="yellow"/>
                <w:lang w:val="en-US" w:eastAsia="zh-CN" w:bidi="ar-SA"/>
              </w:rPr>
            </w:pPr>
            <w:r>
              <w:rPr>
                <w:rFonts w:hint="eastAsia" w:ascii="宋体" w:hAnsi="宋体" w:cs="宋体"/>
                <w:b/>
                <w:bCs/>
                <w:sz w:val="21"/>
                <w:szCs w:val="21"/>
                <w:highlight w:val="yellow"/>
              </w:rPr>
              <w:t>（3）本招标项目投标人业绩（详细评审）数量：</w:t>
            </w:r>
            <w:r>
              <w:rPr>
                <w:rFonts w:hint="eastAsia" w:ascii="宋体" w:hAnsi="宋体" w:cs="宋体"/>
                <w:b/>
                <w:bCs/>
                <w:sz w:val="21"/>
                <w:szCs w:val="21"/>
                <w:highlight w:val="yellow"/>
                <w:u w:val="single"/>
              </w:rPr>
              <w:t xml:space="preserve"> 4 </w:t>
            </w:r>
            <w:r>
              <w:rPr>
                <w:rFonts w:hint="eastAsia" w:ascii="宋体" w:hAnsi="宋体" w:cs="宋体"/>
                <w:b/>
                <w:bCs/>
                <w:sz w:val="21"/>
                <w:szCs w:val="21"/>
                <w:highlight w:val="yellow"/>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sz w:val="21"/>
                <w:szCs w:val="21"/>
                <w:lang w:val="en-US" w:eastAsia="zh-CN"/>
              </w:rPr>
            </w:pPr>
            <w:r>
              <w:rPr>
                <w:rFonts w:hint="eastAsia"/>
                <w:sz w:val="21"/>
                <w:szCs w:val="21"/>
                <w:lang w:val="en-US" w:eastAsia="zh-CN"/>
              </w:rPr>
              <w:t>冷库</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（1）投标人具有200平方米以上的冷库得5分；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（2）投标人具有100平方米以上的冷库得3分；</w:t>
            </w:r>
          </w:p>
          <w:p>
            <w:pPr>
              <w:pStyle w:val="53"/>
              <w:spacing w:line="360" w:lineRule="auto"/>
              <w:ind w:firstLine="0" w:firstLineChars="0"/>
              <w:rPr>
                <w:rFonts w:hint="default" w:ascii="Times New Roman" w:hAnsi="Times New Roman"/>
                <w:i w:val="0"/>
                <w:iCs/>
                <w:sz w:val="21"/>
                <w:szCs w:val="21"/>
                <w:lang w:val="en-US" w:eastAsia="zh-CN"/>
              </w:rPr>
            </w:pPr>
            <w:r>
              <w:rPr>
                <w:rFonts w:hint="eastAsia" w:ascii="Times New Roman" w:hAnsi="Times New Roman"/>
                <w:i w:val="0"/>
                <w:iCs/>
                <w:sz w:val="21"/>
                <w:szCs w:val="21"/>
                <w:lang w:val="en-US" w:eastAsia="zh-CN"/>
              </w:rPr>
              <w:t>（3）投标人具有50平方米以上的冷库得2分。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自有农场</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（1）投标人具有面积50亩以上的农场得5分；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（2）投标人具有面积30亩以上的农场得3分；</w:t>
            </w:r>
          </w:p>
          <w:p>
            <w:pPr>
              <w:pStyle w:val="53"/>
              <w:spacing w:line="360" w:lineRule="auto"/>
              <w:ind w:firstLine="0" w:firstLineChars="0"/>
              <w:rPr>
                <w:rFonts w:ascii="Times New Roman" w:hAnsi="Times New Roman"/>
                <w:sz w:val="21"/>
                <w:szCs w:val="21"/>
              </w:rPr>
            </w:pPr>
            <w:r>
              <w:rPr>
                <w:rFonts w:hint="eastAsia" w:ascii="Times New Roman" w:hAnsi="Times New Roman"/>
                <w:i w:val="0"/>
                <w:iCs/>
                <w:sz w:val="21"/>
                <w:szCs w:val="21"/>
                <w:lang w:val="en-US" w:eastAsia="zh-CN"/>
              </w:rPr>
              <w:t>（3）投标人具有面积20亩以上的农场得2分。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1"/>
                <w:szCs w:val="21"/>
              </w:rPr>
            </w:pPr>
            <w:r>
              <w:rPr>
                <w:rFonts w:ascii="宋体" w:hAnsi="宋体" w:cs="宋体"/>
                <w:kern w:val="0"/>
                <w:sz w:val="21"/>
                <w:szCs w:val="21"/>
              </w:rPr>
              <w:t>评审委员会根据投标人</w:t>
            </w:r>
            <w:r>
              <w:rPr>
                <w:rFonts w:hint="eastAsia" w:ascii="宋体" w:hAnsi="宋体" w:cs="宋体"/>
                <w:kern w:val="0"/>
                <w:sz w:val="21"/>
                <w:szCs w:val="21"/>
              </w:rPr>
              <w:t xml:space="preserve">提供的公司管理制度进行综合评分： </w:t>
            </w:r>
          </w:p>
          <w:p>
            <w:pPr>
              <w:spacing w:line="360" w:lineRule="auto"/>
              <w:rPr>
                <w:rFonts w:hint="eastAsia" w:ascii="宋体" w:hAnsi="宋体" w:cs="宋体"/>
                <w:sz w:val="21"/>
                <w:szCs w:val="21"/>
              </w:rPr>
            </w:pPr>
            <w:r>
              <w:rPr>
                <w:rFonts w:hint="eastAsia" w:ascii="宋体" w:hAnsi="宋体" w:cs="宋体"/>
                <w:sz w:val="21"/>
                <w:szCs w:val="21"/>
              </w:rPr>
              <w:t>（1）具有完整合理、可行度高的包括公司领导机制、各项管理制度、人员在岗、待岗职责制度；</w:t>
            </w:r>
          </w:p>
          <w:p>
            <w:pPr>
              <w:spacing w:line="360" w:lineRule="auto"/>
              <w:rPr>
                <w:rFonts w:hint="eastAsia" w:ascii="宋体" w:hAnsi="宋体" w:cs="宋体"/>
                <w:sz w:val="21"/>
                <w:szCs w:val="21"/>
              </w:rPr>
            </w:pPr>
            <w:r>
              <w:rPr>
                <w:rFonts w:hint="eastAsia" w:ascii="宋体" w:hAnsi="宋体" w:cs="宋体"/>
                <w:sz w:val="21"/>
                <w:szCs w:val="21"/>
              </w:rPr>
              <w:t>（2）具有完整合理、可行度高的包括财务服务、人员考核制度等；</w:t>
            </w:r>
          </w:p>
          <w:p>
            <w:pPr>
              <w:snapToGrid w:val="0"/>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全面性、合理性、可行性、可操作性一般的，得0＜F≤3分；</w:t>
            </w:r>
          </w:p>
          <w:p>
            <w:pPr>
              <w:pStyle w:val="53"/>
              <w:spacing w:line="360" w:lineRule="auto"/>
              <w:ind w:firstLine="0" w:firstLineChars="0"/>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4"/>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bookmarkStart w:id="288" w:name="_Toc7693"/>
            <w:bookmarkStart w:id="289" w:name="_Toc24535"/>
            <w:bookmarkStart w:id="290" w:name="_Toc31636"/>
            <w:bookmarkStart w:id="291" w:name="_Toc13321"/>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bidi w:val="0"/>
      </w:pPr>
    </w:p>
    <w:p>
      <w:pPr>
        <w:pStyle w:val="2"/>
        <w:spacing w:before="0" w:after="0" w:line="500" w:lineRule="exact"/>
        <w:rPr>
          <w:rFonts w:ascii="Times New Roman" w:hAnsi="Times New Roman" w:eastAsia="黑体"/>
          <w:b w:val="0"/>
          <w:bCs w:val="0"/>
          <w:sz w:val="28"/>
          <w:szCs w:val="28"/>
        </w:rPr>
      </w:pPr>
      <w:bookmarkStart w:id="292" w:name="_Toc28203"/>
      <w:r>
        <w:rPr>
          <w:rFonts w:ascii="Times New Roman" w:hAnsi="Times New Roman" w:eastAsia="黑体"/>
          <w:b w:val="0"/>
          <w:bCs w:val="0"/>
          <w:sz w:val="28"/>
          <w:szCs w:val="28"/>
        </w:rPr>
        <w:t>1. 评标方法</w:t>
      </w:r>
      <w:bookmarkEnd w:id="288"/>
      <w:bookmarkEnd w:id="289"/>
      <w:bookmarkEnd w:id="290"/>
      <w:bookmarkEnd w:id="291"/>
      <w:bookmarkEnd w:id="292"/>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sz w:val="28"/>
          <w:szCs w:val="28"/>
        </w:rPr>
      </w:pPr>
      <w:bookmarkStart w:id="293" w:name="_Toc30403"/>
      <w:bookmarkStart w:id="294" w:name="_Toc25200"/>
      <w:bookmarkStart w:id="295" w:name="_Toc13983"/>
      <w:bookmarkStart w:id="296" w:name="_Toc18706"/>
      <w:bookmarkStart w:id="297" w:name="_Toc19378"/>
      <w:bookmarkStart w:id="298" w:name="_Toc737"/>
      <w:r>
        <w:rPr>
          <w:rFonts w:ascii="Times New Roman" w:hAnsi="Times New Roman" w:eastAsia="黑体"/>
          <w:b w:val="0"/>
          <w:bCs w:val="0"/>
          <w:sz w:val="28"/>
          <w:szCs w:val="28"/>
        </w:rPr>
        <w:t>2. 评审标准</w:t>
      </w:r>
      <w:bookmarkEnd w:id="293"/>
      <w:bookmarkEnd w:id="294"/>
      <w:bookmarkEnd w:id="295"/>
      <w:bookmarkEnd w:id="296"/>
      <w:bookmarkEnd w:id="297"/>
      <w:bookmarkEnd w:id="298"/>
    </w:p>
    <w:p>
      <w:pPr>
        <w:pStyle w:val="4"/>
        <w:spacing w:before="0" w:after="0" w:line="500" w:lineRule="exact"/>
        <w:ind w:firstLine="137"/>
        <w:rPr>
          <w:rFonts w:ascii="Times New Roman" w:hAnsi="Times New Roman"/>
        </w:rPr>
      </w:pPr>
      <w:bookmarkStart w:id="299" w:name="_Toc1255"/>
      <w:bookmarkStart w:id="300" w:name="_Toc18093"/>
      <w:bookmarkStart w:id="301" w:name="_Toc26440"/>
      <w:r>
        <w:rPr>
          <w:rFonts w:ascii="Times New Roman" w:hAnsi="Times New Roman"/>
        </w:rPr>
        <w:t>2.1 初步评审标准</w:t>
      </w:r>
      <w:bookmarkEnd w:id="299"/>
      <w:bookmarkEnd w:id="300"/>
      <w:bookmarkEnd w:id="301"/>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4"/>
        <w:spacing w:before="0" w:after="0" w:line="500" w:lineRule="exact"/>
        <w:ind w:firstLine="137"/>
        <w:rPr>
          <w:rFonts w:ascii="Times New Roman" w:hAnsi="Times New Roman"/>
        </w:rPr>
      </w:pPr>
      <w:bookmarkStart w:id="302" w:name="_Toc16485"/>
      <w:bookmarkStart w:id="303" w:name="_Toc11465"/>
      <w:bookmarkStart w:id="304" w:name="_Toc16643"/>
      <w:r>
        <w:rPr>
          <w:rFonts w:ascii="Times New Roman" w:hAnsi="Times New Roman"/>
        </w:rPr>
        <w:t>2.2 分值构成与评分标准</w:t>
      </w:r>
      <w:bookmarkEnd w:id="302"/>
      <w:bookmarkEnd w:id="303"/>
      <w:bookmarkEnd w:id="304"/>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2"/>
        <w:spacing w:before="0" w:after="0" w:line="500" w:lineRule="exact"/>
        <w:rPr>
          <w:rFonts w:ascii="Times New Roman" w:hAnsi="Times New Roman" w:eastAsia="黑体"/>
          <w:b w:val="0"/>
          <w:bCs w:val="0"/>
          <w:sz w:val="28"/>
          <w:szCs w:val="28"/>
        </w:rPr>
      </w:pPr>
      <w:bookmarkStart w:id="305" w:name="_Toc2840"/>
      <w:bookmarkStart w:id="306" w:name="_Toc607"/>
      <w:bookmarkStart w:id="307" w:name="_Toc30472"/>
      <w:bookmarkStart w:id="308" w:name="_Toc32039"/>
      <w:bookmarkStart w:id="309" w:name="_Toc2340"/>
      <w:bookmarkStart w:id="310" w:name="_Toc10586"/>
      <w:r>
        <w:rPr>
          <w:rFonts w:ascii="Times New Roman" w:hAnsi="Times New Roman" w:eastAsia="黑体"/>
          <w:b w:val="0"/>
          <w:bCs w:val="0"/>
          <w:sz w:val="28"/>
          <w:szCs w:val="28"/>
        </w:rPr>
        <w:t>3. 评标程序</w:t>
      </w:r>
      <w:bookmarkEnd w:id="305"/>
      <w:bookmarkEnd w:id="306"/>
      <w:bookmarkEnd w:id="307"/>
      <w:bookmarkEnd w:id="308"/>
      <w:bookmarkEnd w:id="309"/>
      <w:bookmarkEnd w:id="310"/>
    </w:p>
    <w:p>
      <w:pPr>
        <w:pStyle w:val="4"/>
        <w:spacing w:before="0" w:after="0" w:line="500" w:lineRule="exact"/>
        <w:ind w:firstLine="137"/>
        <w:rPr>
          <w:rFonts w:ascii="Times New Roman" w:hAnsi="Times New Roman"/>
        </w:rPr>
      </w:pPr>
      <w:bookmarkStart w:id="311" w:name="_Toc4716"/>
      <w:bookmarkStart w:id="312" w:name="_Toc8906"/>
      <w:bookmarkStart w:id="313" w:name="_Toc8621"/>
      <w:r>
        <w:rPr>
          <w:rFonts w:ascii="Times New Roman" w:hAnsi="Times New Roman"/>
        </w:rPr>
        <w:t>3.1 商务及技术文件初步评审</w:t>
      </w:r>
      <w:bookmarkEnd w:id="311"/>
      <w:bookmarkEnd w:id="312"/>
      <w:bookmarkEnd w:id="313"/>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4"/>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4"/>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4"/>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500" w:lineRule="exact"/>
        <w:jc w:val="center"/>
        <w:rPr>
          <w:rFonts w:eastAsia="黑体"/>
          <w:b/>
        </w:rPr>
      </w:pPr>
      <w:bookmarkStart w:id="314" w:name="_Toc29061"/>
    </w:p>
    <w:p>
      <w:pPr>
        <w:spacing w:line="500" w:lineRule="exact"/>
        <w:jc w:val="center"/>
        <w:rPr>
          <w:rFonts w:eastAsia="黑体"/>
          <w:b/>
        </w:rPr>
      </w:pPr>
    </w:p>
    <w:bookmarkEnd w:id="314"/>
    <w:p>
      <w:pPr>
        <w:pageBreakBefore/>
        <w:spacing w:before="240" w:beforeLines="100" w:after="240" w:afterLines="100" w:line="500" w:lineRule="exact"/>
        <w:jc w:val="center"/>
        <w:outlineLvl w:val="0"/>
        <w:rPr>
          <w:rFonts w:hint="eastAsia" w:ascii="宋体" w:hAnsi="宋体" w:cs="宋体"/>
          <w:b/>
          <w:sz w:val="44"/>
          <w:szCs w:val="44"/>
        </w:rPr>
      </w:pPr>
      <w:bookmarkStart w:id="315" w:name="_Toc18292"/>
      <w:bookmarkStart w:id="316" w:name="_Toc4376"/>
      <w:bookmarkStart w:id="317" w:name="_Toc179632785"/>
      <w:bookmarkStart w:id="318" w:name="_Toc152045767"/>
      <w:bookmarkStart w:id="319" w:name="_Toc144974826"/>
      <w:bookmarkStart w:id="320" w:name="_Toc152042546"/>
      <w:r>
        <w:rPr>
          <w:rFonts w:hint="eastAsia" w:ascii="宋体" w:hAnsi="宋体" w:cs="宋体"/>
          <w:b/>
          <w:sz w:val="44"/>
          <w:szCs w:val="44"/>
        </w:rPr>
        <w:t xml:space="preserve">第四章  </w:t>
      </w:r>
      <w:bookmarkEnd w:id="315"/>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i w:val="0"/>
          <w:iCs w:val="0"/>
          <w:color w:val="auto"/>
          <w:kern w:val="0"/>
          <w:sz w:val="24"/>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r>
        <w:rPr>
          <w:rFonts w:hint="eastAsia" w:asciiTheme="minorEastAsia" w:hAnsiTheme="minorEastAsia" w:eastAsiaTheme="minorEastAsia" w:cstheme="minorEastAsia"/>
          <w:b/>
          <w:bCs/>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i w:val="0"/>
          <w:iCs w:val="0"/>
          <w:color w:val="auto"/>
          <w:kern w:val="0"/>
          <w:sz w:val="24"/>
        </w:rPr>
      </w:pPr>
      <w:r>
        <w:rPr>
          <w:rFonts w:hint="eastAsia" w:asciiTheme="minorEastAsia" w:hAnsiTheme="minorEastAsia" w:eastAsiaTheme="minorEastAsia" w:cstheme="minorEastAsia"/>
          <w:kern w:val="2"/>
          <w:szCs w:val="32"/>
        </w:rPr>
        <w:t xml:space="preserve">                                      </w:t>
      </w:r>
    </w:p>
    <w:p>
      <w:pPr>
        <w:spacing w:before="120" w:beforeLines="50" w:after="72" w:afterLines="30" w:line="360" w:lineRule="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000000"/>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kern w:val="0"/>
          <w:sz w:val="24"/>
        </w:rPr>
        <w:t>本项目单一来源采购文件</w:t>
      </w:r>
      <w:r>
        <w:rPr>
          <w:rFonts w:hint="eastAsia" w:ascii="宋体" w:hAnsi="宋体" w:cs="宋体"/>
          <w:b/>
          <w:kern w:val="0"/>
          <w:sz w:val="24"/>
        </w:rPr>
        <w:t>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16"/>
    </w:p>
    <w:p>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甲方（盖章）：                   乙方（盖章）：</w:t>
      </w:r>
    </w:p>
    <w:p>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400" w:lineRule="exact"/>
        <w:rPr>
          <w:rFonts w:hint="eastAsia" w:ascii="宋体" w:hAnsi="宋体" w:cs="宋体"/>
          <w:szCs w:val="21"/>
        </w:rPr>
      </w:pPr>
      <w:r>
        <w:rPr>
          <w:rFonts w:hint="eastAsia" w:ascii="宋体" w:hAnsi="宋体" w:cs="宋体"/>
          <w:szCs w:val="21"/>
        </w:rPr>
        <w:t>授权代表：   (职务)               授权代表：  （职务）</w:t>
      </w:r>
    </w:p>
    <w:p>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ind w:firstLine="420" w:firstLineChars="200"/>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廉政监督联系人                    廉政监督联系人</w:t>
      </w:r>
    </w:p>
    <w:p>
      <w:pPr>
        <w:spacing w:line="400" w:lineRule="exact"/>
        <w:rPr>
          <w:rFonts w:hint="eastAsia" w:ascii="宋体" w:hAnsi="宋体" w:cs="宋体"/>
          <w:szCs w:val="21"/>
        </w:rPr>
      </w:pPr>
      <w:r>
        <w:rPr>
          <w:rFonts w:hint="eastAsia" w:ascii="宋体" w:hAnsi="宋体" w:cs="宋体"/>
          <w:szCs w:val="21"/>
        </w:rPr>
        <w:t>姓名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rPr>
          <w:rFonts w:hint="eastAsia" w:ascii="宋体" w:hAnsi="宋体" w:cs="宋体"/>
          <w:szCs w:val="21"/>
        </w:rPr>
      </w:pPr>
      <w:r>
        <w:rPr>
          <w:rFonts w:hint="eastAsia" w:ascii="宋体" w:hAnsi="宋体" w:cs="宋体"/>
          <w:szCs w:val="21"/>
        </w:rPr>
        <w:t>电话：                            电话：</w:t>
      </w:r>
    </w:p>
    <w:p>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pPr>
        <w:spacing w:line="400" w:lineRule="exact"/>
        <w:rPr>
          <w:rFonts w:hint="eastAsia" w:ascii="宋体" w:hAnsi="宋体" w:cs="宋体"/>
          <w:szCs w:val="21"/>
        </w:rPr>
      </w:pPr>
      <w:r>
        <w:rPr>
          <w:rFonts w:hint="eastAsia" w:ascii="宋体" w:hAnsi="宋体" w:cs="宋体"/>
          <w:szCs w:val="21"/>
        </w:rPr>
        <w:t>日期：                            日期：</w:t>
      </w:r>
    </w:p>
    <w:bookmarkEnd w:id="317"/>
    <w:bookmarkEnd w:id="318"/>
    <w:bookmarkEnd w:id="319"/>
    <w:bookmarkEnd w:id="320"/>
    <w:p>
      <w:pPr>
        <w:pStyle w:val="3"/>
        <w:pageBreakBefore/>
        <w:spacing w:before="240" w:beforeLines="100" w:after="240" w:afterLines="100" w:line="500" w:lineRule="exact"/>
        <w:jc w:val="center"/>
        <w:rPr>
          <w:rFonts w:hint="eastAsia" w:ascii="宋体" w:hAnsi="宋体" w:eastAsia="宋体" w:cs="宋体"/>
          <w:b/>
          <w:bCs/>
          <w:color w:val="000000"/>
          <w:kern w:val="0"/>
          <w:sz w:val="24"/>
          <w:szCs w:val="24"/>
          <w:lang w:val="en-US" w:eastAsia="zh-CN" w:bidi="ar"/>
        </w:rPr>
      </w:pPr>
      <w:bookmarkStart w:id="321" w:name="_Toc27579"/>
      <w:bookmarkStart w:id="322" w:name="_Toc14287"/>
      <w:r>
        <w:rPr>
          <w:rFonts w:hint="eastAsia" w:ascii="宋体" w:hAnsi="宋体" w:eastAsia="宋体" w:cs="宋体"/>
          <w:b/>
          <w:bCs/>
          <w:color w:val="000000"/>
          <w:kern w:val="0"/>
          <w:sz w:val="24"/>
          <w:szCs w:val="24"/>
          <w:lang w:val="en-US" w:eastAsia="zh-CN" w:bidi="ar"/>
        </w:rPr>
        <w:t>第五章  供货要求</w:t>
      </w:r>
      <w:bookmarkEnd w:id="321"/>
      <w:bookmarkEnd w:id="322"/>
    </w:p>
    <w:p>
      <w:pPr>
        <w:keepNext/>
        <w:keepLines/>
        <w:spacing w:before="120" w:beforeLines="50" w:after="120" w:afterLines="50" w:line="500" w:lineRule="exact"/>
        <w:jc w:val="left"/>
        <w:outlineLvl w:val="1"/>
        <w:rPr>
          <w:rFonts w:hint="eastAsia" w:ascii="宋体" w:hAnsi="宋体" w:eastAsia="宋体" w:cs="宋体"/>
          <w:b/>
          <w:bCs/>
          <w:color w:val="000000"/>
          <w:kern w:val="0"/>
          <w:sz w:val="24"/>
          <w:szCs w:val="24"/>
          <w:lang w:val="en-US" w:eastAsia="zh-CN" w:bidi="ar"/>
        </w:rPr>
      </w:pPr>
      <w:bookmarkStart w:id="323" w:name="_Toc782"/>
      <w:bookmarkStart w:id="324" w:name="_Toc24421"/>
      <w:bookmarkStart w:id="325" w:name="_Toc22297"/>
      <w:bookmarkStart w:id="326" w:name="_Toc501460778"/>
      <w:r>
        <w:rPr>
          <w:rFonts w:hint="eastAsia" w:ascii="宋体" w:hAnsi="宋体" w:eastAsia="宋体" w:cs="宋体"/>
          <w:b/>
          <w:bCs/>
          <w:color w:val="000000"/>
          <w:kern w:val="0"/>
          <w:sz w:val="24"/>
          <w:szCs w:val="24"/>
          <w:lang w:val="en-US" w:eastAsia="zh-CN" w:bidi="ar"/>
        </w:rPr>
        <w:t>一、项目概况</w:t>
      </w:r>
      <w:bookmarkEnd w:id="323"/>
      <w:bookmarkEnd w:id="324"/>
      <w:bookmarkEnd w:id="325"/>
      <w:bookmarkEnd w:id="326"/>
    </w:p>
    <w:p>
      <w:pPr>
        <w:keepNext w:val="0"/>
        <w:keepLines w:val="0"/>
        <w:widowControl/>
        <w:suppressLineNumbers w:val="0"/>
        <w:ind w:firstLine="420" w:firstLineChars="200"/>
        <w:jc w:val="left"/>
        <w:rPr>
          <w:rFonts w:hint="eastAsia" w:ascii="宋体" w:hAnsi="宋体" w:eastAsia="宋体" w:cs="宋体"/>
          <w:bCs/>
          <w:color w:val="auto"/>
          <w:sz w:val="21"/>
          <w:szCs w:val="21"/>
        </w:rPr>
      </w:pPr>
      <w:r>
        <w:rPr>
          <w:rFonts w:hint="eastAsia" w:cs="宋体"/>
          <w:bCs/>
          <w:color w:val="auto"/>
          <w:sz w:val="21"/>
          <w:szCs w:val="21"/>
          <w:lang w:val="en-US" w:eastAsia="zh-CN"/>
        </w:rPr>
        <w:t>庐江县文旅投资有限公司有云里安凹与云溪山舍民宿</w:t>
      </w:r>
      <w:r>
        <w:rPr>
          <w:rFonts w:hint="eastAsia" w:ascii="宋体" w:hAnsi="宋体" w:eastAsia="宋体" w:cs="宋体"/>
          <w:color w:val="000000"/>
          <w:kern w:val="0"/>
          <w:sz w:val="21"/>
          <w:szCs w:val="21"/>
          <w:lang w:val="en-US" w:eastAsia="zh-CN" w:bidi="ar"/>
        </w:rPr>
        <w:t>，承接商务、会议、餐饮等类型的宾客，有客房间数51间，餐饮包厢数量9个，有会议室4个。</w:t>
      </w:r>
    </w:p>
    <w:p>
      <w:pPr>
        <w:keepNext w:val="0"/>
        <w:keepLines w:val="0"/>
        <w:widowControl/>
        <w:suppressLineNumbers w:val="0"/>
        <w:jc w:val="left"/>
      </w:pPr>
      <w:bookmarkStart w:id="327" w:name="_Toc501460779"/>
      <w:bookmarkStart w:id="328" w:name="_Toc9753"/>
      <w:bookmarkStart w:id="329" w:name="_Toc30199"/>
      <w:bookmarkStart w:id="330" w:name="_Toc24026"/>
      <w:r>
        <w:rPr>
          <w:rFonts w:ascii="Times New Roman" w:hAnsi="Times New Roman" w:eastAsia="黑体" w:cs="Times New Roman"/>
          <w:color w:val="auto"/>
          <w:kern w:val="2"/>
          <w:sz w:val="28"/>
          <w:szCs w:val="20"/>
          <w:lang w:val="en-US" w:eastAsia="zh-CN" w:bidi="ar-SA"/>
        </w:rPr>
        <w:t>二、</w:t>
      </w:r>
      <w:bookmarkEnd w:id="327"/>
      <w:bookmarkEnd w:id="328"/>
      <w:bookmarkEnd w:id="329"/>
      <w:bookmarkEnd w:id="330"/>
      <w:r>
        <w:rPr>
          <w:rFonts w:hint="eastAsia" w:ascii="宋体" w:hAnsi="宋体" w:eastAsia="宋体" w:cs="宋体"/>
          <w:b/>
          <w:bCs/>
          <w:color w:val="000000"/>
          <w:kern w:val="0"/>
          <w:sz w:val="24"/>
          <w:szCs w:val="24"/>
          <w:lang w:val="en-US" w:eastAsia="zh-CN" w:bidi="ar"/>
        </w:rPr>
        <w:t>货物需求一览表</w:t>
      </w:r>
    </w:p>
    <w:tbl>
      <w:tblPr>
        <w:tblStyle w:val="54"/>
        <w:tblW w:w="5000" w:type="pct"/>
        <w:jc w:val="center"/>
        <w:tblLayout w:type="fixed"/>
        <w:tblCellMar>
          <w:top w:w="0" w:type="dxa"/>
          <w:left w:w="108" w:type="dxa"/>
          <w:bottom w:w="0" w:type="dxa"/>
          <w:right w:w="108" w:type="dxa"/>
        </w:tblCellMar>
      </w:tblPr>
      <w:tblGrid>
        <w:gridCol w:w="653"/>
        <w:gridCol w:w="653"/>
        <w:gridCol w:w="1971"/>
        <w:gridCol w:w="654"/>
        <w:gridCol w:w="1429"/>
        <w:gridCol w:w="897"/>
        <w:gridCol w:w="1172"/>
        <w:gridCol w:w="1094"/>
      </w:tblGrid>
      <w:tr>
        <w:tblPrEx>
          <w:tblCellMar>
            <w:top w:w="0" w:type="dxa"/>
            <w:left w:w="108" w:type="dxa"/>
            <w:bottom w:w="0" w:type="dxa"/>
            <w:right w:w="108" w:type="dxa"/>
          </w:tblCellMar>
        </w:tblPrEx>
        <w:trPr>
          <w:trHeight w:val="56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序号</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类别</w:t>
            </w: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品名</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单位</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规格</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暂定数量</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含税单价（元）</w:t>
            </w: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含税金额（元）</w:t>
            </w: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1</w:t>
            </w:r>
          </w:p>
        </w:tc>
        <w:tc>
          <w:tcPr>
            <w:tcW w:w="383"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禽类</w:t>
            </w: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三黄老鸡（鲜）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只</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40</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r>
              <w:rPr>
                <w:rFonts w:hint="eastAsia" w:ascii="宋体" w:hAnsi="宋体" w:cs="宋体"/>
                <w:color w:val="auto"/>
                <w:sz w:val="22"/>
              </w:rPr>
              <w:t>2</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三黄鸡（鲜）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95.7</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r>
              <w:rPr>
                <w:rFonts w:hint="eastAsia" w:ascii="宋体" w:hAnsi="宋体" w:cs="宋体"/>
                <w:color w:val="auto"/>
                <w:sz w:val="22"/>
              </w:rPr>
              <w:t>3</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仔鸡（鲜）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142.8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r>
              <w:rPr>
                <w:rFonts w:hint="eastAsia" w:ascii="宋体" w:hAnsi="宋体" w:cs="宋体"/>
                <w:color w:val="auto"/>
                <w:sz w:val="22"/>
              </w:rPr>
              <w:t>4</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土公鸡</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sz w:val="22"/>
                <w:lang w:val="en-US" w:eastAsia="zh-CN"/>
              </w:rPr>
              <w:t>只</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b/>
                <w:bCs/>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859.6</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r>
              <w:rPr>
                <w:rFonts w:hint="eastAsia" w:ascii="宋体" w:hAnsi="宋体" w:cs="宋体"/>
                <w:color w:val="auto"/>
                <w:sz w:val="22"/>
              </w:rPr>
              <w:t>5</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土老母鸡（鲜）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sz w:val="22"/>
                <w:lang w:val="en-US" w:eastAsia="zh-CN"/>
              </w:rPr>
              <w:t>只</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正宗农家土鸡，散养，油黄，2.5斤一只</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950</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r>
              <w:rPr>
                <w:rFonts w:hint="eastAsia" w:ascii="宋体" w:hAnsi="宋体" w:cs="宋体"/>
                <w:color w:val="auto"/>
                <w:sz w:val="22"/>
              </w:rPr>
              <w:t>6</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老麻鸭</w:t>
            </w:r>
            <w:r>
              <w:rPr>
                <w:rFonts w:hint="eastAsia" w:ascii="宋体" w:hAnsi="宋体" w:cs="宋体"/>
                <w:color w:val="auto"/>
                <w:kern w:val="0"/>
                <w:sz w:val="22"/>
                <w:lang w:bidi="ar"/>
              </w:rPr>
              <w:t>（鲜）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449.2</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7</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盐水鸭</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eastAsia="宋体" w:cs="宋体"/>
                <w:color w:val="auto"/>
                <w:kern w:val="0"/>
                <w:sz w:val="22"/>
                <w:lang w:val="en-US" w:eastAsia="zh-CN"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74.9</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90"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8</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洋鸭（鲜）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335.4</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9</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乳鸽（鲜）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sz w:val="22"/>
                <w:lang w:val="en-US" w:eastAsia="zh-CN"/>
              </w:rPr>
              <w:t>只</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老鸽 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10</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老</w:t>
            </w:r>
            <w:r>
              <w:rPr>
                <w:rFonts w:hint="eastAsia" w:ascii="宋体" w:hAnsi="宋体" w:cs="宋体"/>
                <w:color w:val="auto"/>
                <w:kern w:val="0"/>
                <w:sz w:val="22"/>
                <w:lang w:bidi="ar"/>
              </w:rPr>
              <w:t>鹅（鲜）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净膛，去内脏</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850.6</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11</w:t>
            </w:r>
          </w:p>
        </w:tc>
        <w:tc>
          <w:tcPr>
            <w:tcW w:w="383"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肉类</w:t>
            </w: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纯瘦肉末</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474.3</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1</w:t>
            </w:r>
            <w:r>
              <w:rPr>
                <w:rFonts w:hint="eastAsia" w:ascii="宋体" w:hAnsi="宋体" w:cs="宋体"/>
                <w:color w:val="auto"/>
                <w:sz w:val="22"/>
                <w:lang w:val="en-US" w:eastAsia="zh-CN"/>
              </w:rPr>
              <w:t>2</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瘦肉丝</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瘦肉丝</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414.35</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1</w:t>
            </w:r>
            <w:r>
              <w:rPr>
                <w:rFonts w:hint="eastAsia" w:ascii="宋体" w:hAnsi="宋体" w:cs="宋体"/>
                <w:color w:val="auto"/>
                <w:sz w:val="22"/>
                <w:lang w:val="en-US" w:eastAsia="zh-CN"/>
              </w:rPr>
              <w:t>3</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五花肉带排骨</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182.8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14</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精品五花肉</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五花三层  去边去奶  不要太厚  干净无异味</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3502.</w:t>
            </w:r>
          </w:p>
          <w:p>
            <w:pPr>
              <w:pStyle w:val="4"/>
              <w:jc w:val="center"/>
              <w:rPr>
                <w:rFonts w:hint="default"/>
                <w:lang w:val="en-US" w:eastAsia="zh-CN"/>
              </w:rPr>
            </w:pPr>
            <w:r>
              <w:rPr>
                <w:rFonts w:hint="eastAsia" w:ascii="宋体" w:hAnsi="宋体" w:cs="宋体"/>
                <w:color w:val="auto"/>
                <w:kern w:val="0"/>
                <w:sz w:val="22"/>
                <w:lang w:val="en-US" w:eastAsia="zh-CN" w:bidi="ar"/>
              </w:rPr>
              <w:t>89</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1</w:t>
            </w:r>
            <w:r>
              <w:rPr>
                <w:rFonts w:hint="eastAsia" w:ascii="宋体" w:hAnsi="宋体" w:cs="宋体"/>
                <w:color w:val="auto"/>
                <w:sz w:val="22"/>
                <w:lang w:val="en-US" w:eastAsia="zh-CN"/>
              </w:rPr>
              <w:t>5</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筒骨</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砍小块</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855.8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1</w:t>
            </w:r>
            <w:r>
              <w:rPr>
                <w:rFonts w:hint="eastAsia" w:ascii="宋体" w:hAnsi="宋体" w:cs="宋体"/>
                <w:color w:val="auto"/>
                <w:sz w:val="22"/>
                <w:lang w:val="en-US" w:eastAsia="zh-CN"/>
              </w:rPr>
              <w:t>6</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肉末</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要五花肉末</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466.3</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color w:val="auto"/>
                <w:sz w:val="22"/>
              </w:rPr>
            </w:pPr>
            <w:r>
              <w:rPr>
                <w:rFonts w:hint="eastAsia" w:ascii="宋体" w:hAnsi="宋体" w:cs="宋体"/>
                <w:color w:val="auto"/>
                <w:sz w:val="22"/>
              </w:rPr>
              <w:t>17</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猪油</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新鲜肥膘</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388.18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ascii="宋体" w:hAnsi="宋体" w:cs="宋体"/>
                <w:color w:val="auto"/>
                <w:sz w:val="22"/>
              </w:rPr>
            </w:pPr>
            <w:r>
              <w:rPr>
                <w:rFonts w:hint="eastAsia" w:ascii="宋体" w:hAnsi="宋体" w:cs="宋体"/>
                <w:color w:val="auto"/>
                <w:sz w:val="22"/>
              </w:rPr>
              <w:t>18</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仔</w:t>
            </w:r>
            <w:r>
              <w:rPr>
                <w:rFonts w:hint="eastAsia" w:ascii="宋体" w:hAnsi="宋体" w:cs="宋体"/>
                <w:color w:val="auto"/>
                <w:kern w:val="0"/>
                <w:sz w:val="22"/>
                <w:lang w:bidi="ar"/>
              </w:rPr>
              <w:t>排（鲜）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1717.35</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20</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咸肉</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农家干咸肉</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350.4</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21</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火腿肉（咸）</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242.6</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2</w:t>
            </w:r>
            <w:r>
              <w:rPr>
                <w:rFonts w:hint="eastAsia" w:ascii="宋体" w:hAnsi="宋体" w:cs="宋体"/>
                <w:color w:val="auto"/>
                <w:sz w:val="22"/>
                <w:lang w:val="en-US" w:eastAsia="zh-CN"/>
              </w:rPr>
              <w:t>2</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里脊肉</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383.94</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2</w:t>
            </w:r>
            <w:r>
              <w:rPr>
                <w:rFonts w:hint="eastAsia" w:ascii="宋体" w:hAnsi="宋体" w:cs="宋体"/>
                <w:color w:val="auto"/>
                <w:sz w:val="22"/>
                <w:lang w:val="en-US" w:eastAsia="zh-CN"/>
              </w:rPr>
              <w:t>3</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带根猪耳</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250.7</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2</w:t>
            </w:r>
            <w:r>
              <w:rPr>
                <w:rFonts w:hint="eastAsia" w:ascii="宋体" w:hAnsi="宋体" w:cs="宋体"/>
                <w:color w:val="auto"/>
                <w:sz w:val="22"/>
                <w:lang w:val="en-US" w:eastAsia="zh-CN"/>
              </w:rPr>
              <w:t>4</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猪血</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121.8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color w:val="auto"/>
                <w:sz w:val="22"/>
                <w:lang w:val="en-US" w:eastAsia="zh-CN"/>
              </w:rPr>
            </w:pPr>
            <w:r>
              <w:rPr>
                <w:rFonts w:hint="eastAsia" w:ascii="宋体" w:hAnsi="宋体" w:cs="宋体"/>
                <w:color w:val="auto"/>
                <w:sz w:val="22"/>
              </w:rPr>
              <w:t>2</w:t>
            </w:r>
            <w:r>
              <w:rPr>
                <w:rFonts w:hint="eastAsia" w:ascii="宋体" w:hAnsi="宋体" w:cs="宋体"/>
                <w:color w:val="auto"/>
                <w:sz w:val="22"/>
                <w:lang w:val="en-US" w:eastAsia="zh-CN"/>
              </w:rPr>
              <w:t>5</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猪手（鲜短）</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26</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牛腱（鲜）</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小牛腿肉</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868.45</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27</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鲜牛腩</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 xml:space="preserve">无注水   </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280.82</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28</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五花</w:t>
            </w:r>
            <w:r>
              <w:rPr>
                <w:rFonts w:hint="eastAsia" w:ascii="宋体" w:hAnsi="宋体" w:cs="宋体"/>
                <w:color w:val="auto"/>
                <w:kern w:val="0"/>
                <w:sz w:val="22"/>
                <w:lang w:bidi="ar"/>
              </w:rPr>
              <w:t>牛腩</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无注水   要三层五花牛腩</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855.9</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29</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牛里脊</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766.76</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30</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羊肉</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132.1</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31</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羊里脊</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bidi="ar"/>
              </w:rPr>
              <w:t>新鲜羊  砍</w:t>
            </w:r>
            <w:r>
              <w:rPr>
                <w:rFonts w:hint="eastAsia" w:ascii="宋体" w:hAnsi="宋体" w:cs="宋体"/>
                <w:color w:val="auto"/>
                <w:kern w:val="0"/>
                <w:sz w:val="22"/>
                <w:lang w:val="en-US" w:eastAsia="zh-CN" w:bidi="ar"/>
              </w:rPr>
              <w:t>块</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66.9</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32</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羊排</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新鲜羊  砍块</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219.94</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33</w:t>
            </w:r>
          </w:p>
        </w:tc>
        <w:tc>
          <w:tcPr>
            <w:tcW w:w="383"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带皮羊腿</w:t>
            </w:r>
            <w:r>
              <w:rPr>
                <w:rFonts w:hint="eastAsia" w:ascii="宋体" w:hAnsi="宋体" w:cs="宋体"/>
                <w:color w:val="auto"/>
                <w:kern w:val="0"/>
                <w:sz w:val="22"/>
                <w:lang w:bidi="ar"/>
              </w:rPr>
              <w:t>（带骨）</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斤</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30.8</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r>
        <w:tblPrEx>
          <w:tblCellMar>
            <w:top w:w="0" w:type="dxa"/>
            <w:left w:w="108" w:type="dxa"/>
            <w:bottom w:w="0" w:type="dxa"/>
            <w:right w:w="108" w:type="dxa"/>
          </w:tblCellMar>
        </w:tblPrEx>
        <w:trPr>
          <w:trHeight w:val="515" w:hRule="atLeast"/>
          <w:jc w:val="center"/>
        </w:trPr>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34</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蛋类</w:t>
            </w:r>
          </w:p>
        </w:tc>
        <w:tc>
          <w:tcPr>
            <w:tcW w:w="115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土鸡蛋</w:t>
            </w:r>
          </w:p>
        </w:tc>
        <w:tc>
          <w:tcPr>
            <w:tcW w:w="383"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件</w:t>
            </w:r>
          </w:p>
        </w:tc>
        <w:tc>
          <w:tcPr>
            <w:tcW w:w="8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bidi="ar"/>
              </w:rPr>
              <w:t>正宗农家土鸡蛋</w:t>
            </w:r>
          </w:p>
        </w:tc>
        <w:tc>
          <w:tcPr>
            <w:tcW w:w="52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89650</w:t>
            </w:r>
          </w:p>
        </w:tc>
        <w:tc>
          <w:tcPr>
            <w:tcW w:w="68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64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r>
    </w:tbl>
    <w:p>
      <w:pPr>
        <w:pStyle w:val="50"/>
        <w:spacing w:before="0" w:beforeAutospacing="0" w:after="0" w:afterAutospacing="0" w:line="360" w:lineRule="auto"/>
        <w:rPr>
          <w:rFonts w:ascii="Times New Roman" w:hAnsi="Times New Roman" w:eastAsia="黑体" w:cs="Times New Roman"/>
          <w:color w:val="auto"/>
          <w:kern w:val="2"/>
          <w:sz w:val="28"/>
          <w:szCs w:val="20"/>
          <w:lang w:val="en-US" w:eastAsia="zh-CN" w:bidi="ar-SA"/>
        </w:rPr>
      </w:pPr>
    </w:p>
    <w:p>
      <w:pPr>
        <w:pStyle w:val="50"/>
        <w:spacing w:before="0" w:beforeAutospacing="0" w:after="0" w:afterAutospacing="0" w:line="360" w:lineRule="auto"/>
        <w:rPr>
          <w:rFonts w:hint="eastAsia" w:ascii="宋体" w:hAnsi="宋体" w:eastAsia="宋体"/>
          <w:b/>
          <w:color w:val="auto"/>
          <w:sz w:val="24"/>
          <w:szCs w:val="28"/>
        </w:rPr>
      </w:pPr>
    </w:p>
    <w:p>
      <w:pPr>
        <w:pStyle w:val="50"/>
        <w:spacing w:before="0" w:beforeAutospacing="0" w:after="0" w:afterAutospacing="0" w:line="360" w:lineRule="auto"/>
        <w:rPr>
          <w:rFonts w:ascii="Times New Roman" w:hAnsi="Times New Roman" w:eastAsia="黑体" w:cs="Times New Roman"/>
          <w:color w:val="auto"/>
          <w:kern w:val="2"/>
          <w:sz w:val="21"/>
          <w:szCs w:val="21"/>
          <w:lang w:val="en-US" w:eastAsia="zh-CN" w:bidi="ar-SA"/>
        </w:rPr>
      </w:pPr>
      <w:r>
        <w:rPr>
          <w:rFonts w:hint="eastAsia" w:ascii="宋体" w:hAnsi="宋体" w:eastAsia="宋体"/>
          <w:b/>
          <w:color w:val="auto"/>
          <w:sz w:val="21"/>
          <w:szCs w:val="21"/>
          <w:lang w:val="en-US" w:eastAsia="zh-CN"/>
        </w:rPr>
        <w:t>三、</w:t>
      </w:r>
      <w:r>
        <w:rPr>
          <w:rFonts w:hint="eastAsia" w:ascii="宋体" w:hAnsi="宋体" w:eastAsia="宋体"/>
          <w:b/>
          <w:color w:val="auto"/>
          <w:sz w:val="21"/>
          <w:szCs w:val="21"/>
        </w:rPr>
        <w:t>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1" w:name="_Toc501460780"/>
      <w:bookmarkStart w:id="332" w:name="_Toc21575"/>
      <w:bookmarkStart w:id="333" w:name="_Toc31250"/>
      <w:bookmarkStart w:id="334" w:name="_Toc15594"/>
      <w:r>
        <w:rPr>
          <w:rFonts w:hint="eastAsia" w:ascii="宋体" w:hAnsi="宋体" w:cs="宋体"/>
          <w:b/>
          <w:color w:val="auto"/>
          <w:sz w:val="21"/>
          <w:szCs w:val="21"/>
          <w:lang w:val="en-US" w:eastAsia="zh-CN"/>
        </w:rPr>
        <w:t>四</w:t>
      </w:r>
      <w:r>
        <w:rPr>
          <w:rFonts w:hint="eastAsia" w:ascii="宋体" w:hAnsi="宋体" w:cs="宋体"/>
          <w:b/>
          <w:color w:val="auto"/>
          <w:sz w:val="21"/>
          <w:szCs w:val="21"/>
        </w:rPr>
        <w:t>.</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之间，根据中标费率计算结算价款。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1"/>
    <w:bookmarkEnd w:id="332"/>
    <w:bookmarkEnd w:id="333"/>
    <w:bookmarkEnd w:id="334"/>
    <w:p>
      <w:pPr>
        <w:spacing w:line="360" w:lineRule="auto"/>
        <w:ind w:firstLine="422" w:firstLineChars="200"/>
        <w:rPr>
          <w:rFonts w:hint="eastAsia" w:ascii="宋体" w:hAnsi="宋体" w:eastAsia="宋体" w:cs="Times New Roman"/>
          <w:b/>
          <w:bCs/>
          <w:color w:val="auto"/>
          <w:kern w:val="2"/>
          <w:sz w:val="21"/>
          <w:szCs w:val="21"/>
          <w:lang w:val="en-US" w:eastAsia="zh-CN" w:bidi="ar-SA"/>
        </w:rPr>
      </w:pPr>
      <w:bookmarkStart w:id="335" w:name="_Toc19612"/>
      <w:bookmarkStart w:id="336" w:name="_Toc29979"/>
      <w:r>
        <w:rPr>
          <w:rFonts w:hint="eastAsia" w:ascii="宋体" w:hAnsi="宋体" w:eastAsia="宋体" w:cs="Times New Roman"/>
          <w:b/>
          <w:bCs/>
          <w:color w:val="auto"/>
          <w:kern w:val="2"/>
          <w:sz w:val="21"/>
          <w:szCs w:val="21"/>
          <w:lang w:val="en-US" w:eastAsia="zh-CN" w:bidi="ar-SA"/>
        </w:rPr>
        <w:t>六、付款方式</w:t>
      </w:r>
      <w:bookmarkEnd w:id="335"/>
      <w:bookmarkEnd w:id="3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kern w:val="2"/>
          <w:sz w:val="21"/>
          <w:szCs w:val="21"/>
          <w:lang w:val="en-US" w:eastAsia="zh-CN"/>
        </w:rPr>
      </w:pPr>
      <w:bookmarkStart w:id="337" w:name="_Toc17242"/>
      <w:bookmarkStart w:id="338" w:name="_Toc27891"/>
      <w:r>
        <w:rPr>
          <w:rFonts w:hint="eastAsia" w:asciiTheme="minorEastAsia" w:hAnsiTheme="minorEastAsia" w:eastAsiaTheme="minorEastAsia" w:cstheme="minorEastAsia"/>
          <w:kern w:val="2"/>
          <w:sz w:val="21"/>
          <w:szCs w:val="21"/>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 w:val="21"/>
          <w:szCs w:val="21"/>
        </w:rPr>
      </w:pPr>
      <w:r>
        <w:rPr>
          <w:b/>
          <w:bCs/>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 w:val="21"/>
          <w:szCs w:val="21"/>
        </w:rPr>
      </w:pPr>
      <w:r>
        <w:rPr>
          <w:b/>
          <w:bCs/>
          <w:sz w:val="21"/>
          <w:szCs w:val="21"/>
        </w:rPr>
        <w:t>投标人提交的投标文件中如有关于付款条件的表述与招标文件规定不符，投标无效。</w:t>
      </w:r>
      <w:r>
        <w:rPr>
          <w:rFonts w:hint="eastAsia" w:ascii="宋体" w:hAnsi="宋体" w:cs="宋体"/>
          <w:b/>
          <w:bCs/>
          <w:color w:val="000000"/>
          <w:sz w:val="21"/>
          <w:szCs w:val="21"/>
        </w:rPr>
        <w:t xml:space="preserve">   </w:t>
      </w:r>
    </w:p>
    <w:bookmarkEnd w:id="337"/>
    <w:bookmarkEnd w:id="338"/>
    <w:p>
      <w:pPr>
        <w:pStyle w:val="3"/>
        <w:spacing w:before="240" w:beforeLines="100" w:after="240" w:afterLines="100" w:line="500" w:lineRule="exact"/>
        <w:jc w:val="center"/>
        <w:rPr>
          <w:rFonts w:eastAsia="黑体"/>
          <w:b w:val="0"/>
        </w:rPr>
      </w:pPr>
      <w:r>
        <w:rPr>
          <w:kern w:val="2"/>
          <w:sz w:val="21"/>
          <w:szCs w:val="21"/>
        </w:rPr>
        <w:br w:type="page"/>
      </w:r>
      <w:bookmarkStart w:id="339" w:name="_Toc1894"/>
      <w:bookmarkStart w:id="340" w:name="_Toc24425"/>
      <w:r>
        <w:rPr>
          <w:rFonts w:eastAsia="黑体"/>
          <w:kern w:val="2"/>
          <w:szCs w:val="32"/>
        </w:rPr>
        <w:t>第六章  投标文件格式</w:t>
      </w:r>
      <w:bookmarkEnd w:id="339"/>
      <w:bookmarkEnd w:id="340"/>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hint="eastAsia" w:eastAsia="黑体"/>
          <w:color w:val="FF0000"/>
          <w:sz w:val="28"/>
          <w:szCs w:val="28"/>
          <w:u w:val="single"/>
        </w:rPr>
        <w:t>庐江文旅投资食品原材料采购禽肉蛋类</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1" w:name="_Toc11124"/>
      <w:bookmarkStart w:id="342" w:name="_Toc23957"/>
    </w:p>
    <w:p>
      <w:pPr>
        <w:spacing w:line="500" w:lineRule="exact"/>
        <w:jc w:val="center"/>
        <w:rPr>
          <w:rFonts w:eastAsia="黑体"/>
          <w:b/>
          <w:sz w:val="44"/>
          <w:szCs w:val="44"/>
        </w:rPr>
      </w:pPr>
    </w:p>
    <w:p>
      <w:pPr>
        <w:pStyle w:val="2"/>
        <w:spacing w:before="0" w:after="0" w:line="500" w:lineRule="exact"/>
        <w:jc w:val="center"/>
        <w:rPr>
          <w:rFonts w:hint="eastAsia" w:ascii="Times New Roman" w:hAnsi="Times New Roman" w:eastAsia="黑体"/>
          <w:b w:val="0"/>
          <w:sz w:val="44"/>
          <w:szCs w:val="44"/>
          <w:lang w:eastAsia="zh-CN"/>
        </w:rPr>
      </w:pPr>
      <w:bookmarkStart w:id="343" w:name="_Toc3114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1"/>
      <w:bookmarkEnd w:id="342"/>
      <w:bookmarkEnd w:id="343"/>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44" w:name="_Toc524462521"/>
      <w:bookmarkStart w:id="345" w:name="_Toc479262713"/>
      <w:bookmarkStart w:id="346" w:name="_Toc530142180"/>
      <w:bookmarkStart w:id="347" w:name="_Toc26700787"/>
      <w:r>
        <w:rPr>
          <w:b/>
          <w:sz w:val="32"/>
          <w:szCs w:val="32"/>
        </w:rPr>
        <w:t>评审因素索引表</w:t>
      </w:r>
      <w:bookmarkEnd w:id="344"/>
      <w:bookmarkEnd w:id="345"/>
      <w:bookmarkEnd w:id="346"/>
      <w:bookmarkEnd w:id="347"/>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48" w:name="_Toc256695443"/>
            <w:bookmarkStart w:id="349" w:name="_Toc256691567"/>
            <w:r>
              <w:rPr>
                <w:b/>
                <w:sz w:val="24"/>
              </w:rPr>
              <w:t>序号</w:t>
            </w:r>
            <w:bookmarkEnd w:id="348"/>
            <w:bookmarkEnd w:id="349"/>
          </w:p>
        </w:tc>
        <w:tc>
          <w:tcPr>
            <w:tcW w:w="3798" w:type="dxa"/>
            <w:noWrap w:val="0"/>
            <w:vAlign w:val="center"/>
          </w:tcPr>
          <w:p>
            <w:pPr>
              <w:spacing w:line="500" w:lineRule="exact"/>
              <w:jc w:val="center"/>
              <w:rPr>
                <w:b/>
                <w:sz w:val="24"/>
              </w:rPr>
            </w:pPr>
            <w:bookmarkStart w:id="350" w:name="_Toc256695444"/>
            <w:bookmarkStart w:id="351" w:name="_Toc256691568"/>
            <w:r>
              <w:rPr>
                <w:b/>
                <w:sz w:val="24"/>
              </w:rPr>
              <w:t>评审因素</w:t>
            </w:r>
            <w:bookmarkEnd w:id="350"/>
            <w:bookmarkEnd w:id="351"/>
          </w:p>
        </w:tc>
        <w:tc>
          <w:tcPr>
            <w:tcW w:w="2649" w:type="dxa"/>
            <w:noWrap w:val="0"/>
            <w:vAlign w:val="center"/>
          </w:tcPr>
          <w:p>
            <w:pPr>
              <w:spacing w:line="500" w:lineRule="exact"/>
              <w:jc w:val="center"/>
              <w:rPr>
                <w:b/>
                <w:sz w:val="24"/>
              </w:rPr>
            </w:pPr>
            <w:bookmarkStart w:id="352" w:name="_Toc256695445"/>
            <w:bookmarkStart w:id="353" w:name="_Toc256691569"/>
            <w:r>
              <w:rPr>
                <w:b/>
                <w:sz w:val="24"/>
              </w:rPr>
              <w:t>投标文件页码范围</w:t>
            </w:r>
            <w:bookmarkEnd w:id="352"/>
            <w:bookmarkEnd w:id="3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54" w:name="_Toc256695446"/>
            <w:bookmarkStart w:id="355" w:name="_Toc256691570"/>
            <w:r>
              <w:rPr>
                <w:sz w:val="24"/>
              </w:rPr>
              <w:t>P</w:t>
            </w:r>
            <w:r>
              <w:rPr>
                <w:sz w:val="24"/>
                <w:u w:val="single"/>
              </w:rPr>
              <w:t xml:space="preserve">     </w:t>
            </w:r>
            <w:r>
              <w:rPr>
                <w:sz w:val="24"/>
              </w:rPr>
              <w:t>---  P</w:t>
            </w:r>
            <w:bookmarkEnd w:id="354"/>
            <w:bookmarkEnd w:id="35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56" w:name="_Toc256691571"/>
            <w:bookmarkStart w:id="357" w:name="_Toc256695447"/>
            <w:r>
              <w:rPr>
                <w:sz w:val="24"/>
              </w:rPr>
              <w:t>P</w:t>
            </w:r>
            <w:r>
              <w:rPr>
                <w:sz w:val="24"/>
                <w:u w:val="single"/>
              </w:rPr>
              <w:t xml:space="preserve">      </w:t>
            </w:r>
            <w:r>
              <w:rPr>
                <w:sz w:val="24"/>
              </w:rPr>
              <w:t>---  P</w:t>
            </w:r>
            <w:bookmarkEnd w:id="356"/>
            <w:bookmarkEnd w:id="357"/>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58" w:name="_Toc256691572"/>
            <w:bookmarkStart w:id="359" w:name="_Toc256695448"/>
            <w:r>
              <w:rPr>
                <w:sz w:val="24"/>
              </w:rPr>
              <w:t>P</w:t>
            </w:r>
            <w:r>
              <w:rPr>
                <w:sz w:val="24"/>
                <w:u w:val="single"/>
              </w:rPr>
              <w:t xml:space="preserve">      </w:t>
            </w:r>
            <w:r>
              <w:rPr>
                <w:sz w:val="24"/>
              </w:rPr>
              <w:t>---  P</w:t>
            </w:r>
            <w:bookmarkEnd w:id="358"/>
            <w:bookmarkEnd w:id="359"/>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0" w:name="_Toc256695449"/>
            <w:bookmarkStart w:id="361" w:name="_Toc256691573"/>
            <w:r>
              <w:rPr>
                <w:sz w:val="24"/>
              </w:rPr>
              <w:t>P</w:t>
            </w:r>
            <w:r>
              <w:rPr>
                <w:sz w:val="24"/>
                <w:u w:val="single"/>
              </w:rPr>
              <w:t xml:space="preserve">      </w:t>
            </w:r>
            <w:r>
              <w:rPr>
                <w:sz w:val="24"/>
              </w:rPr>
              <w:t>---  P</w:t>
            </w:r>
            <w:bookmarkEnd w:id="360"/>
            <w:bookmarkEnd w:id="361"/>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2" w:name="_Toc256695450"/>
            <w:bookmarkStart w:id="363" w:name="_Toc256691574"/>
            <w:r>
              <w:rPr>
                <w:sz w:val="24"/>
              </w:rPr>
              <w:t>P</w:t>
            </w:r>
            <w:r>
              <w:rPr>
                <w:sz w:val="24"/>
                <w:u w:val="single"/>
              </w:rPr>
              <w:t xml:space="preserve">      </w:t>
            </w:r>
            <w:r>
              <w:rPr>
                <w:sz w:val="24"/>
              </w:rPr>
              <w:t>---  P</w:t>
            </w:r>
            <w:bookmarkEnd w:id="362"/>
            <w:bookmarkEnd w:id="363"/>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4" w:name="_Toc256691575"/>
            <w:bookmarkStart w:id="365" w:name="_Toc256695451"/>
            <w:r>
              <w:rPr>
                <w:sz w:val="24"/>
              </w:rPr>
              <w:t>P</w:t>
            </w:r>
            <w:r>
              <w:rPr>
                <w:sz w:val="24"/>
                <w:u w:val="single"/>
              </w:rPr>
              <w:t xml:space="preserve">      </w:t>
            </w:r>
            <w:r>
              <w:rPr>
                <w:sz w:val="24"/>
              </w:rPr>
              <w:t>---  P</w:t>
            </w:r>
            <w:bookmarkEnd w:id="364"/>
            <w:bookmarkEnd w:id="36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6" w:name="_Toc256691576"/>
            <w:bookmarkStart w:id="367" w:name="_Toc256695452"/>
            <w:r>
              <w:rPr>
                <w:sz w:val="24"/>
              </w:rPr>
              <w:t>P</w:t>
            </w:r>
            <w:r>
              <w:rPr>
                <w:sz w:val="24"/>
                <w:u w:val="single"/>
              </w:rPr>
              <w:t xml:space="preserve">      </w:t>
            </w:r>
            <w:r>
              <w:rPr>
                <w:sz w:val="24"/>
              </w:rPr>
              <w:t>---  P</w:t>
            </w:r>
            <w:bookmarkEnd w:id="366"/>
            <w:bookmarkEnd w:id="367"/>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8" w:name="_Toc256695453"/>
            <w:bookmarkStart w:id="369" w:name="_Toc256691577"/>
            <w:r>
              <w:rPr>
                <w:sz w:val="24"/>
              </w:rPr>
              <w:t>P</w:t>
            </w:r>
            <w:r>
              <w:rPr>
                <w:sz w:val="24"/>
                <w:u w:val="single"/>
              </w:rPr>
              <w:t xml:space="preserve">      </w:t>
            </w:r>
            <w:r>
              <w:rPr>
                <w:sz w:val="24"/>
              </w:rPr>
              <w:t>---  P</w:t>
            </w:r>
            <w:bookmarkEnd w:id="368"/>
            <w:bookmarkEnd w:id="369"/>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0" w:name="_Toc256691578"/>
            <w:bookmarkStart w:id="371" w:name="_Toc256695454"/>
            <w:r>
              <w:rPr>
                <w:sz w:val="24"/>
              </w:rPr>
              <w:t>P</w:t>
            </w:r>
            <w:r>
              <w:rPr>
                <w:sz w:val="24"/>
                <w:u w:val="single"/>
              </w:rPr>
              <w:t xml:space="preserve">      </w:t>
            </w:r>
            <w:r>
              <w:rPr>
                <w:sz w:val="24"/>
              </w:rPr>
              <w:t>---  P</w:t>
            </w:r>
            <w:bookmarkEnd w:id="370"/>
            <w:bookmarkEnd w:id="371"/>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2" w:name="_Toc256691579"/>
            <w:bookmarkStart w:id="373" w:name="_Toc256695455"/>
            <w:r>
              <w:rPr>
                <w:sz w:val="24"/>
              </w:rPr>
              <w:t>P</w:t>
            </w:r>
            <w:r>
              <w:rPr>
                <w:sz w:val="24"/>
                <w:u w:val="single"/>
              </w:rPr>
              <w:t xml:space="preserve">      </w:t>
            </w:r>
            <w:r>
              <w:rPr>
                <w:sz w:val="24"/>
              </w:rPr>
              <w:t>---  P</w:t>
            </w:r>
            <w:bookmarkEnd w:id="372"/>
            <w:bookmarkEnd w:id="373"/>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74" w:name="_Toc256691580"/>
            <w:bookmarkStart w:id="375" w:name="_Toc256695456"/>
            <w:r>
              <w:rPr>
                <w:sz w:val="24"/>
              </w:rPr>
              <w:t>P</w:t>
            </w:r>
            <w:r>
              <w:rPr>
                <w:sz w:val="24"/>
                <w:u w:val="single"/>
              </w:rPr>
              <w:t xml:space="preserve">      </w:t>
            </w:r>
            <w:r>
              <w:rPr>
                <w:sz w:val="24"/>
              </w:rPr>
              <w:t>---  P</w:t>
            </w:r>
            <w:bookmarkEnd w:id="374"/>
            <w:bookmarkEnd w:id="37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6" w:name="_Toc256695457"/>
            <w:bookmarkStart w:id="377" w:name="_Toc256691581"/>
            <w:r>
              <w:rPr>
                <w:sz w:val="24"/>
              </w:rPr>
              <w:t>P</w:t>
            </w:r>
            <w:r>
              <w:rPr>
                <w:sz w:val="24"/>
                <w:u w:val="single"/>
              </w:rPr>
              <w:t xml:space="preserve">      </w:t>
            </w:r>
            <w:r>
              <w:rPr>
                <w:sz w:val="24"/>
              </w:rPr>
              <w:t>---  P</w:t>
            </w:r>
            <w:bookmarkEnd w:id="376"/>
            <w:bookmarkEnd w:id="377"/>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78" w:name="_Toc256691582"/>
            <w:bookmarkStart w:id="379" w:name="_Toc256695458"/>
            <w:r>
              <w:rPr>
                <w:sz w:val="24"/>
              </w:rPr>
              <w:t>P</w:t>
            </w:r>
            <w:r>
              <w:rPr>
                <w:sz w:val="24"/>
                <w:u w:val="single"/>
              </w:rPr>
              <w:t xml:space="preserve">      </w:t>
            </w:r>
            <w:r>
              <w:rPr>
                <w:sz w:val="24"/>
              </w:rPr>
              <w:t>---  P</w:t>
            </w:r>
            <w:bookmarkEnd w:id="378"/>
            <w:bookmarkEnd w:id="379"/>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80" w:name="_Toc256691583"/>
            <w:bookmarkStart w:id="381" w:name="_Toc256695459"/>
            <w:r>
              <w:rPr>
                <w:sz w:val="28"/>
                <w:szCs w:val="28"/>
              </w:rPr>
              <w:t>……</w:t>
            </w:r>
            <w:bookmarkEnd w:id="380"/>
            <w:bookmarkEnd w:id="381"/>
          </w:p>
        </w:tc>
        <w:tc>
          <w:tcPr>
            <w:tcW w:w="2649" w:type="dxa"/>
            <w:noWrap w:val="0"/>
            <w:vAlign w:val="center"/>
          </w:tcPr>
          <w:p>
            <w:pPr>
              <w:spacing w:line="500" w:lineRule="exact"/>
              <w:jc w:val="center"/>
              <w:rPr>
                <w:sz w:val="24"/>
              </w:rPr>
            </w:pPr>
            <w:bookmarkStart w:id="382" w:name="_Toc256691584"/>
            <w:bookmarkStart w:id="383" w:name="_Toc256695460"/>
            <w:r>
              <w:rPr>
                <w:sz w:val="28"/>
                <w:szCs w:val="28"/>
              </w:rPr>
              <w:t>……</w:t>
            </w:r>
            <w:bookmarkEnd w:id="382"/>
            <w:bookmarkEnd w:id="383"/>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4"/>
        <w:spacing w:before="0" w:after="0" w:line="500" w:lineRule="exact"/>
        <w:jc w:val="center"/>
        <w:rPr>
          <w:rFonts w:ascii="Times New Roman" w:hAnsi="Times New Roman"/>
        </w:rPr>
      </w:pPr>
      <w:r>
        <w:rPr>
          <w:rFonts w:ascii="Times New Roman" w:hAnsi="Times New Roman"/>
          <w:szCs w:val="21"/>
        </w:rPr>
        <w:br w:type="page"/>
      </w:r>
      <w:bookmarkStart w:id="384" w:name="_Toc460660223"/>
      <w:bookmarkStart w:id="385" w:name="_Toc390411621"/>
      <w:bookmarkStart w:id="386" w:name="_Toc460227108"/>
      <w:bookmarkStart w:id="387" w:name="_Toc421917001"/>
      <w:bookmarkStart w:id="388"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val="0"/>
          <w:iCs w:val="0"/>
          <w:color w:val="FF0000"/>
          <w:szCs w:val="21"/>
          <w:u w:val="single"/>
        </w:rPr>
        <w:t>某委托单位</w:t>
      </w:r>
    </w:p>
    <w:p>
      <w:pPr>
        <w:spacing w:line="500" w:lineRule="exact"/>
        <w:ind w:firstLine="420" w:firstLineChars="200"/>
        <w:rPr>
          <w:color w:val="000000"/>
          <w:szCs w:val="21"/>
        </w:rPr>
      </w:pPr>
      <w:r>
        <w:rPr>
          <w:szCs w:val="21"/>
        </w:rPr>
        <w:t>1. 我方已仔细研究了</w:t>
      </w:r>
      <w:r>
        <w:rPr>
          <w:rFonts w:hint="eastAsia"/>
          <w:i w:val="0"/>
          <w:iCs w:val="0"/>
          <w:color w:val="FF0000"/>
          <w:szCs w:val="21"/>
          <w:u w:val="single"/>
        </w:rPr>
        <w:t>庐江文旅投资食品原材料采购禽肉蛋类</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89" w:name="_Toc369531694"/>
      <w:bookmarkStart w:id="390" w:name="_Toc352691658"/>
      <w:bookmarkStart w:id="391" w:name="_Toc1187"/>
    </w:p>
    <w:p>
      <w:pPr>
        <w:spacing w:line="500" w:lineRule="exact"/>
        <w:ind w:firstLine="405"/>
        <w:rPr>
          <w:color w:val="000000"/>
        </w:rPr>
      </w:pPr>
      <w:r>
        <w:rPr>
          <w:color w:val="000000"/>
        </w:rPr>
        <w:t>（4</w:t>
      </w:r>
      <w:bookmarkEnd w:id="389"/>
      <w:bookmarkEnd w:id="390"/>
      <w:bookmarkEnd w:id="391"/>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84"/>
      <w:bookmarkEnd w:id="385"/>
      <w:bookmarkEnd w:id="386"/>
      <w:bookmarkEnd w:id="387"/>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88"/>
    <w:p>
      <w:pPr>
        <w:spacing w:line="500" w:lineRule="exact"/>
        <w:jc w:val="center"/>
        <w:rPr>
          <w:sz w:val="32"/>
          <w:szCs w:val="32"/>
        </w:rPr>
      </w:pPr>
      <w:bookmarkStart w:id="392" w:name="_Toc535241227"/>
      <w:bookmarkStart w:id="393" w:name="_Toc535241084"/>
      <w:bookmarkStart w:id="394" w:name="_Toc535241130"/>
      <w:bookmarkStart w:id="395" w:name="_Toc224103497"/>
      <w:bookmarkStart w:id="396" w:name="_Toc224103498"/>
      <w:r>
        <w:rPr>
          <w:sz w:val="32"/>
          <w:szCs w:val="32"/>
        </w:rPr>
        <w:br w:type="page"/>
      </w:r>
      <w:r>
        <w:rPr>
          <w:rFonts w:eastAsia="黑体"/>
          <w:bCs/>
          <w:sz w:val="24"/>
        </w:rPr>
        <w:t>授权委托书</w:t>
      </w:r>
      <w:bookmarkEnd w:id="392"/>
      <w:bookmarkEnd w:id="393"/>
      <w:bookmarkEnd w:id="394"/>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rPr>
        <w:t>庐江文旅投资食品原材料采购禽肉蛋类</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5"/>
      <w:bookmarkEnd w:id="396"/>
      <w:bookmarkStart w:id="397" w:name="_Toc224103499"/>
      <w:bookmarkStart w:id="398" w:name="_Toc421917002"/>
      <w:bookmarkStart w:id="399" w:name="_Toc460660224"/>
      <w:bookmarkStart w:id="400" w:name="_Toc460227109"/>
      <w:bookmarkStart w:id="401" w:name="_Toc390411622"/>
    </w:p>
    <w:p>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397"/>
      <w:bookmarkEnd w:id="398"/>
      <w:bookmarkEnd w:id="399"/>
      <w:bookmarkEnd w:id="400"/>
      <w:bookmarkEnd w:id="401"/>
      <w:bookmarkStart w:id="402" w:name="_Toc460227114"/>
      <w:bookmarkStart w:id="403" w:name="_Toc460660229"/>
      <w:bookmarkStart w:id="404" w:name="_Toc460227110"/>
      <w:bookmarkStart w:id="405" w:name="_Toc535241132"/>
      <w:bookmarkStart w:id="406" w:name="_Toc535241229"/>
      <w:bookmarkStart w:id="407" w:name="_Toc535241086"/>
      <w:bookmarkStart w:id="408" w:name="_Toc460660225"/>
      <w:r>
        <w:rPr>
          <w:rFonts w:hint="eastAsia" w:ascii="Times New Roman" w:hAnsi="Times New Roman"/>
          <w:kern w:val="0"/>
          <w:szCs w:val="22"/>
          <w:lang w:val="en-US" w:eastAsia="zh-CN"/>
        </w:rPr>
        <w:t>三</w:t>
      </w:r>
      <w:r>
        <w:rPr>
          <w:rFonts w:ascii="Times New Roman" w:hAnsi="Times New Roman"/>
        </w:rPr>
        <w:t>、投标保证金</w:t>
      </w:r>
      <w:bookmarkEnd w:id="402"/>
      <w:bookmarkEnd w:id="403"/>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szCs w:val="21"/>
          <w:u w:val="single"/>
        </w:rPr>
        <w:t>某招标项目标段名称</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04"/>
      <w:bookmarkEnd w:id="405"/>
      <w:bookmarkEnd w:id="406"/>
      <w:bookmarkEnd w:id="407"/>
      <w:bookmarkEnd w:id="408"/>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rPr>
      </w:pPr>
      <w:r>
        <w:rPr>
          <w:rFonts w:ascii="Times New Roman" w:hAnsi="Times New Roman"/>
          <w:szCs w:val="22"/>
        </w:rPr>
        <w:br w:type="page"/>
      </w:r>
      <w:bookmarkStart w:id="409" w:name="_Toc535241230"/>
      <w:bookmarkStart w:id="410" w:name="_Toc535241133"/>
      <w:bookmarkStart w:id="411" w:name="_Toc535241087"/>
      <w:r>
        <w:rPr>
          <w:rFonts w:ascii="Times New Roman" w:hAnsi="Times New Roman"/>
        </w:rPr>
        <w:t>（二）近年财务状况</w:t>
      </w:r>
    </w:p>
    <w:p>
      <w:pPr>
        <w:spacing w:line="500" w:lineRule="exact"/>
        <w:jc w:val="center"/>
        <w:rPr>
          <w:i w:val="0"/>
          <w:iCs w:val="0"/>
          <w:szCs w:val="21"/>
        </w:rPr>
      </w:pPr>
      <w:r>
        <w:rPr>
          <w:i w:val="0"/>
          <w:iCs w:val="0"/>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09"/>
      <w:bookmarkEnd w:id="410"/>
      <w:bookmarkEnd w:id="411"/>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2" w:name="_Toc421917005"/>
      <w:bookmarkStart w:id="413" w:name="_Toc460660227"/>
      <w:bookmarkStart w:id="414" w:name="_Toc460227112"/>
      <w:bookmarkStart w:id="415" w:name="_Toc390411625"/>
      <w:r>
        <w:rPr>
          <w:b/>
          <w:bCs/>
          <w:szCs w:val="21"/>
        </w:rPr>
        <w:br w:type="page"/>
      </w:r>
      <w:bookmarkEnd w:id="412"/>
      <w:bookmarkEnd w:id="413"/>
      <w:bookmarkEnd w:id="414"/>
      <w:bookmarkEnd w:id="415"/>
      <w:bookmarkStart w:id="416" w:name="_Toc460660230"/>
      <w:bookmarkStart w:id="417" w:name="_Toc421917009"/>
      <w:bookmarkStart w:id="418" w:name="_Toc459832202"/>
      <w:r>
        <w:rPr>
          <w:rFonts w:eastAsia="黑体"/>
          <w:bCs/>
          <w:sz w:val="24"/>
        </w:rPr>
        <w:t>（四）</w:t>
      </w:r>
      <w:bookmarkEnd w:id="416"/>
      <w:r>
        <w:rPr>
          <w:rFonts w:eastAsia="黑体"/>
          <w:bCs/>
          <w:sz w:val="24"/>
        </w:rPr>
        <w:t>制造商授权书</w:t>
      </w:r>
      <w:r>
        <w:rPr>
          <w:rFonts w:eastAsia="黑体"/>
          <w:bCs/>
          <w:sz w:val="24"/>
          <w:vertAlign w:val="superscript"/>
        </w:rPr>
        <w:footnoteReference w:id="1"/>
      </w:r>
    </w:p>
    <w:bookmarkEnd w:id="417"/>
    <w:bookmarkEnd w:id="418"/>
    <w:p>
      <w:pPr>
        <w:spacing w:line="500" w:lineRule="exact"/>
        <w:jc w:val="center"/>
        <w:rPr>
          <w:i w:val="0"/>
          <w:iCs w:val="0"/>
          <w:szCs w:val="21"/>
        </w:rPr>
      </w:pPr>
      <w:r>
        <w:rPr>
          <w:i w:val="0"/>
          <w:iCs w:val="0"/>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color w:val="FF0000"/>
          <w:szCs w:val="21"/>
          <w:u w:val="single"/>
        </w:rPr>
        <w:t>某招标项目标段名称</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5"/>
              <w:spacing w:before="0" w:after="0" w:line="500" w:lineRule="exact"/>
              <w:rPr>
                <w:rFonts w:ascii="Times New Roman" w:hAnsi="Times New Roman" w:cs="Times New Roman"/>
              </w:rPr>
            </w:pPr>
          </w:p>
        </w:tc>
        <w:tc>
          <w:tcPr>
            <w:tcW w:w="1683" w:type="dxa"/>
            <w:gridSpan w:val="2"/>
            <w:noWrap w:val="0"/>
            <w:vAlign w:val="top"/>
          </w:tcPr>
          <w:p>
            <w:pPr>
              <w:pStyle w:val="35"/>
              <w:spacing w:before="0" w:after="0" w:line="500" w:lineRule="exact"/>
              <w:rPr>
                <w:rFonts w:ascii="Times New Roman" w:hAnsi="Times New Roman" w:cs="Times New Roman"/>
              </w:rPr>
            </w:pPr>
          </w:p>
        </w:tc>
        <w:tc>
          <w:tcPr>
            <w:tcW w:w="1268" w:type="dxa"/>
            <w:noWrap w:val="0"/>
            <w:vAlign w:val="top"/>
          </w:tcPr>
          <w:p>
            <w:pPr>
              <w:pStyle w:val="35"/>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19" w:name="_Toc390411639"/>
      <w:bookmarkStart w:id="420" w:name="_Toc460660260"/>
      <w:bookmarkStart w:id="421" w:name="_Toc460227145"/>
      <w:bookmarkStart w:id="422" w:name="_Toc535241148"/>
      <w:bookmarkStart w:id="423" w:name="_Toc421917020"/>
      <w:bookmarkStart w:id="424" w:name="_Toc421917010"/>
      <w:bookmarkStart w:id="425" w:name="_Toc460660233"/>
      <w:bookmarkStart w:id="426" w:name="_Toc460227118"/>
      <w:bookmarkStart w:id="427" w:name="_Toc390411629"/>
      <w:r>
        <w:rPr>
          <w:rFonts w:hint="eastAsia" w:ascii="Times New Roman" w:hAnsi="Times New Roman"/>
          <w:szCs w:val="22"/>
          <w:lang w:val="en-US" w:eastAsia="zh-CN"/>
        </w:rPr>
        <w:t>七</w:t>
      </w:r>
      <w:r>
        <w:rPr>
          <w:rFonts w:ascii="Times New Roman" w:hAnsi="Times New Roman"/>
          <w:sz w:val="28"/>
          <w:szCs w:val="28"/>
        </w:rPr>
        <w:t>、</w:t>
      </w:r>
      <w:bookmarkEnd w:id="419"/>
      <w:bookmarkEnd w:id="420"/>
      <w:bookmarkEnd w:id="421"/>
      <w:bookmarkEnd w:id="422"/>
      <w:bookmarkEnd w:id="423"/>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1"/>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28" w:name="_Toc535241156"/>
      <w:bookmarkStart w:id="429" w:name="_Toc535241090"/>
      <w:bookmarkStart w:id="430" w:name="_Toc460227153"/>
      <w:bookmarkStart w:id="431" w:name="_Toc421917022"/>
      <w:bookmarkStart w:id="432" w:name="_Toc460660268"/>
      <w:bookmarkStart w:id="433" w:name="_Toc535241233"/>
      <w:bookmarkStart w:id="434" w:name="_Toc390411641"/>
    </w:p>
    <w:p>
      <w:pPr>
        <w:pStyle w:val="4"/>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28"/>
      <w:bookmarkEnd w:id="429"/>
      <w:bookmarkEnd w:id="430"/>
      <w:bookmarkEnd w:id="431"/>
      <w:bookmarkEnd w:id="432"/>
      <w:bookmarkEnd w:id="433"/>
      <w:bookmarkEnd w:id="434"/>
      <w:r>
        <w:rPr>
          <w:rFonts w:ascii="Times New Roman" w:hAnsi="Times New Roman"/>
          <w:sz w:val="28"/>
          <w:szCs w:val="28"/>
        </w:rPr>
        <w:t>技术支持资料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35" w:name="_Toc535241232"/>
      <w:bookmarkStart w:id="436" w:name="_Toc535241089"/>
      <w:bookmarkStart w:id="437" w:name="_Toc535241135"/>
      <w:r>
        <w:rPr>
          <w:rFonts w:hint="eastAsia" w:ascii="Times New Roman" w:hAnsi="Times New Roman"/>
          <w:szCs w:val="22"/>
          <w:lang w:val="en-US" w:eastAsia="zh-CN"/>
        </w:rPr>
        <w:t>九</w:t>
      </w:r>
      <w:r>
        <w:rPr>
          <w:rFonts w:ascii="Times New Roman" w:hAnsi="Times New Roman"/>
          <w:sz w:val="28"/>
          <w:szCs w:val="28"/>
        </w:rPr>
        <w:t>、</w:t>
      </w:r>
      <w:bookmarkEnd w:id="435"/>
      <w:bookmarkEnd w:id="436"/>
      <w:bookmarkEnd w:id="437"/>
      <w:r>
        <w:rPr>
          <w:rFonts w:ascii="Times New Roman" w:hAnsi="Times New Roman"/>
          <w:sz w:val="28"/>
          <w:szCs w:val="28"/>
        </w:rPr>
        <w:t>技术服务和质保期服务计划</w:t>
      </w:r>
    </w:p>
    <w:p>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24"/>
      <w:bookmarkEnd w:id="425"/>
      <w:bookmarkEnd w:id="426"/>
      <w:bookmarkEnd w:id="427"/>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2"/>
        <w:spacing w:before="0" w:after="0" w:line="500" w:lineRule="exact"/>
        <w:jc w:val="center"/>
        <w:rPr>
          <w:rFonts w:hint="eastAsia" w:ascii="Times New Roman" w:hAnsi="Times New Roman" w:eastAsia="黑体"/>
          <w:b w:val="0"/>
          <w:sz w:val="44"/>
          <w:szCs w:val="44"/>
          <w:lang w:eastAsia="zh-CN"/>
        </w:rPr>
      </w:pPr>
      <w:bookmarkStart w:id="438" w:name="_Toc22504"/>
      <w:bookmarkStart w:id="439" w:name="_Toc24598"/>
      <w:bookmarkStart w:id="440" w:name="_Toc2506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38"/>
      <w:bookmarkEnd w:id="439"/>
      <w:bookmarkEnd w:id="440"/>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3"/>
        <w:ind w:firstLine="560"/>
        <w:rPr>
          <w:rFonts w:ascii="Times New Roman" w:hAnsi="Times New Roman"/>
        </w:rPr>
      </w:pPr>
    </w:p>
    <w:p>
      <w:pPr>
        <w:pStyle w:val="53"/>
        <w:ind w:firstLine="560"/>
        <w:rPr>
          <w:rFonts w:ascii="Times New Roman" w:hAnsi="Times New Roman"/>
        </w:rPr>
      </w:pPr>
    </w:p>
    <w:p>
      <w:pPr>
        <w:pStyle w:val="53"/>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rPr>
      </w:pPr>
      <w:bookmarkStart w:id="441" w:name="_Toc421917012"/>
      <w:bookmarkStart w:id="442" w:name="_Toc460660235"/>
      <w:bookmarkStart w:id="443" w:name="_Toc460227120"/>
      <w:bookmarkStart w:id="444" w:name="_Toc390411631"/>
      <w:r>
        <w:rPr>
          <w:rFonts w:ascii="Times New Roman" w:hAnsi="Times New Roman"/>
        </w:rPr>
        <w:t>一、投标函</w:t>
      </w:r>
      <w:bookmarkEnd w:id="441"/>
      <w:bookmarkEnd w:id="442"/>
      <w:bookmarkEnd w:id="443"/>
      <w:bookmarkEnd w:id="444"/>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color w:val="FF0000"/>
          <w:szCs w:val="22"/>
          <w:u w:val="single"/>
        </w:rPr>
        <w:t>某招标项目标段名称招标文件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45" w:name="_Toc460660237"/>
      <w:bookmarkStart w:id="446" w:name="_Toc460227122"/>
      <w:bookmarkStart w:id="447" w:name="_Toc421917014"/>
      <w:r>
        <w:rPr>
          <w:rFonts w:eastAsia="黑体"/>
          <w:bCs/>
          <w:sz w:val="24"/>
        </w:rPr>
        <w:t>二、</w:t>
      </w:r>
      <w:bookmarkEnd w:id="445"/>
      <w:bookmarkEnd w:id="446"/>
      <w:bookmarkEnd w:id="447"/>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4ED6B1-4E71-4D4D-B270-00611681D62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82C839A-7F99-46B7-BFDE-4C474BD9F9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9FFD783-D75D-4C09-A7CB-9CBC4D3DFB1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9182C033-3C56-4DC9-BF5F-9FCEBBCB0327}"/>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D1E2B483-8069-4F22-89AB-0A6F9F70AFF0}"/>
  </w:font>
  <w:font w:name="隶书">
    <w:panose1 w:val="02010509060101010101"/>
    <w:charset w:val="86"/>
    <w:family w:val="modern"/>
    <w:pitch w:val="default"/>
    <w:sig w:usb0="00000001" w:usb1="080E0000" w:usb2="00000000" w:usb3="00000000" w:csb0="00040000" w:csb1="00000000"/>
    <w:embedRegular r:id="rId6" w:fontKey="{D2EDA5F1-7C9A-49B2-90A5-4BD27163AAA0}"/>
  </w:font>
  <w:font w:name="等线">
    <w:panose1 w:val="02010600030101010101"/>
    <w:charset w:val="86"/>
    <w:family w:val="auto"/>
    <w:pitch w:val="default"/>
    <w:sig w:usb0="A00002BF" w:usb1="38CF7CFA" w:usb2="00000016" w:usb3="00000000" w:csb0="0004000F" w:csb1="00000000"/>
    <w:embedRegular r:id="rId7" w:fontKey="{1EB18AF0-390C-4BB4-8CFC-EC78CE69BED5}"/>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191B"/>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F56FD"/>
    <w:rsid w:val="01D3127C"/>
    <w:rsid w:val="01DE0287"/>
    <w:rsid w:val="01E4719D"/>
    <w:rsid w:val="02743155"/>
    <w:rsid w:val="02847DC6"/>
    <w:rsid w:val="037F77D1"/>
    <w:rsid w:val="048C245F"/>
    <w:rsid w:val="04AE18D1"/>
    <w:rsid w:val="058A18FA"/>
    <w:rsid w:val="05C53661"/>
    <w:rsid w:val="06273138"/>
    <w:rsid w:val="0668561E"/>
    <w:rsid w:val="067E7C80"/>
    <w:rsid w:val="06EA6CE8"/>
    <w:rsid w:val="06F15FE4"/>
    <w:rsid w:val="07094A47"/>
    <w:rsid w:val="07811F1E"/>
    <w:rsid w:val="07A10B64"/>
    <w:rsid w:val="087B4212"/>
    <w:rsid w:val="08832423"/>
    <w:rsid w:val="08AD3AB3"/>
    <w:rsid w:val="097F7133"/>
    <w:rsid w:val="09E615D4"/>
    <w:rsid w:val="0BB12815"/>
    <w:rsid w:val="0C3E6FDA"/>
    <w:rsid w:val="0C7F003E"/>
    <w:rsid w:val="0DF777AB"/>
    <w:rsid w:val="0E786D72"/>
    <w:rsid w:val="0EB77B90"/>
    <w:rsid w:val="0F5C4C28"/>
    <w:rsid w:val="0F840728"/>
    <w:rsid w:val="0FA30E6F"/>
    <w:rsid w:val="0FEF7B65"/>
    <w:rsid w:val="10464982"/>
    <w:rsid w:val="10C70AD6"/>
    <w:rsid w:val="113107FB"/>
    <w:rsid w:val="113D2F97"/>
    <w:rsid w:val="11447626"/>
    <w:rsid w:val="116605B9"/>
    <w:rsid w:val="119C0FD2"/>
    <w:rsid w:val="12246172"/>
    <w:rsid w:val="128F40E3"/>
    <w:rsid w:val="12B07232"/>
    <w:rsid w:val="12BB6065"/>
    <w:rsid w:val="133072E5"/>
    <w:rsid w:val="14237BE5"/>
    <w:rsid w:val="147C19A7"/>
    <w:rsid w:val="14885C9A"/>
    <w:rsid w:val="14B11530"/>
    <w:rsid w:val="14D40EDF"/>
    <w:rsid w:val="155A25DD"/>
    <w:rsid w:val="15663CF6"/>
    <w:rsid w:val="16BC7E7D"/>
    <w:rsid w:val="178343B4"/>
    <w:rsid w:val="17B730F1"/>
    <w:rsid w:val="17D01BD0"/>
    <w:rsid w:val="18B572DB"/>
    <w:rsid w:val="18C90033"/>
    <w:rsid w:val="19024B01"/>
    <w:rsid w:val="194B6314"/>
    <w:rsid w:val="1AF000F5"/>
    <w:rsid w:val="1B1118DE"/>
    <w:rsid w:val="1C594A4C"/>
    <w:rsid w:val="1C682F63"/>
    <w:rsid w:val="1CE52B48"/>
    <w:rsid w:val="1CEE2D5A"/>
    <w:rsid w:val="1CF93801"/>
    <w:rsid w:val="1D001C47"/>
    <w:rsid w:val="1D182C48"/>
    <w:rsid w:val="1D217E54"/>
    <w:rsid w:val="1D306E76"/>
    <w:rsid w:val="1DD7592D"/>
    <w:rsid w:val="1DF241CC"/>
    <w:rsid w:val="1E584318"/>
    <w:rsid w:val="1EAD027D"/>
    <w:rsid w:val="1F8D36D9"/>
    <w:rsid w:val="1FB060A5"/>
    <w:rsid w:val="2037013A"/>
    <w:rsid w:val="20603779"/>
    <w:rsid w:val="20C04A0E"/>
    <w:rsid w:val="214747E7"/>
    <w:rsid w:val="21530E09"/>
    <w:rsid w:val="216E446A"/>
    <w:rsid w:val="21AE7EA9"/>
    <w:rsid w:val="21F94921"/>
    <w:rsid w:val="22D50099"/>
    <w:rsid w:val="230F106A"/>
    <w:rsid w:val="242E62FE"/>
    <w:rsid w:val="249935AC"/>
    <w:rsid w:val="26123616"/>
    <w:rsid w:val="26583C45"/>
    <w:rsid w:val="26771D7B"/>
    <w:rsid w:val="26822D5C"/>
    <w:rsid w:val="26B352EC"/>
    <w:rsid w:val="280D0539"/>
    <w:rsid w:val="288B3B53"/>
    <w:rsid w:val="28AD57E0"/>
    <w:rsid w:val="28B3135C"/>
    <w:rsid w:val="29AE18A7"/>
    <w:rsid w:val="29B11398"/>
    <w:rsid w:val="29B16BAD"/>
    <w:rsid w:val="2A6C415D"/>
    <w:rsid w:val="2AB61F94"/>
    <w:rsid w:val="2AFB7E48"/>
    <w:rsid w:val="2C511294"/>
    <w:rsid w:val="2D340315"/>
    <w:rsid w:val="2E3C1170"/>
    <w:rsid w:val="2E775CF9"/>
    <w:rsid w:val="2EBD433B"/>
    <w:rsid w:val="2F814E8D"/>
    <w:rsid w:val="2F8C55D6"/>
    <w:rsid w:val="303276E3"/>
    <w:rsid w:val="3180068E"/>
    <w:rsid w:val="3198796C"/>
    <w:rsid w:val="327807B1"/>
    <w:rsid w:val="329C1CC4"/>
    <w:rsid w:val="329C483A"/>
    <w:rsid w:val="33590AD6"/>
    <w:rsid w:val="338D1F44"/>
    <w:rsid w:val="33A0572A"/>
    <w:rsid w:val="35683252"/>
    <w:rsid w:val="35727C2D"/>
    <w:rsid w:val="35A034AE"/>
    <w:rsid w:val="35C16060"/>
    <w:rsid w:val="36817DD1"/>
    <w:rsid w:val="369429B4"/>
    <w:rsid w:val="37A7587F"/>
    <w:rsid w:val="381B1712"/>
    <w:rsid w:val="3852214E"/>
    <w:rsid w:val="3891486E"/>
    <w:rsid w:val="389378AC"/>
    <w:rsid w:val="38BD1B07"/>
    <w:rsid w:val="39041680"/>
    <w:rsid w:val="3942721B"/>
    <w:rsid w:val="39857E1F"/>
    <w:rsid w:val="3ABB02C8"/>
    <w:rsid w:val="3BA23ECD"/>
    <w:rsid w:val="3BB2057C"/>
    <w:rsid w:val="3C044B7E"/>
    <w:rsid w:val="3CB15AF5"/>
    <w:rsid w:val="3D845B17"/>
    <w:rsid w:val="3DB37F2E"/>
    <w:rsid w:val="3E003235"/>
    <w:rsid w:val="3E447DAB"/>
    <w:rsid w:val="3E88226F"/>
    <w:rsid w:val="3EBD20EA"/>
    <w:rsid w:val="3ED442F7"/>
    <w:rsid w:val="3F544750"/>
    <w:rsid w:val="3F6A0085"/>
    <w:rsid w:val="3F744FB2"/>
    <w:rsid w:val="3F8C2A43"/>
    <w:rsid w:val="3F952CF7"/>
    <w:rsid w:val="405134FB"/>
    <w:rsid w:val="40FE2CBD"/>
    <w:rsid w:val="41EF2605"/>
    <w:rsid w:val="4242686A"/>
    <w:rsid w:val="42D70594"/>
    <w:rsid w:val="42E81422"/>
    <w:rsid w:val="43497EE7"/>
    <w:rsid w:val="43745A6F"/>
    <w:rsid w:val="43846E2A"/>
    <w:rsid w:val="43D9531B"/>
    <w:rsid w:val="449A0F4E"/>
    <w:rsid w:val="44C12DEF"/>
    <w:rsid w:val="45443D9E"/>
    <w:rsid w:val="45D136AA"/>
    <w:rsid w:val="461924EC"/>
    <w:rsid w:val="463404BD"/>
    <w:rsid w:val="46880115"/>
    <w:rsid w:val="4697785B"/>
    <w:rsid w:val="47AB5220"/>
    <w:rsid w:val="486163FC"/>
    <w:rsid w:val="48C971E4"/>
    <w:rsid w:val="49621FCF"/>
    <w:rsid w:val="4BA156AC"/>
    <w:rsid w:val="4C0D59E7"/>
    <w:rsid w:val="4C37155F"/>
    <w:rsid w:val="4DF73A27"/>
    <w:rsid w:val="4E692677"/>
    <w:rsid w:val="4F677250"/>
    <w:rsid w:val="4F7069F4"/>
    <w:rsid w:val="4F907A4A"/>
    <w:rsid w:val="4FBA7DE8"/>
    <w:rsid w:val="50CB64CF"/>
    <w:rsid w:val="51175FE5"/>
    <w:rsid w:val="51312C3A"/>
    <w:rsid w:val="51355323"/>
    <w:rsid w:val="518C2EF4"/>
    <w:rsid w:val="518C7C24"/>
    <w:rsid w:val="51905CA1"/>
    <w:rsid w:val="51DC3932"/>
    <w:rsid w:val="53034162"/>
    <w:rsid w:val="54374188"/>
    <w:rsid w:val="54DC55AD"/>
    <w:rsid w:val="588E2720"/>
    <w:rsid w:val="58BC1ECB"/>
    <w:rsid w:val="59187B71"/>
    <w:rsid w:val="599124C8"/>
    <w:rsid w:val="59A85A64"/>
    <w:rsid w:val="5A33015F"/>
    <w:rsid w:val="5B6D2AC1"/>
    <w:rsid w:val="5B916E75"/>
    <w:rsid w:val="5BC6191F"/>
    <w:rsid w:val="5BFD4CF9"/>
    <w:rsid w:val="5C2C5554"/>
    <w:rsid w:val="5C4C6DC6"/>
    <w:rsid w:val="5DFA34A7"/>
    <w:rsid w:val="5F5F2297"/>
    <w:rsid w:val="5F637EC5"/>
    <w:rsid w:val="5FA920E8"/>
    <w:rsid w:val="60A54C1B"/>
    <w:rsid w:val="612C2AD6"/>
    <w:rsid w:val="613D2F35"/>
    <w:rsid w:val="62825AAE"/>
    <w:rsid w:val="62C44266"/>
    <w:rsid w:val="63033463"/>
    <w:rsid w:val="6370633A"/>
    <w:rsid w:val="651A388A"/>
    <w:rsid w:val="653F727C"/>
    <w:rsid w:val="65831D62"/>
    <w:rsid w:val="65B31672"/>
    <w:rsid w:val="65C5024F"/>
    <w:rsid w:val="65E9368C"/>
    <w:rsid w:val="67115D74"/>
    <w:rsid w:val="6886293E"/>
    <w:rsid w:val="69562DE6"/>
    <w:rsid w:val="695958E9"/>
    <w:rsid w:val="69A4300C"/>
    <w:rsid w:val="6A132A9F"/>
    <w:rsid w:val="6A520A90"/>
    <w:rsid w:val="6A647785"/>
    <w:rsid w:val="6A745C1A"/>
    <w:rsid w:val="6ABD5070"/>
    <w:rsid w:val="6ADD2781"/>
    <w:rsid w:val="6C5E4242"/>
    <w:rsid w:val="6CEA6F3E"/>
    <w:rsid w:val="6D3F3B91"/>
    <w:rsid w:val="6DAB2E3F"/>
    <w:rsid w:val="6E306B78"/>
    <w:rsid w:val="6EA840E4"/>
    <w:rsid w:val="6EB24B64"/>
    <w:rsid w:val="6EB42C84"/>
    <w:rsid w:val="6EF37ACE"/>
    <w:rsid w:val="6FD34443"/>
    <w:rsid w:val="70531BF1"/>
    <w:rsid w:val="7076300D"/>
    <w:rsid w:val="709A5CED"/>
    <w:rsid w:val="70B42A10"/>
    <w:rsid w:val="710475CC"/>
    <w:rsid w:val="719C1A27"/>
    <w:rsid w:val="723576AB"/>
    <w:rsid w:val="72895FA6"/>
    <w:rsid w:val="72D002C8"/>
    <w:rsid w:val="72DD69A7"/>
    <w:rsid w:val="73593E7F"/>
    <w:rsid w:val="73D92E41"/>
    <w:rsid w:val="73FE7958"/>
    <w:rsid w:val="741F49DC"/>
    <w:rsid w:val="74300914"/>
    <w:rsid w:val="74FE1AEE"/>
    <w:rsid w:val="75647146"/>
    <w:rsid w:val="75C83B33"/>
    <w:rsid w:val="77CD1710"/>
    <w:rsid w:val="77FA24EC"/>
    <w:rsid w:val="782D565A"/>
    <w:rsid w:val="78A70F68"/>
    <w:rsid w:val="79440EE6"/>
    <w:rsid w:val="7A5F322B"/>
    <w:rsid w:val="7A72263F"/>
    <w:rsid w:val="7A9D6AC7"/>
    <w:rsid w:val="7B8F1549"/>
    <w:rsid w:val="7BED75DA"/>
    <w:rsid w:val="7D610DC4"/>
    <w:rsid w:val="7D727531"/>
    <w:rsid w:val="7D9F4904"/>
    <w:rsid w:val="7DD96922"/>
    <w:rsid w:val="7E444FA8"/>
    <w:rsid w:val="7E7711BB"/>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bCs/>
      <w:kern w:val="44"/>
      <w:sz w:val="32"/>
      <w:szCs w:val="44"/>
    </w:rPr>
  </w:style>
  <w:style w:type="paragraph" w:styleId="2">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3"/>
    <w:qFormat/>
    <w:uiPriority w:val="0"/>
    <w:rPr>
      <w:b/>
      <w:bCs/>
      <w:kern w:val="44"/>
      <w:sz w:val="32"/>
      <w:szCs w:val="44"/>
    </w:rPr>
  </w:style>
  <w:style w:type="character" w:customStyle="1" w:styleId="66">
    <w:name w:val="标题 2 字符"/>
    <w:link w:val="2"/>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2"/>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84</Pages>
  <Words>32845</Words>
  <Characters>34401</Characters>
  <Lines>391</Lines>
  <Paragraphs>110</Paragraphs>
  <TotalTime>28</TotalTime>
  <ScaleCrop>false</ScaleCrop>
  <LinksUpToDate>false</LinksUpToDate>
  <CharactersWithSpaces>38507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陶佳欣</cp:lastModifiedBy>
  <cp:lastPrinted>2024-09-25T08:09:00Z</cp:lastPrinted>
  <dcterms:modified xsi:type="dcterms:W3CDTF">2024-10-09T02:54:21Z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44806626E0F94E0C8E1EEF2D834C9382_13</vt:lpwstr>
  </property>
</Properties>
</file>