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2025年男子篮球亚洲杯预选赛转播专线跨境服务采购项目，现通过询价方式择优选择一家服务单位，本次询价采用有效最低价法中标方式，欢迎具备条件的单位参与。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1.项目名称：2025年男子篮球亚洲杯预选赛转播专线跨境服务采购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2.项目编号：2024TYGSCG39</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3.项目概算：60000元</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6.项目地址：合肥体育中心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auto"/>
          <w:kern w:val="0"/>
          <w:sz w:val="31"/>
          <w:szCs w:val="31"/>
          <w:lang w:val="en-US" w:eastAsia="zh-CN" w:bidi="ar"/>
        </w:rPr>
        <w:t>3.</w:t>
      </w:r>
      <w:r>
        <w:rPr>
          <w:rFonts w:hint="eastAsia" w:ascii="仿宋_GB2312" w:hAnsi="宋体" w:eastAsia="仿宋_GB2312" w:cs="宋体"/>
          <w:bCs/>
          <w:color w:val="000000"/>
          <w:sz w:val="32"/>
          <w:szCs w:val="32"/>
          <w:lang w:val="en-US" w:eastAsia="zh-CN"/>
        </w:rPr>
        <w:t>本项目不接受联合体投标；</w:t>
      </w:r>
    </w:p>
    <w:p>
      <w:pPr>
        <w:spacing w:line="560" w:lineRule="exact"/>
        <w:ind w:firstLine="640"/>
        <w:jc w:val="both"/>
        <w:rPr>
          <w:rFonts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投标人应具备基础电信业务经营许可证资格，投标人不具备基础电信业务经营许可证资格的，应提供取得相应经营许可证的基础电信业务经营者从事本赛事相关业务经营活动的授权；</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5.投标人存在以下不良信用记录情形之一的，不得推荐为中标候选人，不得确定为中标人：</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（一）采购内容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本项目租赁4条100M的SD-WAN加速线路（</w:t>
      </w:r>
      <w:r>
        <w:rPr>
          <w:rFonts w:hint="eastAsia" w:ascii="仿宋_GB2312" w:hAnsi="宋体" w:eastAsia="仿宋_GB2312" w:cs="宋体"/>
          <w:b/>
          <w:bCs w:val="0"/>
          <w:color w:val="000000"/>
          <w:sz w:val="32"/>
          <w:szCs w:val="32"/>
          <w:lang w:val="en-US" w:eastAsia="zh-CN"/>
        </w:rPr>
        <w:t>包含相应的基础性互联网专线，具体租赁条件由投标人根据场馆现场实际情况自行考虑</w:t>
      </w:r>
      <w:r>
        <w:rPr>
          <w:rFonts w:hint="eastAsia" w:ascii="仿宋_GB2312" w:hAnsi="宋体" w:eastAsia="仿宋_GB2312" w:cs="宋体"/>
          <w:bCs/>
          <w:color w:val="000000"/>
          <w:sz w:val="32"/>
          <w:szCs w:val="32"/>
          <w:lang w:val="en-US" w:eastAsia="zh-CN"/>
        </w:rPr>
        <w:t>）用于合肥体育产业投资有限公司2025男篮亚洲杯赛事转播使用，服务期限1个月，大致分布区域主要为：记录台、转播车、转播工作区、摄影席、文字记者席、混采区、媒体工作间、新闻发布厅等相关功能用房区域，具体根据现场需求进行布置。</w:t>
      </w:r>
    </w:p>
    <w:p>
      <w:pPr>
        <w:keepNext w:val="0"/>
        <w:keepLines w:val="0"/>
        <w:widowControl/>
        <w:suppressLineNumbers w:val="0"/>
        <w:ind w:firstLine="620" w:firstLineChars="200"/>
        <w:jc w:val="left"/>
        <w:rPr>
          <w:rFonts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（二）服务要求</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1.投标人应了解招标人的现有设备及网络线路，确定线路类型能无缝接入采购人现有网络。</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2.投标人应对整个网络提供一站式服务，内容包括：售前统一服务接口，信道受理、申请、开通等。</w:t>
      </w:r>
    </w:p>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为保证网络系统通信质量，投标人应按照国家相关保密法规要求，为招标人提供安全、稳定的线路，保证本系统网络的安全、稳定使用，要求网络线路具有足够的带宽并稳定可靠且具有可扩展性。为确保整个业务系统网络的通畅和安全，投标人应具备识别潜在的网络空间安全威胁和风险能力，并采取相应的风险管理措施来降低风险。</w:t>
      </w:r>
    </w:p>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4.投标人应保证所铺设的线路能兼容现有（或以后继续使用）网络的可利用性。</w:t>
      </w:r>
    </w:p>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5.在服务期间，投标人须配有3</w:t>
      </w:r>
      <w:r>
        <w:rPr>
          <w:rFonts w:hint="eastAsia" w:ascii="仿宋_GB2312" w:hAnsi="宋体" w:eastAsia="仿宋_GB2312" w:cs="宋体"/>
          <w:bCs/>
          <w:color w:val="000000"/>
          <w:kern w:val="2"/>
          <w:sz w:val="32"/>
          <w:szCs w:val="32"/>
          <w:lang w:val="en-GB" w:eastAsia="zh-CN" w:bidi="ar-SA"/>
        </w:rPr>
        <w:t>名现场</w:t>
      </w:r>
      <w:r>
        <w:rPr>
          <w:rFonts w:hint="eastAsia" w:ascii="仿宋_GB2312" w:hAnsi="宋体" w:eastAsia="仿宋_GB2312" w:cs="宋体"/>
          <w:bCs/>
          <w:color w:val="000000"/>
          <w:kern w:val="2"/>
          <w:sz w:val="32"/>
          <w:szCs w:val="32"/>
          <w:lang w:val="en-US" w:eastAsia="zh-CN" w:bidi="ar-SA"/>
        </w:rPr>
        <w:t>技术</w:t>
      </w:r>
      <w:r>
        <w:rPr>
          <w:rFonts w:hint="eastAsia" w:ascii="仿宋_GB2312" w:hAnsi="宋体" w:eastAsia="仿宋_GB2312" w:cs="宋体"/>
          <w:bCs/>
          <w:color w:val="000000"/>
          <w:kern w:val="2"/>
          <w:sz w:val="32"/>
          <w:szCs w:val="32"/>
          <w:lang w:val="en-GB" w:eastAsia="zh-CN" w:bidi="ar-SA"/>
        </w:rPr>
        <w:t>人员保障</w:t>
      </w:r>
      <w:r>
        <w:rPr>
          <w:rFonts w:hint="eastAsia" w:ascii="仿宋_GB2312" w:hAnsi="宋体" w:eastAsia="仿宋_GB2312" w:cs="宋体"/>
          <w:bCs/>
          <w:color w:val="000000"/>
          <w:kern w:val="2"/>
          <w:sz w:val="32"/>
          <w:szCs w:val="32"/>
          <w:lang w:val="en-US" w:eastAsia="zh-CN" w:bidi="ar-SA"/>
        </w:rPr>
        <w:t>确保转播任务顺利进行（</w:t>
      </w:r>
      <w:r>
        <w:rPr>
          <w:rFonts w:hint="eastAsia" w:ascii="仿宋_GB2312" w:hAnsi="宋体" w:eastAsia="仿宋_GB2312" w:cs="宋体"/>
          <w:b/>
          <w:bCs w:val="0"/>
          <w:color w:val="000000"/>
          <w:kern w:val="2"/>
          <w:sz w:val="32"/>
          <w:szCs w:val="32"/>
          <w:lang w:val="en-US" w:eastAsia="zh-CN" w:bidi="ar-SA"/>
        </w:rPr>
        <w:t>包括前期整体调试及彩排等</w:t>
      </w:r>
      <w:r>
        <w:rPr>
          <w:rFonts w:hint="eastAsia" w:ascii="仿宋_GB2312" w:hAnsi="宋体" w:eastAsia="仿宋_GB2312" w:cs="宋体"/>
          <w:bCs/>
          <w:color w:val="000000"/>
          <w:kern w:val="2"/>
          <w:sz w:val="32"/>
          <w:szCs w:val="32"/>
          <w:lang w:val="en-US" w:eastAsia="zh-CN" w:bidi="ar-SA"/>
        </w:rPr>
        <w:t>）。</w:t>
      </w:r>
    </w:p>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eastAsia="仿宋_GB2312" w:cs="宋体"/>
          <w:bCs/>
          <w:color w:val="000000"/>
          <w:kern w:val="2"/>
          <w:sz w:val="32"/>
          <w:szCs w:val="32"/>
          <w:lang w:val="en-US" w:eastAsia="zh-CN" w:bidi="ar-SA"/>
        </w:rPr>
        <w:t>6</w:t>
      </w:r>
      <w:r>
        <w:rPr>
          <w:rFonts w:hint="eastAsia" w:ascii="仿宋_GB2312" w:hAnsi="宋体" w:eastAsia="仿宋_GB2312" w:cs="宋体"/>
          <w:bCs/>
          <w:color w:val="000000"/>
          <w:kern w:val="2"/>
          <w:sz w:val="32"/>
          <w:szCs w:val="32"/>
          <w:lang w:val="en-US" w:eastAsia="zh-CN" w:bidi="ar-SA"/>
        </w:rPr>
        <w:t>.投标人提供的SD-WAN加速服务应能确保招标人能够正常访问至少以下链接（</w:t>
      </w:r>
      <w:r>
        <w:rPr>
          <w:rFonts w:hint="eastAsia" w:ascii="仿宋_GB2312" w:hAnsi="宋体" w:eastAsia="仿宋_GB2312" w:cs="宋体"/>
          <w:b/>
          <w:bCs w:val="0"/>
          <w:color w:val="000000"/>
          <w:kern w:val="2"/>
          <w:sz w:val="32"/>
          <w:szCs w:val="32"/>
          <w:lang w:val="en-US" w:eastAsia="zh-CN" w:bidi="ar-SA"/>
        </w:rPr>
        <w:t>如有临时增加的，投标人须无条件服从</w:t>
      </w:r>
      <w:r>
        <w:rPr>
          <w:rFonts w:hint="eastAsia" w:ascii="仿宋_GB2312" w:eastAsia="仿宋_GB2312" w:cs="宋体"/>
          <w:b/>
          <w:bCs w:val="0"/>
          <w:color w:val="000000"/>
          <w:kern w:val="2"/>
          <w:sz w:val="32"/>
          <w:szCs w:val="32"/>
          <w:lang w:val="en-US" w:eastAsia="zh-CN" w:bidi="ar-SA"/>
        </w:rPr>
        <w:t>,</w:t>
      </w:r>
      <w:r>
        <w:rPr>
          <w:rFonts w:hint="eastAsia" w:ascii="仿宋_GB2312" w:hAnsi="宋体" w:eastAsia="仿宋_GB2312" w:cs="宋体"/>
          <w:b/>
          <w:bCs w:val="0"/>
          <w:color w:val="000000"/>
          <w:kern w:val="2"/>
          <w:sz w:val="32"/>
          <w:szCs w:val="32"/>
          <w:lang w:val="en-US" w:eastAsia="zh-CN" w:bidi="ar-SA"/>
        </w:rPr>
        <w:t>具体</w:t>
      </w:r>
      <w:r>
        <w:rPr>
          <w:rFonts w:hint="eastAsia" w:ascii="仿宋_GB2312" w:eastAsia="仿宋_GB2312" w:cs="宋体"/>
          <w:b/>
          <w:bCs w:val="0"/>
          <w:color w:val="000000"/>
          <w:kern w:val="2"/>
          <w:sz w:val="32"/>
          <w:szCs w:val="32"/>
          <w:lang w:val="en-US" w:eastAsia="zh-CN" w:bidi="ar-SA"/>
        </w:rPr>
        <w:t>链接</w:t>
      </w:r>
      <w:r>
        <w:rPr>
          <w:rFonts w:hint="eastAsia" w:ascii="仿宋_GB2312" w:hAnsi="宋体" w:eastAsia="仿宋_GB2312" w:cs="宋体"/>
          <w:b/>
          <w:bCs w:val="0"/>
          <w:color w:val="000000"/>
          <w:kern w:val="2"/>
          <w:sz w:val="32"/>
          <w:szCs w:val="32"/>
          <w:lang w:val="en-US" w:eastAsia="zh-CN" w:bidi="ar-SA"/>
        </w:rPr>
        <w:t>明细</w:t>
      </w:r>
      <w:r>
        <w:rPr>
          <w:rFonts w:hint="eastAsia" w:ascii="仿宋_GB2312" w:eastAsia="仿宋_GB2312" w:cs="宋体"/>
          <w:b/>
          <w:bCs w:val="0"/>
          <w:color w:val="000000"/>
          <w:kern w:val="2"/>
          <w:sz w:val="32"/>
          <w:szCs w:val="32"/>
          <w:lang w:val="en-US" w:eastAsia="zh-CN" w:bidi="ar-SA"/>
        </w:rPr>
        <w:t>以现场实际需求为准</w:t>
      </w:r>
      <w:r>
        <w:rPr>
          <w:rFonts w:hint="eastAsia" w:ascii="仿宋_GB2312" w:hAnsi="宋体" w:eastAsia="仿宋_GB2312" w:cs="宋体"/>
          <w:b/>
          <w:bCs w:val="0"/>
          <w:color w:val="000000"/>
          <w:kern w:val="2"/>
          <w:sz w:val="32"/>
          <w:szCs w:val="32"/>
          <w:lang w:val="en-US" w:eastAsia="zh-CN" w:bidi="ar-SA"/>
        </w:rPr>
        <w:t>。</w:t>
      </w:r>
      <w:r>
        <w:rPr>
          <w:rFonts w:hint="eastAsia" w:ascii="仿宋_GB2312" w:hAnsi="宋体" w:eastAsia="仿宋_GB2312" w:cs="宋体"/>
          <w:bCs/>
          <w:color w:val="000000"/>
          <w:kern w:val="2"/>
          <w:sz w:val="32"/>
          <w:szCs w:val="32"/>
          <w:lang w:val="en-US" w:eastAsia="zh-CN" w:bidi="ar-SA"/>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pPr>
              <w:pStyle w:val="7"/>
              <w:spacing w:before="33" w:line="355" w:lineRule="auto"/>
              <w:ind w:right="61"/>
              <w:jc w:val="center"/>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序号</w:t>
            </w:r>
          </w:p>
        </w:tc>
        <w:tc>
          <w:tcPr>
            <w:tcW w:w="7167" w:type="dxa"/>
            <w:noWrap w:val="0"/>
            <w:vAlign w:val="center"/>
          </w:tcPr>
          <w:p>
            <w:pPr>
              <w:pStyle w:val="7"/>
              <w:spacing w:before="33" w:line="355" w:lineRule="auto"/>
              <w:ind w:left="22" w:right="61" w:firstLine="485"/>
              <w:jc w:val="center"/>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pPr>
              <w:pStyle w:val="7"/>
              <w:spacing w:before="33" w:line="355" w:lineRule="auto"/>
              <w:ind w:left="22" w:right="61" w:firstLine="485"/>
              <w:jc w:val="both"/>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w:t>
            </w:r>
          </w:p>
        </w:tc>
        <w:tc>
          <w:tcPr>
            <w:tcW w:w="7167" w:type="dxa"/>
            <w:noWrap w:val="0"/>
            <w:vAlign w:val="center"/>
          </w:tcPr>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Accreditation.fiba.com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pPr>
              <w:pStyle w:val="7"/>
              <w:spacing w:before="33" w:line="355" w:lineRule="auto"/>
              <w:ind w:left="22" w:right="61" w:firstLine="485"/>
              <w:jc w:val="both"/>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w:t>
            </w:r>
          </w:p>
        </w:tc>
        <w:tc>
          <w:tcPr>
            <w:tcW w:w="7167" w:type="dxa"/>
            <w:noWrap w:val="0"/>
            <w:vAlign w:val="center"/>
          </w:tcPr>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Support.fiba.com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pPr>
              <w:pStyle w:val="7"/>
              <w:spacing w:before="33" w:line="355" w:lineRule="auto"/>
              <w:ind w:left="22" w:right="61" w:firstLine="485"/>
              <w:jc w:val="both"/>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w:t>
            </w:r>
          </w:p>
        </w:tc>
        <w:tc>
          <w:tcPr>
            <w:tcW w:w="7167" w:type="dxa"/>
            <w:noWrap w:val="0"/>
            <w:vAlign w:val="center"/>
          </w:tcPr>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Reports.fiba.com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pPr>
              <w:pStyle w:val="7"/>
              <w:spacing w:before="33" w:line="355" w:lineRule="auto"/>
              <w:ind w:left="22" w:right="61" w:firstLine="485"/>
              <w:jc w:val="both"/>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w:t>
            </w:r>
          </w:p>
        </w:tc>
        <w:tc>
          <w:tcPr>
            <w:tcW w:w="7167" w:type="dxa"/>
            <w:noWrap w:val="0"/>
            <w:vAlign w:val="center"/>
          </w:tcPr>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Map.fiba.com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pPr>
              <w:pStyle w:val="7"/>
              <w:spacing w:before="33" w:line="355" w:lineRule="auto"/>
              <w:ind w:left="22" w:right="61" w:firstLine="485"/>
              <w:jc w:val="both"/>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w:t>
            </w:r>
          </w:p>
        </w:tc>
        <w:tc>
          <w:tcPr>
            <w:tcW w:w="7167" w:type="dxa"/>
            <w:noWrap w:val="0"/>
            <w:vAlign w:val="center"/>
          </w:tcPr>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Bbm.fiba.com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pPr>
              <w:pStyle w:val="7"/>
              <w:spacing w:before="33" w:line="355" w:lineRule="auto"/>
              <w:ind w:left="22" w:right="61" w:firstLine="485"/>
              <w:jc w:val="both"/>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6</w:t>
            </w:r>
          </w:p>
        </w:tc>
        <w:tc>
          <w:tcPr>
            <w:tcW w:w="7167" w:type="dxa"/>
            <w:noWrap w:val="0"/>
            <w:vAlign w:val="center"/>
          </w:tcPr>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Fiba.basketball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pPr>
              <w:pStyle w:val="7"/>
              <w:spacing w:before="33" w:line="355" w:lineRule="auto"/>
              <w:ind w:left="22" w:right="61" w:firstLine="485"/>
              <w:jc w:val="both"/>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7</w:t>
            </w:r>
          </w:p>
        </w:tc>
        <w:tc>
          <w:tcPr>
            <w:tcW w:w="7167" w:type="dxa"/>
            <w:noWrap w:val="0"/>
            <w:vAlign w:val="center"/>
          </w:tcPr>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Geniussports.com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pPr>
              <w:pStyle w:val="7"/>
              <w:spacing w:before="33" w:line="355" w:lineRule="auto"/>
              <w:ind w:left="22" w:right="61" w:firstLine="485"/>
              <w:jc w:val="both"/>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8</w:t>
            </w:r>
          </w:p>
        </w:tc>
        <w:tc>
          <w:tcPr>
            <w:tcW w:w="7167" w:type="dxa"/>
            <w:noWrap w:val="0"/>
            <w:vAlign w:val="center"/>
          </w:tcPr>
          <w:p>
            <w:pPr>
              <w:pStyle w:val="7"/>
              <w:spacing w:before="33" w:line="355" w:lineRule="auto"/>
              <w:ind w:left="22" w:leftChars="0" w:right="61" w:rightChars="0" w:firstLine="485" w:firstLineChars="0"/>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Outlook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pPr>
              <w:pStyle w:val="7"/>
              <w:spacing w:before="33" w:line="355" w:lineRule="auto"/>
              <w:ind w:left="22" w:right="61" w:firstLine="485"/>
              <w:jc w:val="both"/>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9</w:t>
            </w:r>
          </w:p>
        </w:tc>
        <w:tc>
          <w:tcPr>
            <w:tcW w:w="7167" w:type="dxa"/>
            <w:noWrap w:val="0"/>
            <w:vAlign w:val="center"/>
          </w:tcPr>
          <w:p>
            <w:pPr>
              <w:pStyle w:val="7"/>
              <w:spacing w:before="33" w:line="355" w:lineRule="auto"/>
              <w:ind w:left="22" w:leftChars="0" w:right="61" w:rightChars="0" w:firstLine="485" w:firstLineChars="0"/>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One 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pPr>
              <w:pStyle w:val="7"/>
              <w:spacing w:before="33" w:line="355" w:lineRule="auto"/>
              <w:ind w:left="22" w:right="61" w:firstLine="485"/>
              <w:jc w:val="both"/>
              <w:rPr>
                <w:rFonts w:hint="default" w:ascii="仿宋_GB2312" w:hAnsi="宋体" w:eastAsia="仿宋_GB2312" w:cs="宋体"/>
                <w:bCs/>
                <w:color w:val="000000"/>
                <w:kern w:val="2"/>
                <w:sz w:val="32"/>
                <w:szCs w:val="32"/>
                <w:lang w:val="en-US" w:eastAsia="zh-CN" w:bidi="ar-SA"/>
              </w:rPr>
            </w:pPr>
            <w:r>
              <w:rPr>
                <w:rFonts w:hint="eastAsia" w:ascii="仿宋_GB2312" w:eastAsia="仿宋_GB2312" w:cs="宋体"/>
                <w:bCs/>
                <w:color w:val="000000"/>
                <w:kern w:val="2"/>
                <w:sz w:val="32"/>
                <w:szCs w:val="32"/>
                <w:lang w:val="en-US" w:eastAsia="zh-CN" w:bidi="ar-SA"/>
              </w:rPr>
              <w:t>10</w:t>
            </w:r>
          </w:p>
        </w:tc>
        <w:tc>
          <w:tcPr>
            <w:tcW w:w="7167" w:type="dxa"/>
            <w:noWrap w:val="0"/>
            <w:vAlign w:val="center"/>
          </w:tcPr>
          <w:p>
            <w:pPr>
              <w:pStyle w:val="7"/>
              <w:spacing w:before="33" w:line="355" w:lineRule="auto"/>
              <w:ind w:left="22" w:leftChars="0" w:right="61" w:rightChars="0" w:firstLine="485" w:firstLineChars="0"/>
              <w:jc w:val="both"/>
              <w:rPr>
                <w:rFonts w:hint="default" w:ascii="仿宋_GB2312" w:hAnsi="宋体" w:eastAsia="仿宋_GB2312" w:cs="宋体"/>
                <w:bCs/>
                <w:color w:val="000000"/>
                <w:kern w:val="2"/>
                <w:sz w:val="32"/>
                <w:szCs w:val="32"/>
                <w:lang w:val="en-US" w:eastAsia="zh-CN" w:bidi="ar-SA"/>
              </w:rPr>
            </w:pPr>
            <w:r>
              <w:rPr>
                <w:rFonts w:hint="eastAsia" w:ascii="仿宋_GB2312" w:eastAsia="仿宋_GB2312" w:cs="宋体"/>
                <w:bCs/>
                <w:color w:val="000000"/>
                <w:kern w:val="2"/>
                <w:sz w:val="32"/>
                <w:szCs w:val="32"/>
                <w:lang w:val="en-US" w:eastAsia="zh-CN" w:bidi="ar-SA"/>
              </w:rPr>
              <w:t>招标人要求的其他链接</w:t>
            </w:r>
          </w:p>
        </w:tc>
      </w:tr>
    </w:tbl>
    <w:p>
      <w:pPr>
        <w:pStyle w:val="7"/>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eastAsia="仿宋_GB2312" w:cs="宋体"/>
          <w:bCs/>
          <w:color w:val="000000"/>
          <w:kern w:val="2"/>
          <w:sz w:val="32"/>
          <w:szCs w:val="32"/>
          <w:lang w:val="en-US" w:eastAsia="zh-CN" w:bidi="ar-SA"/>
        </w:rPr>
        <w:t>7</w:t>
      </w:r>
      <w:r>
        <w:rPr>
          <w:rFonts w:hint="eastAsia" w:ascii="仿宋_GB2312" w:hAnsi="宋体" w:eastAsia="仿宋_GB2312" w:cs="宋体"/>
          <w:bCs/>
          <w:color w:val="000000"/>
          <w:kern w:val="2"/>
          <w:sz w:val="32"/>
          <w:szCs w:val="32"/>
          <w:lang w:val="en-US" w:eastAsia="zh-CN" w:bidi="ar-SA"/>
        </w:rPr>
        <w:t>.在服务期间，投标人应根据采购人现场需求，进行相应的网络点位部署，</w:t>
      </w:r>
      <w:r>
        <w:rPr>
          <w:rFonts w:hint="eastAsia" w:ascii="仿宋_GB2312" w:hAnsi="宋体" w:eastAsia="仿宋_GB2312" w:cs="宋体"/>
          <w:b/>
          <w:bCs w:val="0"/>
          <w:color w:val="000000"/>
          <w:kern w:val="2"/>
          <w:sz w:val="32"/>
          <w:szCs w:val="32"/>
          <w:lang w:val="en-US" w:eastAsia="zh-CN" w:bidi="ar-SA"/>
        </w:rPr>
        <w:t>如涉及招标人要求的点位调整导致线路更改的，投标人现场须无条件服从。</w:t>
      </w:r>
    </w:p>
    <w:p>
      <w:pPr>
        <w:keepNext w:val="0"/>
        <w:keepLines w:val="0"/>
        <w:widowControl/>
        <w:suppressLineNumbers w:val="0"/>
        <w:ind w:firstLine="620" w:firstLineChars="200"/>
        <w:jc w:val="left"/>
        <w:rPr>
          <w:rFonts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（三）技术要求</w:t>
      </w:r>
    </w:p>
    <w:p>
      <w:pPr>
        <w:spacing w:line="68" w:lineRule="exact"/>
        <w:rPr>
          <w:color w:val="FF0000"/>
        </w:rPr>
      </w:pPr>
    </w:p>
    <w:tbl>
      <w:tblPr>
        <w:tblStyle w:val="177"/>
        <w:tblW w:w="501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9"/>
        <w:gridCol w:w="2091"/>
        <w:gridCol w:w="5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431" w:type="pct"/>
            <w:noWrap w:val="0"/>
            <w:vAlign w:val="top"/>
          </w:tcPr>
          <w:p>
            <w:pPr>
              <w:pStyle w:val="7"/>
              <w:spacing w:before="33" w:line="355" w:lineRule="auto"/>
              <w:ind w:right="61"/>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序号</w:t>
            </w:r>
          </w:p>
        </w:tc>
        <w:tc>
          <w:tcPr>
            <w:tcW w:w="1253" w:type="pct"/>
            <w:noWrap w:val="0"/>
            <w:vAlign w:val="center"/>
          </w:tcPr>
          <w:p>
            <w:pPr>
              <w:pStyle w:val="7"/>
              <w:spacing w:before="33" w:line="355" w:lineRule="auto"/>
              <w:ind w:right="61"/>
              <w:jc w:val="center"/>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名称</w:t>
            </w:r>
          </w:p>
        </w:tc>
        <w:tc>
          <w:tcPr>
            <w:tcW w:w="3314" w:type="pct"/>
            <w:noWrap w:val="0"/>
            <w:vAlign w:val="center"/>
          </w:tcPr>
          <w:p>
            <w:pPr>
              <w:pStyle w:val="7"/>
              <w:spacing w:before="33" w:line="355" w:lineRule="auto"/>
              <w:ind w:right="61"/>
              <w:jc w:val="center"/>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主要技术要求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431" w:type="pct"/>
            <w:noWrap w:val="0"/>
            <w:vAlign w:val="center"/>
          </w:tcPr>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p>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w:t>
            </w:r>
          </w:p>
        </w:tc>
        <w:tc>
          <w:tcPr>
            <w:tcW w:w="1253" w:type="pct"/>
            <w:noWrap w:val="0"/>
            <w:vAlign w:val="top"/>
          </w:tcPr>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6" w:lineRule="auto"/>
              <w:rPr>
                <w:color w:val="auto"/>
              </w:rPr>
            </w:pPr>
          </w:p>
          <w:p>
            <w:pPr>
              <w:spacing w:line="256" w:lineRule="auto"/>
              <w:rPr>
                <w:color w:val="auto"/>
              </w:rPr>
            </w:pPr>
          </w:p>
          <w:p>
            <w:pPr>
              <w:pStyle w:val="176"/>
              <w:spacing w:before="78" w:line="347" w:lineRule="auto"/>
              <w:ind w:left="672" w:right="122" w:hanging="539"/>
              <w:rPr>
                <w:color w:val="auto"/>
                <w:lang w:eastAsia="zh-CN"/>
              </w:rPr>
            </w:pPr>
            <w:r>
              <w:rPr>
                <w:rFonts w:hint="eastAsia" w:ascii="仿宋_GB2312" w:hAnsi="宋体" w:eastAsia="仿宋_GB2312" w:cs="宋体"/>
                <w:bCs/>
                <w:color w:val="000000"/>
                <w:kern w:val="2"/>
                <w:sz w:val="32"/>
                <w:szCs w:val="32"/>
                <w:lang w:val="en-US" w:eastAsia="zh-CN" w:bidi="ar-SA"/>
              </w:rPr>
              <w:t>SD-WAN加速服务</w:t>
            </w:r>
          </w:p>
        </w:tc>
        <w:tc>
          <w:tcPr>
            <w:tcW w:w="3314" w:type="pct"/>
            <w:noWrap w:val="0"/>
            <w:vAlign w:val="top"/>
          </w:tcPr>
          <w:p>
            <w:pPr>
              <w:pStyle w:val="176"/>
              <w:spacing w:before="33" w:line="240" w:lineRule="auto"/>
              <w:ind w:left="113" w:right="106" w:firstLine="5"/>
              <w:rPr>
                <w:rFonts w:hint="eastAsia" w:ascii="仿宋_GB2312" w:hAnsi="宋体" w:eastAsia="仿宋_GB2312" w:cs="宋体"/>
                <w:bCs/>
                <w:color w:val="000000"/>
                <w:kern w:val="2"/>
                <w:sz w:val="32"/>
                <w:szCs w:val="32"/>
                <w:lang w:val="en-US" w:eastAsia="zh-CN" w:bidi="ar-SA"/>
              </w:rPr>
            </w:pPr>
            <w:r>
              <w:rPr>
                <w:rFonts w:hint="eastAsia" w:ascii="仿宋_GB2312" w:eastAsia="仿宋_GB2312" w:cs="宋体"/>
                <w:bCs/>
                <w:color w:val="000000"/>
                <w:kern w:val="2"/>
                <w:sz w:val="32"/>
                <w:szCs w:val="32"/>
                <w:lang w:val="en-US" w:eastAsia="zh-CN" w:bidi="ar-SA"/>
              </w:rPr>
              <w:t>1.</w:t>
            </w:r>
            <w:r>
              <w:rPr>
                <w:rFonts w:hint="eastAsia" w:ascii="仿宋_GB2312" w:hAnsi="宋体" w:eastAsia="仿宋_GB2312" w:cs="宋体"/>
                <w:bCs/>
                <w:color w:val="000000"/>
                <w:kern w:val="2"/>
                <w:sz w:val="32"/>
                <w:szCs w:val="32"/>
                <w:lang w:val="en-US" w:eastAsia="zh-CN" w:bidi="ar-SA"/>
              </w:rPr>
              <w:t>视频转播区CPE设备</w:t>
            </w:r>
          </w:p>
          <w:p>
            <w:pPr>
              <w:pStyle w:val="176"/>
              <w:spacing w:before="33" w:line="240" w:lineRule="auto"/>
              <w:ind w:left="113" w:right="106" w:firstLine="5"/>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数量：4台；吞吐流量：2000Mbps；并发连接：200000；IP数：400；包转发率：150万PPS；网络接口：6个千兆网口；</w:t>
            </w:r>
          </w:p>
          <w:p>
            <w:pPr>
              <w:pStyle w:val="176"/>
              <w:spacing w:before="33" w:line="240" w:lineRule="auto"/>
              <w:ind w:left="113" w:right="106" w:firstLine="5"/>
              <w:rPr>
                <w:rFonts w:hint="eastAsia" w:ascii="仿宋_GB2312" w:hAnsi="宋体" w:eastAsia="仿宋_GB2312" w:cs="宋体"/>
                <w:bCs/>
                <w:color w:val="000000"/>
                <w:kern w:val="2"/>
                <w:sz w:val="32"/>
                <w:szCs w:val="32"/>
                <w:lang w:val="en-US" w:eastAsia="zh-CN" w:bidi="ar-SA"/>
              </w:rPr>
            </w:pPr>
            <w:r>
              <w:rPr>
                <w:rFonts w:hint="eastAsia" w:ascii="仿宋_GB2312" w:eastAsia="仿宋_GB2312" w:cs="宋体"/>
                <w:bCs/>
                <w:color w:val="000000"/>
                <w:kern w:val="2"/>
                <w:sz w:val="32"/>
                <w:szCs w:val="32"/>
                <w:lang w:val="en-US" w:eastAsia="zh-CN" w:bidi="ar-SA"/>
              </w:rPr>
              <w:t>2.</w:t>
            </w:r>
            <w:r>
              <w:rPr>
                <w:rFonts w:hint="eastAsia" w:ascii="仿宋_GB2312" w:hAnsi="宋体" w:eastAsia="仿宋_GB2312" w:cs="宋体"/>
                <w:bCs/>
                <w:color w:val="000000"/>
                <w:kern w:val="2"/>
                <w:sz w:val="32"/>
                <w:szCs w:val="32"/>
                <w:lang w:val="en-US" w:eastAsia="zh-CN" w:bidi="ar-SA"/>
              </w:rPr>
              <w:t>媒体及官员区CPE设备</w:t>
            </w:r>
          </w:p>
          <w:p>
            <w:pPr>
              <w:pStyle w:val="176"/>
              <w:spacing w:before="33" w:line="240" w:lineRule="auto"/>
              <w:ind w:left="113" w:right="106" w:firstLine="5"/>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数量：10台；吞吐流量：200Mbps,并发连接：50000,IP数：100,包转发率：50万PPS，网络接口：5个千兆网口</w:t>
            </w:r>
          </w:p>
          <w:p>
            <w:pPr>
              <w:pStyle w:val="176"/>
              <w:spacing w:before="33" w:line="240" w:lineRule="auto"/>
              <w:ind w:left="113" w:right="106" w:firstLine="5"/>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3.SDWAN加速带宽必须具有良好的扩展性和可升级性，确保满足赛事转播现场因转播等需求而产生的临时升级扩展需求</w:t>
            </w:r>
          </w:p>
          <w:p>
            <w:pPr>
              <w:pStyle w:val="176"/>
              <w:spacing w:before="35" w:line="240" w:lineRule="auto"/>
              <w:ind w:left="113" w:right="49"/>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 加速线路接入时，链路切换过程中，丢包敏感类业务（例如：视频会议）应传输正常，无卡顿、马赛克及中断现象</w:t>
            </w:r>
          </w:p>
          <w:p>
            <w:pPr>
              <w:pStyle w:val="176"/>
              <w:spacing w:before="35" w:line="240" w:lineRule="auto"/>
              <w:ind w:left="113" w:right="49"/>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5.加速线路质量：客户加速线路端到端 Ping 网络时延≤55ms；服务商提供的接入设备需集成自有广域网加速技术提高传输效率。单线程传输带宽利用率至少达到90%，保障业务系统的传输效率、提高用户体验</w:t>
            </w:r>
          </w:p>
          <w:p>
            <w:pPr>
              <w:pStyle w:val="176"/>
              <w:spacing w:before="34" w:line="240" w:lineRule="auto"/>
              <w:ind w:left="117" w:right="28" w:hanging="1"/>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6</w:t>
            </w:r>
            <w:r>
              <w:rPr>
                <w:rFonts w:hint="eastAsia" w:ascii="仿宋_GB2312" w:eastAsia="仿宋_GB2312" w:cs="宋体"/>
                <w:bCs/>
                <w:color w:val="000000"/>
                <w:kern w:val="2"/>
                <w:sz w:val="32"/>
                <w:szCs w:val="32"/>
                <w:lang w:val="en-US" w:eastAsia="zh-CN" w:bidi="ar-SA"/>
              </w:rPr>
              <w:t>.</w:t>
            </w:r>
            <w:r>
              <w:rPr>
                <w:rFonts w:hint="eastAsia" w:ascii="仿宋_GB2312" w:hAnsi="宋体" w:eastAsia="仿宋_GB2312" w:cs="宋体"/>
                <w:bCs/>
                <w:color w:val="000000"/>
                <w:kern w:val="2"/>
                <w:sz w:val="32"/>
                <w:szCs w:val="32"/>
                <w:lang w:val="en-US" w:eastAsia="zh-CN" w:bidi="ar-SA"/>
              </w:rPr>
              <w:t>提供端到端数据加密。为保证数据端到端安全，数据的加密和解密需均在用户内网的SD-WAN设备上完成，经过SD-WAN骨干网的传输路径中，不能存在加解密的节点和行为</w:t>
            </w:r>
          </w:p>
          <w:p>
            <w:pPr>
              <w:pStyle w:val="176"/>
              <w:spacing w:before="33" w:line="240" w:lineRule="auto"/>
              <w:ind w:left="113" w:right="106" w:firstLine="5"/>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7</w:t>
            </w:r>
            <w:r>
              <w:rPr>
                <w:rFonts w:hint="eastAsia" w:ascii="仿宋_GB2312" w:eastAsia="仿宋_GB2312" w:cs="宋体"/>
                <w:bCs/>
                <w:color w:val="000000"/>
                <w:kern w:val="2"/>
                <w:sz w:val="32"/>
                <w:szCs w:val="32"/>
                <w:lang w:val="en-US" w:eastAsia="zh-CN" w:bidi="ar-SA"/>
              </w:rPr>
              <w:t>.</w:t>
            </w:r>
            <w:r>
              <w:rPr>
                <w:rFonts w:hint="eastAsia" w:ascii="仿宋_GB2312" w:hAnsi="宋体" w:eastAsia="仿宋_GB2312" w:cs="宋体"/>
                <w:bCs/>
                <w:color w:val="000000"/>
                <w:kern w:val="2"/>
                <w:sz w:val="32"/>
                <w:szCs w:val="32"/>
                <w:lang w:val="en-US" w:eastAsia="zh-CN" w:bidi="ar-SA"/>
              </w:rPr>
              <w:t>现场提供至少网络保障人员3名，确保转播任务顺利进行</w:t>
            </w:r>
          </w:p>
          <w:p>
            <w:pPr>
              <w:pStyle w:val="176"/>
              <w:spacing w:before="33" w:line="240" w:lineRule="auto"/>
              <w:ind w:left="113" w:right="106" w:firstLine="5"/>
              <w:rPr>
                <w:rFonts w:hint="default"/>
                <w:color w:val="auto"/>
                <w:spacing w:val="-1"/>
                <w:lang w:val="en-US" w:eastAsia="zh-CN"/>
              </w:rPr>
            </w:pPr>
            <w:r>
              <w:rPr>
                <w:rFonts w:hint="eastAsia" w:ascii="仿宋_GB2312" w:hAnsi="宋体" w:eastAsia="仿宋_GB2312" w:cs="宋体"/>
                <w:bCs/>
                <w:color w:val="000000"/>
                <w:kern w:val="2"/>
                <w:sz w:val="32"/>
                <w:szCs w:val="32"/>
                <w:lang w:val="en-US" w:eastAsia="zh-CN" w:bidi="ar-SA"/>
              </w:rPr>
              <w:t>8</w:t>
            </w:r>
            <w:r>
              <w:rPr>
                <w:rFonts w:hint="eastAsia" w:ascii="仿宋_GB2312" w:eastAsia="仿宋_GB2312" w:cs="宋体"/>
                <w:bCs/>
                <w:color w:val="000000"/>
                <w:kern w:val="2"/>
                <w:sz w:val="32"/>
                <w:szCs w:val="32"/>
                <w:lang w:val="en-US" w:eastAsia="zh-CN" w:bidi="ar-SA"/>
              </w:rPr>
              <w:t>.</w:t>
            </w:r>
            <w:r>
              <w:rPr>
                <w:rFonts w:hint="eastAsia" w:ascii="仿宋_GB2312" w:hAnsi="宋体" w:eastAsia="仿宋_GB2312" w:cs="宋体"/>
                <w:bCs/>
                <w:color w:val="000000"/>
                <w:kern w:val="2"/>
                <w:sz w:val="32"/>
                <w:szCs w:val="32"/>
                <w:lang w:val="en-US" w:eastAsia="zh-CN" w:bidi="ar-SA"/>
              </w:rPr>
              <w:t>具体设备数量按现场实际需求部署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4" w:hRule="atLeast"/>
        </w:trPr>
        <w:tc>
          <w:tcPr>
            <w:tcW w:w="431" w:type="pct"/>
            <w:noWrap w:val="0"/>
            <w:vAlign w:val="center"/>
          </w:tcPr>
          <w:p>
            <w:pPr>
              <w:pStyle w:val="176"/>
              <w:spacing w:before="33" w:line="240" w:lineRule="auto"/>
              <w:ind w:left="113" w:right="106" w:firstLine="5"/>
              <w:jc w:val="center"/>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w:t>
            </w:r>
          </w:p>
        </w:tc>
        <w:tc>
          <w:tcPr>
            <w:tcW w:w="1253" w:type="pct"/>
            <w:noWrap w:val="0"/>
            <w:vAlign w:val="center"/>
          </w:tcPr>
          <w:p>
            <w:pPr>
              <w:pStyle w:val="176"/>
              <w:spacing w:before="33" w:line="240" w:lineRule="auto"/>
              <w:ind w:left="113" w:right="106" w:firstLine="5"/>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互联网专线（基础专线）</w:t>
            </w:r>
          </w:p>
        </w:tc>
        <w:tc>
          <w:tcPr>
            <w:tcW w:w="3314" w:type="pct"/>
            <w:noWrap w:val="0"/>
            <w:vAlign w:val="top"/>
          </w:tcPr>
          <w:p>
            <w:pPr>
              <w:pStyle w:val="176"/>
              <w:spacing w:before="33" w:line="240" w:lineRule="auto"/>
              <w:ind w:left="113" w:right="106" w:firstLine="5"/>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1.带宽要求：200M，独享带宽、满足SD-WAN加速100M电视转播需求</w:t>
            </w:r>
          </w:p>
          <w:p>
            <w:pPr>
              <w:pStyle w:val="176"/>
              <w:spacing w:before="33" w:line="240" w:lineRule="auto"/>
              <w:ind w:left="113" w:right="106" w:firstLine="5"/>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2.固定IP要求：每条互联网专线固定IP地址≥4个</w:t>
            </w:r>
          </w:p>
          <w:p>
            <w:pPr>
              <w:pStyle w:val="176"/>
              <w:spacing w:before="33" w:line="240" w:lineRule="auto"/>
              <w:ind w:left="113" w:right="106" w:firstLine="5"/>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3.专线必须具有良好的扩展性和可升级性，确保满足将来因业务发展而产生的升级扩展需求</w:t>
            </w:r>
          </w:p>
          <w:p>
            <w:pPr>
              <w:pStyle w:val="176"/>
              <w:spacing w:before="33" w:line="240" w:lineRule="auto"/>
              <w:ind w:left="113" w:right="106" w:firstLine="5"/>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 xml:space="preserve">4.具有可靠的安全机制保证数据的保密性、完整性、安全性； </w:t>
            </w:r>
          </w:p>
          <w:p>
            <w:pPr>
              <w:pStyle w:val="176"/>
              <w:spacing w:before="33" w:line="240" w:lineRule="auto"/>
              <w:ind w:left="113" w:right="106" w:firstLine="5"/>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（投标人所提供的此条互联网IP专线不再复用）</w:t>
            </w:r>
          </w:p>
          <w:p>
            <w:pPr>
              <w:pStyle w:val="176"/>
              <w:spacing w:before="33" w:line="240" w:lineRule="auto"/>
              <w:ind w:left="113" w:right="106" w:firstLine="5"/>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链路质量：用户至网内热点网站的Ping网络时延≤5ms；集团用户至网内热点网站的网络丢包率≤0.1%，信道服务质量需满足行业规范</w:t>
            </w:r>
          </w:p>
          <w:p>
            <w:pPr>
              <w:pStyle w:val="176"/>
              <w:spacing w:before="33" w:line="240" w:lineRule="auto"/>
              <w:ind w:left="113" w:right="106" w:firstLine="5"/>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备注：如各运营商基础性互联网专线与上述要求不一致的，但仍能满足赛事转播的网络要求的，各投标人可自行上报相应的参数及要求。</w:t>
            </w:r>
          </w:p>
        </w:tc>
      </w:tr>
    </w:tbl>
    <w:p>
      <w:pPr>
        <w:spacing w:line="560" w:lineRule="exact"/>
        <w:ind w:firstLine="640"/>
        <w:jc w:val="both"/>
        <w:rPr>
          <w:rFonts w:hint="eastAsia" w:ascii="仿宋_GB2312" w:hAnsi="宋体" w:eastAsia="仿宋_GB2312" w:cs="宋体"/>
          <w:b/>
          <w:bCs w:val="0"/>
          <w:color w:val="000000"/>
          <w:sz w:val="32"/>
          <w:szCs w:val="32"/>
          <w:lang w:val="en-US" w:eastAsia="zh-CN"/>
        </w:rPr>
      </w:pPr>
    </w:p>
    <w:p>
      <w:pPr>
        <w:spacing w:line="560" w:lineRule="exact"/>
        <w:ind w:firstLine="640"/>
        <w:jc w:val="both"/>
        <w:rPr>
          <w:rFonts w:hint="eastAsia" w:ascii="仿宋_GB2312" w:hAnsi="宋体" w:eastAsia="仿宋_GB2312" w:cs="宋体"/>
          <w:b/>
          <w:bCs w:val="0"/>
          <w:color w:val="000000"/>
          <w:sz w:val="32"/>
          <w:szCs w:val="32"/>
          <w:lang w:val="en-US" w:eastAsia="zh-CN"/>
        </w:rPr>
      </w:pPr>
    </w:p>
    <w:p>
      <w:pPr>
        <w:spacing w:line="560" w:lineRule="exact"/>
        <w:ind w:firstLine="640"/>
        <w:jc w:val="both"/>
        <w:rPr>
          <w:rFonts w:hint="eastAsia" w:ascii="仿宋_GB2312" w:hAnsi="宋体" w:eastAsia="仿宋_GB2312" w:cs="宋体"/>
          <w:b/>
          <w:bCs w:val="0"/>
          <w:color w:val="000000"/>
          <w:sz w:val="32"/>
          <w:szCs w:val="32"/>
          <w:lang w:val="en-US" w:eastAsia="zh-CN"/>
        </w:rPr>
      </w:pP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2024年11月11日17：00前将报价单连同营业执照和相关资质证明全部盖章后密封送至合肥体育产业投资有限公司综合管理部。未按要求盖章和密封的报价文件视为废标，无效报价。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keepNext w:val="0"/>
        <w:keepLines w:val="0"/>
        <w:widowControl/>
        <w:suppressLineNumbers w:val="0"/>
        <w:ind w:firstLine="640" w:firstLineChars="200"/>
        <w:jc w:val="left"/>
        <w:rPr>
          <w:rFonts w:hint="eastAsia" w:ascii="仿宋_GB2312" w:hAnsi="宋体" w:eastAsia="仿宋_GB2312" w:cs="宋体"/>
          <w:bCs/>
          <w:color w:val="000000"/>
          <w:sz w:val="32"/>
          <w:szCs w:val="32"/>
          <w:lang w:val="en-US" w:eastAsia="zh-CN"/>
        </w:rPr>
      </w:pPr>
      <w:r>
        <w:rPr>
          <w:rFonts w:hint="eastAsia" w:ascii="仿宋_GB2312" w:hAnsi="宋体" w:eastAsia="仿宋_GB2312" w:cs="宋体"/>
          <w:b w:val="0"/>
          <w:bCs/>
          <w:color w:val="auto"/>
          <w:sz w:val="32"/>
          <w:szCs w:val="32"/>
          <w:lang w:val="en-US" w:eastAsia="zh-CN"/>
        </w:rPr>
        <w:t>现场勘察联系人：齐</w:t>
      </w:r>
      <w:r>
        <w:rPr>
          <w:rFonts w:hint="eastAsia" w:ascii="仿宋_GB2312" w:hAnsi="宋体" w:eastAsia="仿宋_GB2312" w:cs="宋体"/>
          <w:bCs/>
          <w:color w:val="000000"/>
          <w:sz w:val="32"/>
          <w:szCs w:val="32"/>
          <w:lang w:val="en-US" w:eastAsia="zh-CN"/>
        </w:rPr>
        <w:t>工13866763586</w:t>
      </w:r>
    </w:p>
    <w:p>
      <w:pPr>
        <w:widowControl/>
        <w:spacing w:line="360" w:lineRule="auto"/>
        <w:jc w:val="left"/>
        <w:rPr>
          <w:rFonts w:ascii="宋体" w:hAnsi="宋体" w:cs="宋体"/>
          <w:color w:val="auto"/>
          <w:kern w:val="0"/>
          <w:sz w:val="24"/>
          <w:szCs w:val="24"/>
        </w:rPr>
      </w:pPr>
      <w:r>
        <w:rPr>
          <w:rFonts w:hint="eastAsia" w:ascii="仿宋_GB2312" w:hAnsi="宋体" w:eastAsia="仿宋_GB2312" w:cs="宋体"/>
          <w:b w:val="0"/>
          <w:bCs/>
          <w:color w:val="auto"/>
          <w:sz w:val="32"/>
          <w:szCs w:val="32"/>
          <w:lang w:val="en-US" w:eastAsia="zh-CN"/>
        </w:rPr>
        <w:t>（工</w:t>
      </w:r>
      <w:r>
        <w:rPr>
          <w:rFonts w:hint="eastAsia" w:ascii="仿宋_GB2312" w:hAnsi="宋体" w:eastAsia="仿宋_GB2312" w:cs="宋体"/>
          <w:bCs/>
          <w:color w:val="auto"/>
          <w:sz w:val="32"/>
          <w:szCs w:val="32"/>
          <w:lang w:val="en-US" w:eastAsia="zh-CN"/>
        </w:rPr>
        <w:t>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2024年11月8日</w:t>
      </w:r>
    </w:p>
    <w:p>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pPr>
        <w:pStyle w:val="2"/>
        <w:rPr>
          <w:rFonts w:hint="default"/>
          <w:lang w:val="en-US" w:eastAsia="zh-CN"/>
        </w:rPr>
      </w:pPr>
    </w:p>
    <w:p>
      <w:pPr>
        <w:rPr>
          <w:rFonts w:hint="default"/>
          <w:lang w:val="en-US" w:eastAsia="zh-CN"/>
        </w:rPr>
      </w:pPr>
    </w:p>
    <w:p>
      <w:pPr>
        <w:pStyle w:val="2"/>
        <w:rPr>
          <w:rFonts w:hint="eastAsia"/>
          <w:b w:val="0"/>
          <w:bCs w:val="0"/>
          <w:lang w:val="en-US" w:eastAsia="zh-CN"/>
        </w:rPr>
      </w:pPr>
      <w:r>
        <w:rPr>
          <w:rFonts w:hint="eastAsia"/>
          <w:b w:val="0"/>
          <w:bCs w:val="0"/>
          <w:lang w:val="en-US" w:eastAsia="zh-CN"/>
        </w:rPr>
        <w:t>附件</w:t>
      </w:r>
    </w:p>
    <w:p>
      <w:pPr>
        <w:jc w:val="center"/>
        <w:rPr>
          <w:rFonts w:hint="default"/>
          <w:b/>
          <w:bCs w:val="0"/>
          <w:lang w:val="en-US" w:eastAsia="zh-CN"/>
        </w:rPr>
      </w:pPr>
      <w:r>
        <w:rPr>
          <w:rFonts w:hint="eastAsia" w:ascii="仿宋_GB2312" w:hAnsi="宋体" w:eastAsia="仿宋_GB2312" w:cs="宋体"/>
          <w:b/>
          <w:bCs w:val="0"/>
          <w:color w:val="000000"/>
          <w:sz w:val="32"/>
          <w:szCs w:val="32"/>
          <w:lang w:val="en-US" w:eastAsia="zh-CN"/>
        </w:rPr>
        <w:t>转播专线跨境服务报价表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25"/>
        <w:gridCol w:w="750"/>
        <w:gridCol w:w="787"/>
        <w:gridCol w:w="525"/>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序号</w:t>
            </w:r>
          </w:p>
        </w:tc>
        <w:tc>
          <w:tcPr>
            <w:tcW w:w="2425"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服务内容</w:t>
            </w:r>
          </w:p>
        </w:tc>
        <w:tc>
          <w:tcPr>
            <w:tcW w:w="750"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数量</w:t>
            </w:r>
          </w:p>
        </w:tc>
        <w:tc>
          <w:tcPr>
            <w:tcW w:w="787"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单位</w:t>
            </w:r>
          </w:p>
        </w:tc>
        <w:tc>
          <w:tcPr>
            <w:tcW w:w="525"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月</w:t>
            </w:r>
          </w:p>
        </w:tc>
        <w:tc>
          <w:tcPr>
            <w:tcW w:w="3125"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1</w:t>
            </w:r>
          </w:p>
        </w:tc>
        <w:tc>
          <w:tcPr>
            <w:tcW w:w="2425" w:type="dxa"/>
            <w:noWrap w:val="0"/>
            <w:vAlign w:val="center"/>
          </w:tcPr>
          <w:p>
            <w:pPr>
              <w:pStyle w:val="7"/>
              <w:numPr>
                <w:ilvl w:val="0"/>
                <w:numId w:val="0"/>
              </w:numPr>
              <w:spacing w:before="183" w:line="347" w:lineRule="auto"/>
              <w:ind w:right="61" w:rightChars="0"/>
              <w:jc w:val="center"/>
              <w:rPr>
                <w:rFonts w:hint="eastAsia"/>
                <w:spacing w:val="-4"/>
                <w:vertAlign w:val="baseline"/>
                <w:lang w:val="en-US" w:eastAsia="zh-CN"/>
              </w:rPr>
            </w:pPr>
            <w:r>
              <w:rPr>
                <w:rFonts w:hint="eastAsia"/>
                <w:spacing w:val="-4"/>
                <w:vertAlign w:val="baseline"/>
                <w:lang w:val="en-US" w:eastAsia="zh-CN"/>
              </w:rPr>
              <w:t>100M</w:t>
            </w:r>
            <w:r>
              <w:rPr>
                <w:rFonts w:hint="eastAsia"/>
                <w:spacing w:val="-3"/>
                <w:lang w:eastAsia="zh-CN"/>
              </w:rPr>
              <w:t>S</w:t>
            </w:r>
            <w:r>
              <w:rPr>
                <w:spacing w:val="-3"/>
                <w:lang w:eastAsia="zh-CN"/>
              </w:rPr>
              <w:t>D</w:t>
            </w:r>
            <w:r>
              <w:rPr>
                <w:rFonts w:hint="eastAsia"/>
                <w:spacing w:val="-3"/>
                <w:lang w:eastAsia="zh-CN"/>
              </w:rPr>
              <w:t>-</w:t>
            </w:r>
            <w:r>
              <w:rPr>
                <w:spacing w:val="-3"/>
                <w:lang w:eastAsia="zh-CN"/>
              </w:rPr>
              <w:t>WAN加速线路</w:t>
            </w:r>
          </w:p>
        </w:tc>
        <w:tc>
          <w:tcPr>
            <w:tcW w:w="750"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4</w:t>
            </w:r>
          </w:p>
        </w:tc>
        <w:tc>
          <w:tcPr>
            <w:tcW w:w="787"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条</w:t>
            </w:r>
          </w:p>
        </w:tc>
        <w:tc>
          <w:tcPr>
            <w:tcW w:w="525"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1</w:t>
            </w:r>
          </w:p>
        </w:tc>
        <w:tc>
          <w:tcPr>
            <w:tcW w:w="3125" w:type="dxa"/>
            <w:noWrap w:val="0"/>
            <w:vAlign w:val="center"/>
          </w:tcPr>
          <w:p>
            <w:pPr>
              <w:pStyle w:val="7"/>
              <w:numPr>
                <w:ilvl w:val="0"/>
                <w:numId w:val="0"/>
              </w:numPr>
              <w:spacing w:before="183" w:line="347" w:lineRule="auto"/>
              <w:ind w:right="61" w:rightChars="0"/>
              <w:jc w:val="center"/>
              <w:rPr>
                <w:rFonts w:hint="eastAsia"/>
                <w:spacing w:val="-4"/>
                <w:vertAlign w:val="baseline"/>
                <w:lang w:val="en-US" w:eastAsia="zh-CN"/>
              </w:rPr>
            </w:pPr>
            <w:r>
              <w:rPr>
                <w:rFonts w:hint="eastAsia"/>
                <w:spacing w:val="-3"/>
                <w:highlight w:val="none"/>
                <w:lang w:val="en-US" w:eastAsia="zh-CN"/>
              </w:rPr>
              <w:t>满足服务需求中加速线路及互联网专线的主要技术要求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818"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2</w:t>
            </w:r>
          </w:p>
        </w:tc>
        <w:tc>
          <w:tcPr>
            <w:tcW w:w="2425"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网络设备部署</w:t>
            </w:r>
          </w:p>
        </w:tc>
        <w:tc>
          <w:tcPr>
            <w:tcW w:w="750"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1</w:t>
            </w:r>
          </w:p>
        </w:tc>
        <w:tc>
          <w:tcPr>
            <w:tcW w:w="787"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项</w:t>
            </w:r>
          </w:p>
        </w:tc>
        <w:tc>
          <w:tcPr>
            <w:tcW w:w="525"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1</w:t>
            </w:r>
          </w:p>
        </w:tc>
        <w:tc>
          <w:tcPr>
            <w:tcW w:w="3125" w:type="dxa"/>
            <w:noWrap w:val="0"/>
            <w:vAlign w:val="center"/>
          </w:tcPr>
          <w:p>
            <w:pPr>
              <w:pStyle w:val="7"/>
              <w:spacing w:before="182" w:line="352" w:lineRule="auto"/>
              <w:ind w:left="24" w:right="61" w:firstLine="480"/>
              <w:rPr>
                <w:rFonts w:hint="eastAsia"/>
                <w:spacing w:val="-4"/>
                <w:vertAlign w:val="baseline"/>
                <w:lang w:val="en-US" w:eastAsia="zh-CN"/>
              </w:rPr>
            </w:pPr>
            <w:r>
              <w:rPr>
                <w:rFonts w:hint="eastAsia"/>
                <w:spacing w:val="-3"/>
                <w:highlight w:val="none"/>
                <w:lang w:val="en-US" w:eastAsia="zh-CN"/>
              </w:rPr>
              <w:t>记录台、转播车、转播工作区、摄影席、文字记者席、混采区、媒体工作间、新闻发布厅等相关功能用房区域，具体根据现场需求进行综合布线、设备安装等部署</w:t>
            </w:r>
            <w:r>
              <w:rPr>
                <w:spacing w:val="-3"/>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dxa"/>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3</w:t>
            </w:r>
          </w:p>
        </w:tc>
        <w:tc>
          <w:tcPr>
            <w:tcW w:w="4487" w:type="dxa"/>
            <w:gridSpan w:val="4"/>
            <w:noWrap w:val="0"/>
            <w:vAlign w:val="center"/>
          </w:tcPr>
          <w:p>
            <w:pPr>
              <w:pStyle w:val="7"/>
              <w:numPr>
                <w:ilvl w:val="0"/>
                <w:numId w:val="0"/>
              </w:numPr>
              <w:spacing w:before="183" w:line="347" w:lineRule="auto"/>
              <w:ind w:right="61" w:rightChars="0"/>
              <w:jc w:val="center"/>
              <w:rPr>
                <w:rFonts w:hint="default"/>
                <w:spacing w:val="-4"/>
                <w:vertAlign w:val="baseline"/>
                <w:lang w:val="en-US" w:eastAsia="zh-CN"/>
              </w:rPr>
            </w:pPr>
            <w:r>
              <w:rPr>
                <w:rFonts w:hint="eastAsia"/>
                <w:spacing w:val="-4"/>
                <w:vertAlign w:val="baseline"/>
                <w:lang w:val="en-US" w:eastAsia="zh-CN"/>
              </w:rPr>
              <w:t>总计（元）</w:t>
            </w:r>
          </w:p>
        </w:tc>
        <w:tc>
          <w:tcPr>
            <w:tcW w:w="3125" w:type="dxa"/>
            <w:noWrap w:val="0"/>
            <w:vAlign w:val="center"/>
          </w:tcPr>
          <w:p>
            <w:pPr>
              <w:pStyle w:val="7"/>
              <w:spacing w:before="182" w:line="352" w:lineRule="auto"/>
              <w:ind w:right="61"/>
              <w:rPr>
                <w:rFonts w:hint="eastAsia"/>
                <w:spacing w:val="-3"/>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0" w:type="dxa"/>
            <w:gridSpan w:val="6"/>
            <w:noWrap w:val="0"/>
            <w:vAlign w:val="center"/>
          </w:tcPr>
          <w:p>
            <w:pPr>
              <w:pStyle w:val="7"/>
              <w:spacing w:before="182" w:line="352" w:lineRule="auto"/>
              <w:ind w:right="61"/>
              <w:jc w:val="left"/>
              <w:rPr>
                <w:rFonts w:hint="eastAsia"/>
                <w:spacing w:val="-3"/>
                <w:highlight w:val="none"/>
                <w:lang w:val="en-US" w:eastAsia="zh-CN"/>
              </w:rPr>
            </w:pPr>
            <w:r>
              <w:rPr>
                <w:rFonts w:hint="eastAsia"/>
                <w:spacing w:val="-4"/>
                <w:vertAlign w:val="baseline"/>
                <w:lang w:val="en-US" w:eastAsia="zh-CN"/>
              </w:rPr>
              <w:t>备注：</w:t>
            </w:r>
            <w:r>
              <w:rPr>
                <w:rFonts w:hint="eastAsia"/>
                <w:spacing w:val="-4"/>
                <w:vertAlign w:val="baseline"/>
                <w:lang w:val="en-US" w:eastAsia="zh-CN"/>
              </w:rPr>
              <w:br w:type="textWrapping"/>
            </w:r>
            <w:r>
              <w:rPr>
                <w:rFonts w:hint="eastAsia"/>
                <w:spacing w:val="-4"/>
                <w:vertAlign w:val="baseline"/>
                <w:lang w:val="en-US" w:eastAsia="zh-CN"/>
              </w:rPr>
              <w:t>1、请开具增值税专用发票，并标注开票税率（）%；</w:t>
            </w:r>
            <w:r>
              <w:rPr>
                <w:rFonts w:hint="eastAsia"/>
                <w:spacing w:val="-4"/>
                <w:vertAlign w:val="baseline"/>
                <w:lang w:val="en-US" w:eastAsia="zh-CN"/>
              </w:rPr>
              <w:br w:type="textWrapping"/>
            </w:r>
            <w:r>
              <w:rPr>
                <w:rFonts w:hint="eastAsia"/>
                <w:spacing w:val="-4"/>
                <w:vertAlign w:val="baseline"/>
                <w:lang w:val="en-US" w:eastAsia="zh-CN"/>
              </w:rPr>
              <w:t>2、报价包含运输、安装、施工、辅材、质保等费用；</w:t>
            </w:r>
            <w:r>
              <w:rPr>
                <w:rFonts w:hint="eastAsia"/>
                <w:spacing w:val="-4"/>
                <w:vertAlign w:val="baseline"/>
                <w:lang w:val="en-US" w:eastAsia="zh-CN"/>
              </w:rPr>
              <w:br w:type="textWrapping"/>
            </w:r>
            <w:r>
              <w:rPr>
                <w:rFonts w:hint="eastAsia"/>
                <w:spacing w:val="-4"/>
                <w:vertAlign w:val="baseline"/>
                <w:lang w:val="en-US" w:eastAsia="zh-CN"/>
              </w:rPr>
              <w:t>3、现场勘察联系人：齐工13866763586</w:t>
            </w:r>
            <w:r>
              <w:rPr>
                <w:rFonts w:hint="eastAsia"/>
                <w:spacing w:val="-4"/>
                <w:vertAlign w:val="baseline"/>
                <w:lang w:val="en-US" w:eastAsia="zh-CN"/>
              </w:rPr>
              <w:t>。</w:t>
            </w:r>
            <w:bookmarkStart w:id="0" w:name="_GoBack"/>
            <w:bookmarkEnd w:id="0"/>
            <w:r>
              <w:rPr>
                <w:rFonts w:hint="eastAsia"/>
                <w:spacing w:val="-4"/>
                <w:vertAlign w:val="baseline"/>
                <w:lang w:val="en-US" w:eastAsia="zh-CN"/>
              </w:rPr>
              <w:t xml:space="preserve">                                                                                    报价单位（盖章）：                           联系方式：  </w:t>
            </w:r>
          </w:p>
        </w:tc>
      </w:tr>
    </w:tbl>
    <w:p>
      <w:pPr>
        <w:rPr>
          <w:rFonts w:hint="default"/>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1" w:fontKey="{08EF3C7B-4665-45DC-90F5-5F1DC63F417E}"/>
  </w:font>
  <w:font w:name="方正小标宋简体">
    <w:panose1 w:val="03000509000000000000"/>
    <w:charset w:val="86"/>
    <w:family w:val="auto"/>
    <w:pitch w:val="default"/>
    <w:sig w:usb0="00000001" w:usb1="080E0000" w:usb2="00000000" w:usb3="00000000" w:csb0="00040000" w:csb1="00000000"/>
    <w:embedRegular r:id="rId2" w:fontKey="{5C7CDD4A-6ED0-41AF-ABC8-1835D6E4A924}"/>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0F5645"/>
    <w:rsid w:val="00121ABC"/>
    <w:rsid w:val="00142D1F"/>
    <w:rsid w:val="001837DF"/>
    <w:rsid w:val="002134B9"/>
    <w:rsid w:val="00262610"/>
    <w:rsid w:val="00364B69"/>
    <w:rsid w:val="004A365B"/>
    <w:rsid w:val="004B5C5D"/>
    <w:rsid w:val="004F091D"/>
    <w:rsid w:val="006A48CE"/>
    <w:rsid w:val="00750DFE"/>
    <w:rsid w:val="00805AAB"/>
    <w:rsid w:val="008C32F5"/>
    <w:rsid w:val="00BC364E"/>
    <w:rsid w:val="00CE337E"/>
    <w:rsid w:val="00CF0389"/>
    <w:rsid w:val="00D06D08"/>
    <w:rsid w:val="00E2644A"/>
    <w:rsid w:val="00E60556"/>
    <w:rsid w:val="015D0D5E"/>
    <w:rsid w:val="01CC35CF"/>
    <w:rsid w:val="01F239F3"/>
    <w:rsid w:val="022E6FD2"/>
    <w:rsid w:val="029C4700"/>
    <w:rsid w:val="03394EB3"/>
    <w:rsid w:val="043859E9"/>
    <w:rsid w:val="04B70785"/>
    <w:rsid w:val="04DC4690"/>
    <w:rsid w:val="050A080F"/>
    <w:rsid w:val="05364F30"/>
    <w:rsid w:val="05A01219"/>
    <w:rsid w:val="06687DD8"/>
    <w:rsid w:val="067B57E2"/>
    <w:rsid w:val="07296214"/>
    <w:rsid w:val="07391925"/>
    <w:rsid w:val="078E7D76"/>
    <w:rsid w:val="07A86AAB"/>
    <w:rsid w:val="07C6669D"/>
    <w:rsid w:val="08123F24"/>
    <w:rsid w:val="086C7AD9"/>
    <w:rsid w:val="09382467"/>
    <w:rsid w:val="095A61AF"/>
    <w:rsid w:val="09CD0A4B"/>
    <w:rsid w:val="0A7D421F"/>
    <w:rsid w:val="0A8C4462"/>
    <w:rsid w:val="0AB72D32"/>
    <w:rsid w:val="0AF618DB"/>
    <w:rsid w:val="0BC913D8"/>
    <w:rsid w:val="0C1827B9"/>
    <w:rsid w:val="0C297D00"/>
    <w:rsid w:val="0C5B0590"/>
    <w:rsid w:val="0CC775E0"/>
    <w:rsid w:val="0CF14001"/>
    <w:rsid w:val="0D036E8E"/>
    <w:rsid w:val="0DF5231E"/>
    <w:rsid w:val="0F712489"/>
    <w:rsid w:val="0FED2F8F"/>
    <w:rsid w:val="1017327F"/>
    <w:rsid w:val="101E5B5C"/>
    <w:rsid w:val="106C1290"/>
    <w:rsid w:val="10857989"/>
    <w:rsid w:val="113A4E32"/>
    <w:rsid w:val="115E0C9F"/>
    <w:rsid w:val="116A39C2"/>
    <w:rsid w:val="123A29F6"/>
    <w:rsid w:val="142671CA"/>
    <w:rsid w:val="143622C9"/>
    <w:rsid w:val="14AD601D"/>
    <w:rsid w:val="14AD74AF"/>
    <w:rsid w:val="14E20708"/>
    <w:rsid w:val="154F67B8"/>
    <w:rsid w:val="15792DB8"/>
    <w:rsid w:val="15D123C9"/>
    <w:rsid w:val="15F64E85"/>
    <w:rsid w:val="16612C47"/>
    <w:rsid w:val="16D76A65"/>
    <w:rsid w:val="17A56C6F"/>
    <w:rsid w:val="182C43A0"/>
    <w:rsid w:val="1968609A"/>
    <w:rsid w:val="197F20CD"/>
    <w:rsid w:val="1A163D48"/>
    <w:rsid w:val="1A165AF6"/>
    <w:rsid w:val="1AB4549F"/>
    <w:rsid w:val="1B7232A5"/>
    <w:rsid w:val="1B732509"/>
    <w:rsid w:val="1C387EE3"/>
    <w:rsid w:val="1D900790"/>
    <w:rsid w:val="1D9531D6"/>
    <w:rsid w:val="1DA43419"/>
    <w:rsid w:val="1DD261D8"/>
    <w:rsid w:val="1E994128"/>
    <w:rsid w:val="1EA70084"/>
    <w:rsid w:val="1F106FB8"/>
    <w:rsid w:val="1F1A3993"/>
    <w:rsid w:val="1F6B0692"/>
    <w:rsid w:val="1F721A21"/>
    <w:rsid w:val="1FC92B06"/>
    <w:rsid w:val="1FF57F5C"/>
    <w:rsid w:val="21D73DBD"/>
    <w:rsid w:val="21DF4B45"/>
    <w:rsid w:val="22132138"/>
    <w:rsid w:val="224602F1"/>
    <w:rsid w:val="225136E8"/>
    <w:rsid w:val="22C34341"/>
    <w:rsid w:val="22FC1C17"/>
    <w:rsid w:val="24303B26"/>
    <w:rsid w:val="243C2F07"/>
    <w:rsid w:val="247753E3"/>
    <w:rsid w:val="250B47F3"/>
    <w:rsid w:val="25BC425B"/>
    <w:rsid w:val="268564DD"/>
    <w:rsid w:val="27765E26"/>
    <w:rsid w:val="287311B0"/>
    <w:rsid w:val="289B707E"/>
    <w:rsid w:val="29303EC2"/>
    <w:rsid w:val="295D104C"/>
    <w:rsid w:val="298D2857"/>
    <w:rsid w:val="29AC2209"/>
    <w:rsid w:val="29AF561F"/>
    <w:rsid w:val="2A077209"/>
    <w:rsid w:val="2A755803"/>
    <w:rsid w:val="2AD27987"/>
    <w:rsid w:val="2AE01F34"/>
    <w:rsid w:val="2AF174DE"/>
    <w:rsid w:val="2B342280"/>
    <w:rsid w:val="2B7C3927"/>
    <w:rsid w:val="2BA81518"/>
    <w:rsid w:val="2C0204B3"/>
    <w:rsid w:val="2C536736"/>
    <w:rsid w:val="2C8A6DAD"/>
    <w:rsid w:val="2CD71115"/>
    <w:rsid w:val="2CE81574"/>
    <w:rsid w:val="2D6F57F1"/>
    <w:rsid w:val="2D8748E9"/>
    <w:rsid w:val="2DD37B2E"/>
    <w:rsid w:val="2FA71273"/>
    <w:rsid w:val="300A3C19"/>
    <w:rsid w:val="30AB13DB"/>
    <w:rsid w:val="30ED1751"/>
    <w:rsid w:val="313F44D5"/>
    <w:rsid w:val="315D146E"/>
    <w:rsid w:val="31F167D5"/>
    <w:rsid w:val="32364B30"/>
    <w:rsid w:val="32565317"/>
    <w:rsid w:val="32C97752"/>
    <w:rsid w:val="32DE7A2F"/>
    <w:rsid w:val="333746BC"/>
    <w:rsid w:val="34FA73CA"/>
    <w:rsid w:val="35260FC4"/>
    <w:rsid w:val="352B64A2"/>
    <w:rsid w:val="35935DF5"/>
    <w:rsid w:val="366F230E"/>
    <w:rsid w:val="36A06A1C"/>
    <w:rsid w:val="37E1109A"/>
    <w:rsid w:val="380F3E59"/>
    <w:rsid w:val="38131DD5"/>
    <w:rsid w:val="38613F89"/>
    <w:rsid w:val="38E86458"/>
    <w:rsid w:val="392C4C45"/>
    <w:rsid w:val="394972BB"/>
    <w:rsid w:val="396C0E37"/>
    <w:rsid w:val="39CC5933"/>
    <w:rsid w:val="3A2D6818"/>
    <w:rsid w:val="3A4A713E"/>
    <w:rsid w:val="3AC436E5"/>
    <w:rsid w:val="3AD63800"/>
    <w:rsid w:val="3B201ED9"/>
    <w:rsid w:val="3B274932"/>
    <w:rsid w:val="3CC05FFD"/>
    <w:rsid w:val="3CCD108D"/>
    <w:rsid w:val="3D0870C9"/>
    <w:rsid w:val="3D4B0B2C"/>
    <w:rsid w:val="3D826E7B"/>
    <w:rsid w:val="3DB37034"/>
    <w:rsid w:val="3EA03A5D"/>
    <w:rsid w:val="3EB749F8"/>
    <w:rsid w:val="3F7E7ECC"/>
    <w:rsid w:val="3F7F7B16"/>
    <w:rsid w:val="3FF50BC7"/>
    <w:rsid w:val="40295CD4"/>
    <w:rsid w:val="40B05AAD"/>
    <w:rsid w:val="415C79E3"/>
    <w:rsid w:val="415F0D99"/>
    <w:rsid w:val="41720FB5"/>
    <w:rsid w:val="41735459"/>
    <w:rsid w:val="41831414"/>
    <w:rsid w:val="41900320"/>
    <w:rsid w:val="419B49AF"/>
    <w:rsid w:val="41C757A4"/>
    <w:rsid w:val="4208598F"/>
    <w:rsid w:val="4286740D"/>
    <w:rsid w:val="429F5DD9"/>
    <w:rsid w:val="43144A19"/>
    <w:rsid w:val="43612911"/>
    <w:rsid w:val="436332AB"/>
    <w:rsid w:val="438D20D6"/>
    <w:rsid w:val="43E932DE"/>
    <w:rsid w:val="4561670A"/>
    <w:rsid w:val="45D97854"/>
    <w:rsid w:val="45EC57D9"/>
    <w:rsid w:val="462211FB"/>
    <w:rsid w:val="469D1BE4"/>
    <w:rsid w:val="46A93519"/>
    <w:rsid w:val="46D94EA1"/>
    <w:rsid w:val="472965B9"/>
    <w:rsid w:val="47864368"/>
    <w:rsid w:val="47CF04EC"/>
    <w:rsid w:val="48647785"/>
    <w:rsid w:val="48B22A97"/>
    <w:rsid w:val="48BB76E5"/>
    <w:rsid w:val="491E2A22"/>
    <w:rsid w:val="495135A4"/>
    <w:rsid w:val="4A38723F"/>
    <w:rsid w:val="4A5A72B2"/>
    <w:rsid w:val="4ABB1C1E"/>
    <w:rsid w:val="4ABB259D"/>
    <w:rsid w:val="4B6B0F4E"/>
    <w:rsid w:val="4B885FB2"/>
    <w:rsid w:val="4C465518"/>
    <w:rsid w:val="4C4A14AC"/>
    <w:rsid w:val="4C803C02"/>
    <w:rsid w:val="4D0C7479"/>
    <w:rsid w:val="4DA11074"/>
    <w:rsid w:val="4DB56DF9"/>
    <w:rsid w:val="4E685C19"/>
    <w:rsid w:val="4EDB3281"/>
    <w:rsid w:val="4FF0236A"/>
    <w:rsid w:val="52302403"/>
    <w:rsid w:val="5302488E"/>
    <w:rsid w:val="54581FF8"/>
    <w:rsid w:val="547C241E"/>
    <w:rsid w:val="548D462B"/>
    <w:rsid w:val="54B716A8"/>
    <w:rsid w:val="54F16968"/>
    <w:rsid w:val="54F75F49"/>
    <w:rsid w:val="55217F29"/>
    <w:rsid w:val="552E01B7"/>
    <w:rsid w:val="554A7E27"/>
    <w:rsid w:val="560A13AC"/>
    <w:rsid w:val="56116B96"/>
    <w:rsid w:val="565F3DA6"/>
    <w:rsid w:val="56D5543B"/>
    <w:rsid w:val="56DC6A21"/>
    <w:rsid w:val="57435475"/>
    <w:rsid w:val="57F624E8"/>
    <w:rsid w:val="58E6430A"/>
    <w:rsid w:val="58F72073"/>
    <w:rsid w:val="59183D6D"/>
    <w:rsid w:val="59610D99"/>
    <w:rsid w:val="5A00764E"/>
    <w:rsid w:val="5AA1540C"/>
    <w:rsid w:val="5B743E4F"/>
    <w:rsid w:val="5BB972C3"/>
    <w:rsid w:val="5C427D95"/>
    <w:rsid w:val="5CB36BF9"/>
    <w:rsid w:val="5CF1327E"/>
    <w:rsid w:val="5CFA3A2A"/>
    <w:rsid w:val="5D465377"/>
    <w:rsid w:val="5E253C4D"/>
    <w:rsid w:val="5E4A0AAA"/>
    <w:rsid w:val="5EA3628A"/>
    <w:rsid w:val="5F8447EE"/>
    <w:rsid w:val="60002155"/>
    <w:rsid w:val="601259E5"/>
    <w:rsid w:val="6088514E"/>
    <w:rsid w:val="60E86DB4"/>
    <w:rsid w:val="61202383"/>
    <w:rsid w:val="61454D83"/>
    <w:rsid w:val="61686204"/>
    <w:rsid w:val="61C13B66"/>
    <w:rsid w:val="62226353"/>
    <w:rsid w:val="625B18C5"/>
    <w:rsid w:val="62B53F00"/>
    <w:rsid w:val="63091321"/>
    <w:rsid w:val="63185A08"/>
    <w:rsid w:val="638201EF"/>
    <w:rsid w:val="63D74F7B"/>
    <w:rsid w:val="63F7561D"/>
    <w:rsid w:val="64A01811"/>
    <w:rsid w:val="64B4350F"/>
    <w:rsid w:val="64BE01BC"/>
    <w:rsid w:val="64E40633"/>
    <w:rsid w:val="64E705DF"/>
    <w:rsid w:val="64EA7F01"/>
    <w:rsid w:val="64FB113D"/>
    <w:rsid w:val="6543001E"/>
    <w:rsid w:val="65FB3F19"/>
    <w:rsid w:val="66036D61"/>
    <w:rsid w:val="661E50E3"/>
    <w:rsid w:val="667E0075"/>
    <w:rsid w:val="66974E96"/>
    <w:rsid w:val="66C535CD"/>
    <w:rsid w:val="66C5386F"/>
    <w:rsid w:val="67191D4F"/>
    <w:rsid w:val="67B6134C"/>
    <w:rsid w:val="68C96BD9"/>
    <w:rsid w:val="68D20407"/>
    <w:rsid w:val="6A195F33"/>
    <w:rsid w:val="6A537326"/>
    <w:rsid w:val="6AEC1C54"/>
    <w:rsid w:val="6AF208ED"/>
    <w:rsid w:val="6B975FD0"/>
    <w:rsid w:val="6BBA3B00"/>
    <w:rsid w:val="6BE04BE9"/>
    <w:rsid w:val="6BF30DC0"/>
    <w:rsid w:val="6C173362"/>
    <w:rsid w:val="6C4E249B"/>
    <w:rsid w:val="6C6A2B47"/>
    <w:rsid w:val="6CC462B9"/>
    <w:rsid w:val="6CED5810"/>
    <w:rsid w:val="6D231231"/>
    <w:rsid w:val="6D8343C6"/>
    <w:rsid w:val="6DE94229"/>
    <w:rsid w:val="6EFE77F2"/>
    <w:rsid w:val="6F19466E"/>
    <w:rsid w:val="6FFB0243"/>
    <w:rsid w:val="70C63CA2"/>
    <w:rsid w:val="72062ED0"/>
    <w:rsid w:val="732950C8"/>
    <w:rsid w:val="73D2575F"/>
    <w:rsid w:val="766052A4"/>
    <w:rsid w:val="76660432"/>
    <w:rsid w:val="766B0078"/>
    <w:rsid w:val="76A567E6"/>
    <w:rsid w:val="76AF7FDA"/>
    <w:rsid w:val="76C764FE"/>
    <w:rsid w:val="77DC7107"/>
    <w:rsid w:val="77FE2FC7"/>
    <w:rsid w:val="78AC10B2"/>
    <w:rsid w:val="78C338C8"/>
    <w:rsid w:val="79237F98"/>
    <w:rsid w:val="79A30980"/>
    <w:rsid w:val="7A8552D9"/>
    <w:rsid w:val="7A9B29A0"/>
    <w:rsid w:val="7ACD6C80"/>
    <w:rsid w:val="7AF97A75"/>
    <w:rsid w:val="7B63573C"/>
    <w:rsid w:val="7B821819"/>
    <w:rsid w:val="7C4D40ED"/>
    <w:rsid w:val="7E1B0BA4"/>
    <w:rsid w:val="7E23340C"/>
    <w:rsid w:val="7E2412AD"/>
    <w:rsid w:val="7E246996"/>
    <w:rsid w:val="7E6416AA"/>
    <w:rsid w:val="7EA321D2"/>
    <w:rsid w:val="7F2A46A1"/>
    <w:rsid w:val="7F5D3AE3"/>
    <w:rsid w:val="7F967F89"/>
    <w:rsid w:val="7FE92626"/>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2">
    <w:name w:val="heading 3"/>
    <w:basedOn w:val="3"/>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semiHidden/>
    <w:qFormat/>
    <w:uiPriority w:val="0"/>
    <w:rPr>
      <w:rFonts w:ascii="宋体" w:hAnsi="宋体" w:eastAsia="宋体" w:cs="宋体"/>
      <w:sz w:val="24"/>
      <w:szCs w:val="24"/>
    </w:r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8"/>
    <w:unhideWhenUsed/>
    <w:qFormat/>
    <w:uiPriority w:val="99"/>
    <w:pPr>
      <w:ind w:firstLine="420" w:firstLineChars="200"/>
    </w:pPr>
    <w:rPr>
      <w:rFonts w:ascii="Times New Roman" w:eastAsia="宋体"/>
    </w:rPr>
  </w:style>
  <w:style w:type="table" w:styleId="14">
    <w:name w:val="Table Grid"/>
    <w:basedOn w:val="1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666666"/>
      <w:u w:val="none"/>
    </w:rPr>
  </w:style>
  <w:style w:type="character" w:styleId="18">
    <w:name w:val="Emphasis"/>
    <w:basedOn w:val="15"/>
    <w:qFormat/>
    <w:uiPriority w:val="20"/>
  </w:style>
  <w:style w:type="character" w:styleId="19">
    <w:name w:val="HTML Definition"/>
    <w:basedOn w:val="15"/>
    <w:autoRedefine/>
    <w:semiHidden/>
    <w:unhideWhenUsed/>
    <w:qFormat/>
    <w:uiPriority w:val="99"/>
    <w:rPr>
      <w:i/>
      <w:iCs/>
    </w:rPr>
  </w:style>
  <w:style w:type="character" w:styleId="20">
    <w:name w:val="Hyperlink"/>
    <w:basedOn w:val="15"/>
    <w:semiHidden/>
    <w:unhideWhenUsed/>
    <w:qFormat/>
    <w:uiPriority w:val="99"/>
    <w:rPr>
      <w:color w:val="666666"/>
      <w:u w:val="none"/>
    </w:rPr>
  </w:style>
  <w:style w:type="character" w:styleId="21">
    <w:name w:val="HTML Code"/>
    <w:basedOn w:val="15"/>
    <w:semiHidden/>
    <w:unhideWhenUsed/>
    <w:qFormat/>
    <w:uiPriority w:val="99"/>
    <w:rPr>
      <w:rFonts w:hint="default" w:ascii="Consolas" w:hAnsi="Consolas" w:eastAsia="Consolas" w:cs="Consolas"/>
      <w:color w:val="C7254E"/>
      <w:sz w:val="21"/>
      <w:szCs w:val="21"/>
      <w:shd w:val="clear" w:fill="F9F2F4"/>
    </w:rPr>
  </w:style>
  <w:style w:type="character" w:styleId="22">
    <w:name w:val="HTML Cite"/>
    <w:basedOn w:val="15"/>
    <w:semiHidden/>
    <w:unhideWhenUsed/>
    <w:qFormat/>
    <w:uiPriority w:val="99"/>
  </w:style>
  <w:style w:type="character" w:styleId="23">
    <w:name w:val="HTML Keyboard"/>
    <w:basedOn w:val="15"/>
    <w:semiHidden/>
    <w:unhideWhenUsed/>
    <w:qFormat/>
    <w:uiPriority w:val="99"/>
    <w:rPr>
      <w:rFonts w:hint="default" w:ascii="Consolas" w:hAnsi="Consolas" w:eastAsia="Consolas" w:cs="Consolas"/>
      <w:color w:val="FFFFFF"/>
      <w:sz w:val="21"/>
      <w:szCs w:val="21"/>
      <w:shd w:val="clear" w:fill="333333"/>
    </w:rPr>
  </w:style>
  <w:style w:type="character" w:styleId="24">
    <w:name w:val="HTML Sample"/>
    <w:basedOn w:val="15"/>
    <w:semiHidden/>
    <w:unhideWhenUsed/>
    <w:qFormat/>
    <w:uiPriority w:val="99"/>
    <w:rPr>
      <w:rFonts w:ascii="Consolas" w:hAnsi="Consolas" w:eastAsia="Consolas" w:cs="Consolas"/>
      <w:sz w:val="21"/>
      <w:szCs w:val="21"/>
    </w:rPr>
  </w:style>
  <w:style w:type="paragraph" w:customStyle="1" w:styleId="2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6">
    <w:name w:val="newpure-pink"/>
    <w:basedOn w:val="15"/>
    <w:qFormat/>
    <w:uiPriority w:val="0"/>
  </w:style>
  <w:style w:type="character" w:customStyle="1" w:styleId="27">
    <w:name w:val="default-skyblue"/>
    <w:basedOn w:val="15"/>
    <w:qFormat/>
    <w:uiPriority w:val="0"/>
  </w:style>
  <w:style w:type="character" w:customStyle="1" w:styleId="28">
    <w:name w:val="newpure-maroon"/>
    <w:basedOn w:val="15"/>
    <w:qFormat/>
    <w:uiPriority w:val="0"/>
  </w:style>
  <w:style w:type="character" w:customStyle="1" w:styleId="29">
    <w:name w:val="grey"/>
    <w:basedOn w:val="15"/>
    <w:qFormat/>
    <w:uiPriority w:val="0"/>
    <w:rPr>
      <w:color w:val="999999"/>
    </w:rPr>
  </w:style>
  <w:style w:type="character" w:customStyle="1" w:styleId="30">
    <w:name w:val="grey1"/>
    <w:basedOn w:val="15"/>
    <w:autoRedefine/>
    <w:qFormat/>
    <w:uiPriority w:val="0"/>
    <w:rPr>
      <w:color w:val="999999"/>
    </w:rPr>
  </w:style>
  <w:style w:type="character" w:customStyle="1" w:styleId="31">
    <w:name w:val="s-point"/>
    <w:basedOn w:val="15"/>
    <w:autoRedefine/>
    <w:qFormat/>
    <w:uiPriority w:val="0"/>
    <w:rPr>
      <w:sz w:val="0"/>
      <w:szCs w:val="0"/>
      <w:bdr w:val="dashed" w:color="auto" w:sz="48" w:space="0"/>
    </w:rPr>
  </w:style>
  <w:style w:type="character" w:customStyle="1" w:styleId="32">
    <w:name w:val="s-point1"/>
    <w:basedOn w:val="15"/>
    <w:autoRedefine/>
    <w:qFormat/>
    <w:uiPriority w:val="0"/>
  </w:style>
  <w:style w:type="character" w:customStyle="1" w:styleId="33">
    <w:name w:val="s-point2"/>
    <w:basedOn w:val="15"/>
    <w:qFormat/>
    <w:uiPriority w:val="0"/>
    <w:rPr>
      <w:sz w:val="0"/>
      <w:szCs w:val="0"/>
      <w:bdr w:val="dashed" w:color="auto" w:sz="48" w:space="0"/>
    </w:rPr>
  </w:style>
  <w:style w:type="character" w:customStyle="1" w:styleId="34">
    <w:name w:val="default-cyan"/>
    <w:basedOn w:val="15"/>
    <w:qFormat/>
    <w:uiPriority w:val="0"/>
  </w:style>
  <w:style w:type="character" w:customStyle="1" w:styleId="35">
    <w:name w:val="line-skyblue"/>
    <w:basedOn w:val="15"/>
    <w:qFormat/>
    <w:uiPriority w:val="0"/>
  </w:style>
  <w:style w:type="character" w:customStyle="1" w:styleId="36">
    <w:name w:val="width-orange"/>
    <w:basedOn w:val="15"/>
    <w:autoRedefine/>
    <w:qFormat/>
    <w:uiPriority w:val="0"/>
  </w:style>
  <w:style w:type="character" w:customStyle="1" w:styleId="37">
    <w:name w:val="line-pink"/>
    <w:basedOn w:val="15"/>
    <w:autoRedefine/>
    <w:qFormat/>
    <w:uiPriority w:val="0"/>
  </w:style>
  <w:style w:type="character" w:customStyle="1" w:styleId="38">
    <w:name w:val="q-meta-author"/>
    <w:basedOn w:val="15"/>
    <w:autoRedefine/>
    <w:qFormat/>
    <w:uiPriority w:val="0"/>
    <w:rPr>
      <w:color w:val="BA2E2E"/>
    </w:rPr>
  </w:style>
  <w:style w:type="character" w:customStyle="1" w:styleId="39">
    <w:name w:val="q-meta-author1"/>
    <w:basedOn w:val="15"/>
    <w:qFormat/>
    <w:uiPriority w:val="0"/>
    <w:rPr>
      <w:color w:val="4799E7"/>
    </w:rPr>
  </w:style>
  <w:style w:type="character" w:customStyle="1" w:styleId="40">
    <w:name w:val="q-meta-author2"/>
    <w:basedOn w:val="15"/>
    <w:autoRedefine/>
    <w:qFormat/>
    <w:uiPriority w:val="0"/>
    <w:rPr>
      <w:color w:val="393D49"/>
    </w:rPr>
  </w:style>
  <w:style w:type="character" w:customStyle="1" w:styleId="41">
    <w:name w:val="q-meta-author3"/>
    <w:basedOn w:val="15"/>
    <w:autoRedefine/>
    <w:qFormat/>
    <w:uiPriority w:val="0"/>
    <w:rPr>
      <w:color w:val="ED6D00"/>
    </w:rPr>
  </w:style>
  <w:style w:type="character" w:customStyle="1" w:styleId="42">
    <w:name w:val="q-meta-author4"/>
    <w:basedOn w:val="15"/>
    <w:autoRedefine/>
    <w:qFormat/>
    <w:uiPriority w:val="0"/>
    <w:rPr>
      <w:color w:val="55AAA3"/>
    </w:rPr>
  </w:style>
  <w:style w:type="character" w:customStyle="1" w:styleId="43">
    <w:name w:val="width-lightgreen"/>
    <w:basedOn w:val="15"/>
    <w:autoRedefine/>
    <w:qFormat/>
    <w:uiPriority w:val="0"/>
  </w:style>
  <w:style w:type="character" w:customStyle="1" w:styleId="44">
    <w:name w:val="width-darkred"/>
    <w:basedOn w:val="15"/>
    <w:autoRedefine/>
    <w:qFormat/>
    <w:uiPriority w:val="0"/>
  </w:style>
  <w:style w:type="character" w:customStyle="1" w:styleId="45">
    <w:name w:val="newpure-blue"/>
    <w:basedOn w:val="15"/>
    <w:autoRedefine/>
    <w:qFormat/>
    <w:uiPriority w:val="0"/>
  </w:style>
  <w:style w:type="character" w:customStyle="1" w:styleId="46">
    <w:name w:val="button"/>
    <w:basedOn w:val="15"/>
    <w:qFormat/>
    <w:uiPriority w:val="0"/>
  </w:style>
  <w:style w:type="character" w:customStyle="1" w:styleId="47">
    <w:name w:val="button1"/>
    <w:basedOn w:val="15"/>
    <w:qFormat/>
    <w:uiPriority w:val="0"/>
  </w:style>
  <w:style w:type="character" w:customStyle="1" w:styleId="48">
    <w:name w:val="button2"/>
    <w:basedOn w:val="15"/>
    <w:qFormat/>
    <w:uiPriority w:val="0"/>
    <w:rPr>
      <w:rFonts w:hint="default" w:ascii="Fawanhu" w:hAnsi="Fawanhu" w:eastAsia="Fawanhu" w:cs="Fawanhu"/>
      <w:sz w:val="24"/>
      <w:szCs w:val="24"/>
      <w:bdr w:val="single" w:color="auto" w:sz="2" w:space="0"/>
    </w:rPr>
  </w:style>
  <w:style w:type="character" w:customStyle="1" w:styleId="49">
    <w:name w:val="button3"/>
    <w:basedOn w:val="15"/>
    <w:qFormat/>
    <w:uiPriority w:val="0"/>
    <w:rPr>
      <w:color w:val="777575"/>
    </w:rPr>
  </w:style>
  <w:style w:type="character" w:customStyle="1" w:styleId="50">
    <w:name w:val="button4"/>
    <w:basedOn w:val="15"/>
    <w:qFormat/>
    <w:uiPriority w:val="0"/>
  </w:style>
  <w:style w:type="character" w:customStyle="1" w:styleId="51">
    <w:name w:val="button5"/>
    <w:basedOn w:val="15"/>
    <w:qFormat/>
    <w:uiPriority w:val="0"/>
    <w:rPr>
      <w:rFonts w:hint="default" w:ascii="Fawanhu" w:hAnsi="Fawanhu" w:eastAsia="Fawanhu" w:cs="Fawanhu"/>
      <w:sz w:val="24"/>
      <w:szCs w:val="24"/>
      <w:bdr w:val="single" w:color="auto" w:sz="2" w:space="0"/>
    </w:rPr>
  </w:style>
  <w:style w:type="character" w:customStyle="1" w:styleId="52">
    <w:name w:val="button6"/>
    <w:basedOn w:val="15"/>
    <w:qFormat/>
    <w:uiPriority w:val="0"/>
    <w:rPr>
      <w:sz w:val="18"/>
      <w:szCs w:val="18"/>
    </w:rPr>
  </w:style>
  <w:style w:type="character" w:customStyle="1" w:styleId="53">
    <w:name w:val="button7"/>
    <w:basedOn w:val="15"/>
    <w:autoRedefine/>
    <w:qFormat/>
    <w:uiPriority w:val="0"/>
  </w:style>
  <w:style w:type="character" w:customStyle="1" w:styleId="54">
    <w:name w:val="button8"/>
    <w:basedOn w:val="15"/>
    <w:autoRedefine/>
    <w:qFormat/>
    <w:uiPriority w:val="0"/>
  </w:style>
  <w:style w:type="character" w:customStyle="1" w:styleId="55">
    <w:name w:val="button9"/>
    <w:basedOn w:val="15"/>
    <w:autoRedefine/>
    <w:qFormat/>
    <w:uiPriority w:val="0"/>
    <w:rPr>
      <w:sz w:val="18"/>
      <w:szCs w:val="18"/>
    </w:rPr>
  </w:style>
  <w:style w:type="character" w:customStyle="1" w:styleId="56">
    <w:name w:val="button10"/>
    <w:basedOn w:val="15"/>
    <w:qFormat/>
    <w:uiPriority w:val="0"/>
  </w:style>
  <w:style w:type="character" w:customStyle="1" w:styleId="57">
    <w:name w:val="button11"/>
    <w:basedOn w:val="15"/>
    <w:qFormat/>
    <w:uiPriority w:val="0"/>
  </w:style>
  <w:style w:type="character" w:customStyle="1" w:styleId="58">
    <w:name w:val="button12"/>
    <w:basedOn w:val="15"/>
    <w:qFormat/>
    <w:uiPriority w:val="0"/>
    <w:rPr>
      <w:sz w:val="18"/>
      <w:szCs w:val="18"/>
    </w:rPr>
  </w:style>
  <w:style w:type="character" w:customStyle="1" w:styleId="59">
    <w:name w:val="button13"/>
    <w:basedOn w:val="15"/>
    <w:qFormat/>
    <w:uiPriority w:val="0"/>
  </w:style>
  <w:style w:type="character" w:customStyle="1" w:styleId="60">
    <w:name w:val="button14"/>
    <w:basedOn w:val="15"/>
    <w:qFormat/>
    <w:uiPriority w:val="0"/>
  </w:style>
  <w:style w:type="character" w:customStyle="1" w:styleId="61">
    <w:name w:val="width-seablue"/>
    <w:basedOn w:val="15"/>
    <w:qFormat/>
    <w:uiPriority w:val="0"/>
  </w:style>
  <w:style w:type="character" w:customStyle="1" w:styleId="62">
    <w:name w:val="newpure-darkblue"/>
    <w:basedOn w:val="15"/>
    <w:qFormat/>
    <w:uiPriority w:val="0"/>
  </w:style>
  <w:style w:type="character" w:customStyle="1" w:styleId="63">
    <w:name w:val="default-red"/>
    <w:basedOn w:val="15"/>
    <w:qFormat/>
    <w:uiPriority w:val="0"/>
  </w:style>
  <w:style w:type="character" w:customStyle="1" w:styleId="64">
    <w:name w:val="default-maroon"/>
    <w:basedOn w:val="15"/>
    <w:autoRedefine/>
    <w:qFormat/>
    <w:uiPriority w:val="0"/>
  </w:style>
  <w:style w:type="character" w:customStyle="1" w:styleId="65">
    <w:name w:val="hover144"/>
    <w:basedOn w:val="15"/>
    <w:qFormat/>
    <w:uiPriority w:val="0"/>
    <w:rPr>
      <w:sz w:val="21"/>
      <w:szCs w:val="21"/>
    </w:rPr>
  </w:style>
  <w:style w:type="character" w:customStyle="1" w:styleId="66">
    <w:name w:val="hover145"/>
    <w:basedOn w:val="15"/>
    <w:qFormat/>
    <w:uiPriority w:val="0"/>
    <w:rPr>
      <w:shd w:val="clear" w:fill="F3F3F3"/>
    </w:rPr>
  </w:style>
  <w:style w:type="character" w:customStyle="1" w:styleId="67">
    <w:name w:val="hover146"/>
    <w:basedOn w:val="15"/>
    <w:qFormat/>
    <w:uiPriority w:val="0"/>
    <w:rPr>
      <w:shd w:val="clear" w:fill="F3F3F3"/>
    </w:rPr>
  </w:style>
  <w:style w:type="character" w:customStyle="1" w:styleId="68">
    <w:name w:val="hover147"/>
    <w:basedOn w:val="15"/>
    <w:qFormat/>
    <w:uiPriority w:val="0"/>
    <w:rPr>
      <w:color w:val="BA2E2E"/>
    </w:rPr>
  </w:style>
  <w:style w:type="character" w:customStyle="1" w:styleId="69">
    <w:name w:val="hover148"/>
    <w:basedOn w:val="15"/>
    <w:qFormat/>
    <w:uiPriority w:val="0"/>
    <w:rPr>
      <w:color w:val="4799E7"/>
    </w:rPr>
  </w:style>
  <w:style w:type="character" w:customStyle="1" w:styleId="70">
    <w:name w:val="hover149"/>
    <w:basedOn w:val="15"/>
    <w:qFormat/>
    <w:uiPriority w:val="0"/>
    <w:rPr>
      <w:color w:val="393D49"/>
    </w:rPr>
  </w:style>
  <w:style w:type="character" w:customStyle="1" w:styleId="71">
    <w:name w:val="hover150"/>
    <w:basedOn w:val="15"/>
    <w:qFormat/>
    <w:uiPriority w:val="0"/>
    <w:rPr>
      <w:color w:val="ED6D00"/>
    </w:rPr>
  </w:style>
  <w:style w:type="character" w:customStyle="1" w:styleId="72">
    <w:name w:val="hover151"/>
    <w:basedOn w:val="15"/>
    <w:qFormat/>
    <w:uiPriority w:val="0"/>
    <w:rPr>
      <w:color w:val="55AAA3"/>
    </w:rPr>
  </w:style>
  <w:style w:type="character" w:customStyle="1" w:styleId="73">
    <w:name w:val="default-darkblue"/>
    <w:basedOn w:val="15"/>
    <w:qFormat/>
    <w:uiPriority w:val="0"/>
  </w:style>
  <w:style w:type="character" w:customStyle="1" w:styleId="74">
    <w:name w:val="switch"/>
    <w:basedOn w:val="15"/>
    <w:qFormat/>
    <w:uiPriority w:val="0"/>
    <w:rPr>
      <w:vanish/>
      <w:shd w:val="clear" w:fill="FFFFFF"/>
    </w:rPr>
  </w:style>
  <w:style w:type="character" w:customStyle="1" w:styleId="75">
    <w:name w:val="switch1"/>
    <w:basedOn w:val="15"/>
    <w:qFormat/>
    <w:uiPriority w:val="0"/>
    <w:rPr>
      <w:vanish/>
      <w:shd w:val="clear" w:fill="FFFFFF"/>
    </w:rPr>
  </w:style>
  <w:style w:type="character" w:customStyle="1" w:styleId="76">
    <w:name w:val="width-blue"/>
    <w:basedOn w:val="15"/>
    <w:autoRedefine/>
    <w:qFormat/>
    <w:uiPriority w:val="0"/>
  </w:style>
  <w:style w:type="character" w:customStyle="1" w:styleId="77">
    <w:name w:val="newpure-gray"/>
    <w:basedOn w:val="15"/>
    <w:qFormat/>
    <w:uiPriority w:val="0"/>
  </w:style>
  <w:style w:type="character" w:customStyle="1" w:styleId="78">
    <w:name w:val="line-cyan"/>
    <w:basedOn w:val="15"/>
    <w:qFormat/>
    <w:uiPriority w:val="0"/>
  </w:style>
  <w:style w:type="character" w:customStyle="1" w:styleId="79">
    <w:name w:val="wh-sys-warn-num"/>
    <w:basedOn w:val="15"/>
    <w:qFormat/>
    <w:uiPriority w:val="0"/>
  </w:style>
  <w:style w:type="character" w:customStyle="1" w:styleId="80">
    <w:name w:val="wh-sys-warn-num1"/>
    <w:basedOn w:val="15"/>
    <w:qFormat/>
    <w:uiPriority w:val="0"/>
  </w:style>
  <w:style w:type="character" w:customStyle="1" w:styleId="81">
    <w:name w:val="wh-sys-warn-num2"/>
    <w:basedOn w:val="15"/>
    <w:qFormat/>
    <w:uiPriority w:val="0"/>
  </w:style>
  <w:style w:type="character" w:customStyle="1" w:styleId="82">
    <w:name w:val="wh-sys-warn-num3"/>
    <w:basedOn w:val="15"/>
    <w:qFormat/>
    <w:uiPriority w:val="0"/>
  </w:style>
  <w:style w:type="character" w:customStyle="1" w:styleId="83">
    <w:name w:val="wh-sys-warn-num4"/>
    <w:basedOn w:val="15"/>
    <w:qFormat/>
    <w:uiPriority w:val="0"/>
  </w:style>
  <w:style w:type="character" w:customStyle="1" w:styleId="84">
    <w:name w:val="default-purple"/>
    <w:basedOn w:val="15"/>
    <w:qFormat/>
    <w:uiPriority w:val="0"/>
  </w:style>
  <w:style w:type="character" w:customStyle="1" w:styleId="85">
    <w:name w:val="default-green"/>
    <w:basedOn w:val="15"/>
    <w:qFormat/>
    <w:uiPriority w:val="0"/>
  </w:style>
  <w:style w:type="character" w:customStyle="1" w:styleId="86">
    <w:name w:val="width-pink"/>
    <w:basedOn w:val="15"/>
    <w:qFormat/>
    <w:uiPriority w:val="0"/>
  </w:style>
  <w:style w:type="character" w:customStyle="1" w:styleId="87">
    <w:name w:val="newpure-red"/>
    <w:basedOn w:val="15"/>
    <w:qFormat/>
    <w:uiPriority w:val="0"/>
  </w:style>
  <w:style w:type="character" w:customStyle="1" w:styleId="88">
    <w:name w:val="line-maroon"/>
    <w:basedOn w:val="15"/>
    <w:qFormat/>
    <w:uiPriority w:val="0"/>
  </w:style>
  <w:style w:type="character" w:customStyle="1" w:styleId="89">
    <w:name w:val="wh-portal-a-cursor"/>
    <w:basedOn w:val="15"/>
    <w:qFormat/>
    <w:uiPriority w:val="0"/>
  </w:style>
  <w:style w:type="character" w:customStyle="1" w:styleId="90">
    <w:name w:val="wh-portal-a-cursor1"/>
    <w:basedOn w:val="15"/>
    <w:qFormat/>
    <w:uiPriority w:val="0"/>
    <w:rPr>
      <w:color w:val="202020"/>
    </w:rPr>
  </w:style>
  <w:style w:type="character" w:customStyle="1" w:styleId="91">
    <w:name w:val="newpure-purple"/>
    <w:basedOn w:val="15"/>
    <w:qFormat/>
    <w:uiPriority w:val="0"/>
  </w:style>
  <w:style w:type="character" w:customStyle="1" w:styleId="92">
    <w:name w:val="default-indigo"/>
    <w:basedOn w:val="15"/>
    <w:qFormat/>
    <w:uiPriority w:val="0"/>
  </w:style>
  <w:style w:type="character" w:customStyle="1" w:styleId="93">
    <w:name w:val="default-brown"/>
    <w:basedOn w:val="15"/>
    <w:qFormat/>
    <w:uiPriority w:val="0"/>
  </w:style>
  <w:style w:type="character" w:customStyle="1" w:styleId="94">
    <w:name w:val="default-violet"/>
    <w:basedOn w:val="15"/>
    <w:qFormat/>
    <w:uiPriority w:val="0"/>
  </w:style>
  <w:style w:type="character" w:customStyle="1" w:styleId="95">
    <w:name w:val="line-blue"/>
    <w:basedOn w:val="15"/>
    <w:qFormat/>
    <w:uiPriority w:val="0"/>
  </w:style>
  <w:style w:type="character" w:customStyle="1" w:styleId="96">
    <w:name w:val="width-brown"/>
    <w:basedOn w:val="15"/>
    <w:qFormat/>
    <w:uiPriority w:val="0"/>
  </w:style>
  <w:style w:type="character" w:customStyle="1" w:styleId="97">
    <w:name w:val="line-green"/>
    <w:basedOn w:val="15"/>
    <w:qFormat/>
    <w:uiPriority w:val="0"/>
  </w:style>
  <w:style w:type="character" w:customStyle="1" w:styleId="98">
    <w:name w:val="width-skyblue"/>
    <w:basedOn w:val="15"/>
    <w:qFormat/>
    <w:uiPriority w:val="0"/>
  </w:style>
  <w:style w:type="character" w:customStyle="1" w:styleId="99">
    <w:name w:val="default-blue"/>
    <w:basedOn w:val="15"/>
    <w:qFormat/>
    <w:uiPriority w:val="0"/>
  </w:style>
  <w:style w:type="character" w:customStyle="1" w:styleId="100">
    <w:name w:val="newpure-brown"/>
    <w:basedOn w:val="15"/>
    <w:qFormat/>
    <w:uiPriority w:val="0"/>
  </w:style>
  <w:style w:type="character" w:customStyle="1" w:styleId="101">
    <w:name w:val="default-seablue"/>
    <w:basedOn w:val="15"/>
    <w:qFormat/>
    <w:uiPriority w:val="0"/>
  </w:style>
  <w:style w:type="character" w:customStyle="1" w:styleId="102">
    <w:name w:val="newpure-skyblue"/>
    <w:basedOn w:val="15"/>
    <w:qFormat/>
    <w:uiPriority w:val="0"/>
  </w:style>
  <w:style w:type="character" w:customStyle="1" w:styleId="103">
    <w:name w:val="default-gray"/>
    <w:basedOn w:val="15"/>
    <w:qFormat/>
    <w:uiPriority w:val="0"/>
  </w:style>
  <w:style w:type="character" w:customStyle="1" w:styleId="104">
    <w:name w:val="pagelist-total"/>
    <w:basedOn w:val="15"/>
    <w:qFormat/>
    <w:uiPriority w:val="0"/>
    <w:rPr>
      <w:color w:val="BA2E2E"/>
    </w:rPr>
  </w:style>
  <w:style w:type="character" w:customStyle="1" w:styleId="105">
    <w:name w:val="pagelist-total1"/>
    <w:basedOn w:val="15"/>
    <w:qFormat/>
    <w:uiPriority w:val="0"/>
    <w:rPr>
      <w:color w:val="4799E7"/>
    </w:rPr>
  </w:style>
  <w:style w:type="character" w:customStyle="1" w:styleId="106">
    <w:name w:val="pagelist-total2"/>
    <w:basedOn w:val="15"/>
    <w:qFormat/>
    <w:uiPriority w:val="0"/>
    <w:rPr>
      <w:color w:val="393D49"/>
    </w:rPr>
  </w:style>
  <w:style w:type="character" w:customStyle="1" w:styleId="107">
    <w:name w:val="pagelist-total3"/>
    <w:basedOn w:val="15"/>
    <w:qFormat/>
    <w:uiPriority w:val="0"/>
    <w:rPr>
      <w:color w:val="ED6D00"/>
    </w:rPr>
  </w:style>
  <w:style w:type="character" w:customStyle="1" w:styleId="108">
    <w:name w:val="pagelist-total4"/>
    <w:basedOn w:val="15"/>
    <w:qFormat/>
    <w:uiPriority w:val="0"/>
    <w:rPr>
      <w:color w:val="55AAA3"/>
    </w:rPr>
  </w:style>
  <w:style w:type="character" w:customStyle="1" w:styleId="109">
    <w:name w:val="line-indigo"/>
    <w:basedOn w:val="15"/>
    <w:qFormat/>
    <w:uiPriority w:val="0"/>
  </w:style>
  <w:style w:type="character" w:customStyle="1" w:styleId="110">
    <w:name w:val="newpure-lightgreen"/>
    <w:basedOn w:val="15"/>
    <w:qFormat/>
    <w:uiPriority w:val="0"/>
  </w:style>
  <w:style w:type="character" w:customStyle="1" w:styleId="111">
    <w:name w:val="line-seablue"/>
    <w:basedOn w:val="15"/>
    <w:qFormat/>
    <w:uiPriority w:val="0"/>
  </w:style>
  <w:style w:type="character" w:customStyle="1" w:styleId="112">
    <w:name w:val="line-gray"/>
    <w:basedOn w:val="15"/>
    <w:qFormat/>
    <w:uiPriority w:val="0"/>
  </w:style>
  <w:style w:type="character" w:customStyle="1" w:styleId="113">
    <w:name w:val="default-pink"/>
    <w:basedOn w:val="15"/>
    <w:qFormat/>
    <w:uiPriority w:val="0"/>
  </w:style>
  <w:style w:type="character" w:customStyle="1" w:styleId="114">
    <w:name w:val="layui-layer-tabnow"/>
    <w:basedOn w:val="15"/>
    <w:qFormat/>
    <w:uiPriority w:val="0"/>
    <w:rPr>
      <w:bdr w:val="single" w:color="CCCCCC" w:sz="6" w:space="0"/>
      <w:shd w:val="clear" w:fill="FFFFFF"/>
    </w:rPr>
  </w:style>
  <w:style w:type="character" w:customStyle="1" w:styleId="115">
    <w:name w:val="line-orange"/>
    <w:basedOn w:val="15"/>
    <w:qFormat/>
    <w:uiPriority w:val="0"/>
  </w:style>
  <w:style w:type="character" w:customStyle="1" w:styleId="116">
    <w:name w:val="width-green"/>
    <w:basedOn w:val="15"/>
    <w:qFormat/>
    <w:uiPriority w:val="0"/>
  </w:style>
  <w:style w:type="character" w:customStyle="1" w:styleId="117">
    <w:name w:val="line-lightgreen"/>
    <w:basedOn w:val="15"/>
    <w:qFormat/>
    <w:uiPriority w:val="0"/>
  </w:style>
  <w:style w:type="character" w:customStyle="1" w:styleId="118">
    <w:name w:val="newpure-black"/>
    <w:basedOn w:val="15"/>
    <w:qFormat/>
    <w:uiPriority w:val="0"/>
  </w:style>
  <w:style w:type="character" w:customStyle="1" w:styleId="119">
    <w:name w:val="default-orange"/>
    <w:basedOn w:val="15"/>
    <w:qFormat/>
    <w:uiPriority w:val="0"/>
  </w:style>
  <w:style w:type="character" w:customStyle="1" w:styleId="120">
    <w:name w:val="default-lightgreen"/>
    <w:basedOn w:val="15"/>
    <w:qFormat/>
    <w:uiPriority w:val="0"/>
  </w:style>
  <w:style w:type="character" w:customStyle="1" w:styleId="121">
    <w:name w:val="default-darkred"/>
    <w:basedOn w:val="15"/>
    <w:qFormat/>
    <w:uiPriority w:val="0"/>
  </w:style>
  <w:style w:type="character" w:customStyle="1" w:styleId="122">
    <w:name w:val="line-black"/>
    <w:basedOn w:val="15"/>
    <w:qFormat/>
    <w:uiPriority w:val="0"/>
  </w:style>
  <w:style w:type="character" w:customStyle="1" w:styleId="123">
    <w:name w:val="width-red"/>
    <w:basedOn w:val="15"/>
    <w:autoRedefine/>
    <w:qFormat/>
    <w:uiPriority w:val="0"/>
  </w:style>
  <w:style w:type="character" w:customStyle="1" w:styleId="124">
    <w:name w:val="line-violet"/>
    <w:basedOn w:val="15"/>
    <w:autoRedefine/>
    <w:qFormat/>
    <w:uiPriority w:val="0"/>
  </w:style>
  <w:style w:type="character" w:customStyle="1" w:styleId="125">
    <w:name w:val="line-purple"/>
    <w:basedOn w:val="15"/>
    <w:autoRedefine/>
    <w:qFormat/>
    <w:uiPriority w:val="0"/>
  </w:style>
  <w:style w:type="character" w:customStyle="1" w:styleId="126">
    <w:name w:val="width-cyan"/>
    <w:basedOn w:val="15"/>
    <w:autoRedefine/>
    <w:qFormat/>
    <w:uiPriority w:val="0"/>
  </w:style>
  <w:style w:type="character" w:customStyle="1" w:styleId="127">
    <w:name w:val="line-darkblue"/>
    <w:basedOn w:val="15"/>
    <w:autoRedefine/>
    <w:qFormat/>
    <w:uiPriority w:val="0"/>
  </w:style>
  <w:style w:type="character" w:customStyle="1" w:styleId="128">
    <w:name w:val="default-black"/>
    <w:basedOn w:val="15"/>
    <w:autoRedefine/>
    <w:qFormat/>
    <w:uiPriority w:val="0"/>
  </w:style>
  <w:style w:type="character" w:customStyle="1" w:styleId="129">
    <w:name w:val="line-red"/>
    <w:basedOn w:val="15"/>
    <w:autoRedefine/>
    <w:qFormat/>
    <w:uiPriority w:val="0"/>
  </w:style>
  <w:style w:type="character" w:customStyle="1" w:styleId="130">
    <w:name w:val="line-darkred"/>
    <w:basedOn w:val="15"/>
    <w:autoRedefine/>
    <w:qFormat/>
    <w:uiPriority w:val="0"/>
  </w:style>
  <w:style w:type="character" w:customStyle="1" w:styleId="131">
    <w:name w:val="newpure-cyan"/>
    <w:basedOn w:val="15"/>
    <w:autoRedefine/>
    <w:qFormat/>
    <w:uiPriority w:val="0"/>
  </w:style>
  <w:style w:type="character" w:customStyle="1" w:styleId="132">
    <w:name w:val="newpure-orange"/>
    <w:basedOn w:val="15"/>
    <w:autoRedefine/>
    <w:qFormat/>
    <w:uiPriority w:val="0"/>
  </w:style>
  <w:style w:type="character" w:customStyle="1" w:styleId="133">
    <w:name w:val="line-brown"/>
    <w:basedOn w:val="15"/>
    <w:autoRedefine/>
    <w:qFormat/>
    <w:uiPriority w:val="0"/>
  </w:style>
  <w:style w:type="character" w:customStyle="1" w:styleId="134">
    <w:name w:val="newpure-darkred"/>
    <w:basedOn w:val="15"/>
    <w:autoRedefine/>
    <w:qFormat/>
    <w:uiPriority w:val="0"/>
  </w:style>
  <w:style w:type="character" w:customStyle="1" w:styleId="135">
    <w:name w:val="newpure-green"/>
    <w:basedOn w:val="15"/>
    <w:autoRedefine/>
    <w:qFormat/>
    <w:uiPriority w:val="0"/>
  </w:style>
  <w:style w:type="character" w:customStyle="1" w:styleId="136">
    <w:name w:val="newpure-indigo"/>
    <w:basedOn w:val="15"/>
    <w:autoRedefine/>
    <w:qFormat/>
    <w:uiPriority w:val="0"/>
  </w:style>
  <w:style w:type="character" w:customStyle="1" w:styleId="137">
    <w:name w:val="newpure-seablue"/>
    <w:basedOn w:val="15"/>
    <w:autoRedefine/>
    <w:qFormat/>
    <w:uiPriority w:val="0"/>
  </w:style>
  <w:style w:type="character" w:customStyle="1" w:styleId="138">
    <w:name w:val="newpure-violet"/>
    <w:basedOn w:val="15"/>
    <w:autoRedefine/>
    <w:qFormat/>
    <w:uiPriority w:val="0"/>
  </w:style>
  <w:style w:type="character" w:customStyle="1" w:styleId="139">
    <w:name w:val="width-violet"/>
    <w:basedOn w:val="15"/>
    <w:autoRedefine/>
    <w:qFormat/>
    <w:uiPriority w:val="0"/>
  </w:style>
  <w:style w:type="character" w:customStyle="1" w:styleId="140">
    <w:name w:val="width-purple"/>
    <w:basedOn w:val="15"/>
    <w:autoRedefine/>
    <w:qFormat/>
    <w:uiPriority w:val="0"/>
  </w:style>
  <w:style w:type="character" w:customStyle="1" w:styleId="141">
    <w:name w:val="width-indigo"/>
    <w:basedOn w:val="15"/>
    <w:autoRedefine/>
    <w:qFormat/>
    <w:uiPriority w:val="0"/>
  </w:style>
  <w:style w:type="character" w:customStyle="1" w:styleId="142">
    <w:name w:val="width-darkblue"/>
    <w:basedOn w:val="15"/>
    <w:autoRedefine/>
    <w:qFormat/>
    <w:uiPriority w:val="0"/>
  </w:style>
  <w:style w:type="character" w:customStyle="1" w:styleId="143">
    <w:name w:val="width-maroon"/>
    <w:basedOn w:val="15"/>
    <w:autoRedefine/>
    <w:qFormat/>
    <w:uiPriority w:val="0"/>
  </w:style>
  <w:style w:type="character" w:customStyle="1" w:styleId="144">
    <w:name w:val="office"/>
    <w:basedOn w:val="15"/>
    <w:autoRedefine/>
    <w:qFormat/>
    <w:uiPriority w:val="0"/>
  </w:style>
  <w:style w:type="character" w:customStyle="1" w:styleId="145">
    <w:name w:val="width-gray"/>
    <w:basedOn w:val="15"/>
    <w:autoRedefine/>
    <w:qFormat/>
    <w:uiPriority w:val="0"/>
  </w:style>
  <w:style w:type="character" w:customStyle="1" w:styleId="146">
    <w:name w:val="width-black"/>
    <w:basedOn w:val="15"/>
    <w:autoRedefine/>
    <w:qFormat/>
    <w:uiPriority w:val="0"/>
  </w:style>
  <w:style w:type="character" w:customStyle="1" w:styleId="147">
    <w:name w:val="first-child"/>
    <w:basedOn w:val="15"/>
    <w:autoRedefine/>
    <w:qFormat/>
    <w:uiPriority w:val="0"/>
  </w:style>
  <w:style w:type="character" w:customStyle="1" w:styleId="148">
    <w:name w:val="show2"/>
    <w:basedOn w:val="15"/>
    <w:autoRedefine/>
    <w:qFormat/>
    <w:uiPriority w:val="0"/>
    <w:rPr>
      <w:color w:val="FFFFFF"/>
    </w:rPr>
  </w:style>
  <w:style w:type="character" w:customStyle="1" w:styleId="149">
    <w:name w:val="show3"/>
    <w:basedOn w:val="15"/>
    <w:autoRedefine/>
    <w:qFormat/>
    <w:uiPriority w:val="0"/>
    <w:rPr>
      <w:bdr w:val="single" w:color="BA2E2E" w:sz="6" w:space="0"/>
      <w:shd w:val="clear" w:fill="BA2E2E"/>
    </w:rPr>
  </w:style>
  <w:style w:type="character" w:customStyle="1" w:styleId="150">
    <w:name w:val="show4"/>
    <w:basedOn w:val="15"/>
    <w:autoRedefine/>
    <w:qFormat/>
    <w:uiPriority w:val="0"/>
    <w:rPr>
      <w:bdr w:val="single" w:color="4799E7" w:sz="6" w:space="0"/>
      <w:shd w:val="clear" w:fill="4799E7"/>
    </w:rPr>
  </w:style>
  <w:style w:type="character" w:customStyle="1" w:styleId="151">
    <w:name w:val="show5"/>
    <w:basedOn w:val="15"/>
    <w:autoRedefine/>
    <w:qFormat/>
    <w:uiPriority w:val="0"/>
    <w:rPr>
      <w:bdr w:val="single" w:color="393D49" w:sz="6" w:space="0"/>
      <w:shd w:val="clear" w:fill="393D49"/>
    </w:rPr>
  </w:style>
  <w:style w:type="character" w:customStyle="1" w:styleId="152">
    <w:name w:val="show6"/>
    <w:basedOn w:val="15"/>
    <w:autoRedefine/>
    <w:qFormat/>
    <w:uiPriority w:val="0"/>
    <w:rPr>
      <w:bdr w:val="single" w:color="ED6D00" w:sz="6" w:space="0"/>
      <w:shd w:val="clear" w:fill="ED6D00"/>
    </w:rPr>
  </w:style>
  <w:style w:type="character" w:customStyle="1" w:styleId="153">
    <w:name w:val="show7"/>
    <w:basedOn w:val="15"/>
    <w:autoRedefine/>
    <w:qFormat/>
    <w:uiPriority w:val="0"/>
    <w:rPr>
      <w:bdr w:val="single" w:color="55AAA3" w:sz="6" w:space="0"/>
      <w:shd w:val="clear" w:fill="55AAA3"/>
    </w:rPr>
  </w:style>
  <w:style w:type="character" w:customStyle="1" w:styleId="154">
    <w:name w:val="wh-portal-overtime"/>
    <w:basedOn w:val="15"/>
    <w:autoRedefine/>
    <w:qFormat/>
    <w:uiPriority w:val="0"/>
  </w:style>
  <w:style w:type="character" w:customStyle="1" w:styleId="155">
    <w:name w:val="wh-portal-overtime1"/>
    <w:basedOn w:val="15"/>
    <w:qFormat/>
    <w:uiPriority w:val="0"/>
  </w:style>
  <w:style w:type="character" w:customStyle="1" w:styleId="156">
    <w:name w:val="fa_ico_docu"/>
    <w:basedOn w:val="15"/>
    <w:qFormat/>
    <w:uiPriority w:val="0"/>
  </w:style>
  <w:style w:type="character" w:customStyle="1" w:styleId="157">
    <w:name w:val="wh-hd-lspan"/>
    <w:basedOn w:val="15"/>
    <w:qFormat/>
    <w:uiPriority w:val="0"/>
  </w:style>
  <w:style w:type="character" w:customStyle="1" w:styleId="158">
    <w:name w:val="wh-portal-overtime2"/>
    <w:basedOn w:val="15"/>
    <w:qFormat/>
    <w:uiPriority w:val="0"/>
    <w:rPr>
      <w:color w:val="FF0000"/>
    </w:rPr>
  </w:style>
  <w:style w:type="character" w:customStyle="1" w:styleId="159">
    <w:name w:val="wh-portal-overtime21"/>
    <w:basedOn w:val="15"/>
    <w:qFormat/>
    <w:uiPriority w:val="0"/>
    <w:rPr>
      <w:color w:val="FF0000"/>
    </w:rPr>
  </w:style>
  <w:style w:type="character" w:customStyle="1" w:styleId="160">
    <w:name w:val="stockinfo"/>
    <w:basedOn w:val="15"/>
    <w:qFormat/>
    <w:uiPriority w:val="0"/>
  </w:style>
  <w:style w:type="character" w:customStyle="1" w:styleId="161">
    <w:name w:val="fa_ico_open"/>
    <w:basedOn w:val="15"/>
    <w:qFormat/>
    <w:uiPriority w:val="0"/>
    <w:rPr>
      <w:color w:val="777575"/>
    </w:rPr>
  </w:style>
  <w:style w:type="character" w:customStyle="1" w:styleId="162">
    <w:name w:val="online-per"/>
    <w:basedOn w:val="15"/>
    <w:qFormat/>
    <w:uiPriority w:val="0"/>
    <w:rPr>
      <w:color w:val="BA2E2E"/>
    </w:rPr>
  </w:style>
  <w:style w:type="character" w:customStyle="1" w:styleId="163">
    <w:name w:val="online-per1"/>
    <w:basedOn w:val="15"/>
    <w:qFormat/>
    <w:uiPriority w:val="0"/>
    <w:rPr>
      <w:color w:val="4799E7"/>
    </w:rPr>
  </w:style>
  <w:style w:type="character" w:customStyle="1" w:styleId="164">
    <w:name w:val="online-per2"/>
    <w:basedOn w:val="15"/>
    <w:qFormat/>
    <w:uiPriority w:val="0"/>
    <w:rPr>
      <w:color w:val="393D49"/>
    </w:rPr>
  </w:style>
  <w:style w:type="character" w:customStyle="1" w:styleId="165">
    <w:name w:val="online-per3"/>
    <w:basedOn w:val="15"/>
    <w:qFormat/>
    <w:uiPriority w:val="0"/>
    <w:rPr>
      <w:color w:val="ED6D00"/>
    </w:rPr>
  </w:style>
  <w:style w:type="character" w:customStyle="1" w:styleId="166">
    <w:name w:val="online-per4"/>
    <w:basedOn w:val="15"/>
    <w:qFormat/>
    <w:uiPriority w:val="0"/>
    <w:rPr>
      <w:color w:val="55AAA3"/>
    </w:rPr>
  </w:style>
  <w:style w:type="character" w:customStyle="1" w:styleId="167">
    <w:name w:val="font01"/>
    <w:basedOn w:val="15"/>
    <w:qFormat/>
    <w:uiPriority w:val="0"/>
    <w:rPr>
      <w:rFonts w:hint="eastAsia" w:ascii="宋体" w:hAnsi="宋体" w:eastAsia="宋体" w:cs="宋体"/>
      <w:color w:val="000000"/>
      <w:sz w:val="24"/>
      <w:szCs w:val="24"/>
      <w:u w:val="none"/>
    </w:rPr>
  </w:style>
  <w:style w:type="character" w:customStyle="1" w:styleId="168">
    <w:name w:val="font21"/>
    <w:basedOn w:val="15"/>
    <w:qFormat/>
    <w:uiPriority w:val="0"/>
    <w:rPr>
      <w:rFonts w:hint="eastAsia" w:ascii="仿宋_GB2312" w:eastAsia="仿宋_GB2312" w:cs="仿宋_GB2312"/>
      <w:color w:val="000000"/>
      <w:sz w:val="24"/>
      <w:szCs w:val="24"/>
      <w:u w:val="none"/>
    </w:rPr>
  </w:style>
  <w:style w:type="character" w:customStyle="1" w:styleId="169">
    <w:name w:val="font31"/>
    <w:basedOn w:val="15"/>
    <w:qFormat/>
    <w:uiPriority w:val="0"/>
    <w:rPr>
      <w:rFonts w:ascii="Calibri" w:hAnsi="Calibri" w:cs="Calibri"/>
      <w:color w:val="000000"/>
      <w:sz w:val="24"/>
      <w:szCs w:val="24"/>
      <w:u w:val="none"/>
    </w:rPr>
  </w:style>
  <w:style w:type="character" w:customStyle="1" w:styleId="170">
    <w:name w:val="font11"/>
    <w:basedOn w:val="15"/>
    <w:qFormat/>
    <w:uiPriority w:val="0"/>
    <w:rPr>
      <w:rFonts w:hint="eastAsia" w:ascii="宋体" w:hAnsi="宋体" w:eastAsia="宋体" w:cs="宋体"/>
      <w:color w:val="000000"/>
      <w:sz w:val="24"/>
      <w:szCs w:val="24"/>
      <w:u w:val="none"/>
    </w:rPr>
  </w:style>
  <w:style w:type="character" w:customStyle="1" w:styleId="171">
    <w:name w:val="font41"/>
    <w:basedOn w:val="15"/>
    <w:qFormat/>
    <w:uiPriority w:val="0"/>
    <w:rPr>
      <w:rFonts w:hint="eastAsia" w:ascii="宋体" w:hAnsi="宋体" w:eastAsia="宋体" w:cs="宋体"/>
      <w:color w:val="000000"/>
      <w:sz w:val="28"/>
      <w:szCs w:val="28"/>
      <w:u w:val="none"/>
    </w:rPr>
  </w:style>
  <w:style w:type="character" w:customStyle="1" w:styleId="172">
    <w:name w:val="font71"/>
    <w:basedOn w:val="15"/>
    <w:qFormat/>
    <w:uiPriority w:val="0"/>
    <w:rPr>
      <w:rFonts w:hint="eastAsia" w:ascii="宋体" w:hAnsi="宋体" w:eastAsia="宋体" w:cs="宋体"/>
      <w:b/>
      <w:bCs/>
      <w:color w:val="000000"/>
      <w:sz w:val="26"/>
      <w:szCs w:val="26"/>
      <w:u w:val="single"/>
    </w:rPr>
  </w:style>
  <w:style w:type="character" w:customStyle="1" w:styleId="173">
    <w:name w:val="font51"/>
    <w:basedOn w:val="15"/>
    <w:qFormat/>
    <w:uiPriority w:val="0"/>
    <w:rPr>
      <w:rFonts w:hint="eastAsia" w:ascii="宋体" w:hAnsi="宋体" w:eastAsia="宋体" w:cs="宋体"/>
      <w:b/>
      <w:bCs/>
      <w:color w:val="000000"/>
      <w:sz w:val="26"/>
      <w:szCs w:val="26"/>
      <w:u w:val="none"/>
    </w:rPr>
  </w:style>
  <w:style w:type="character" w:customStyle="1" w:styleId="174">
    <w:name w:val="font61"/>
    <w:basedOn w:val="15"/>
    <w:qFormat/>
    <w:uiPriority w:val="0"/>
    <w:rPr>
      <w:rFonts w:ascii="Calibri" w:hAnsi="Calibri" w:cs="Calibri"/>
      <w:color w:val="000000"/>
      <w:sz w:val="28"/>
      <w:szCs w:val="28"/>
      <w:u w:val="none"/>
    </w:rPr>
  </w:style>
  <w:style w:type="paragraph" w:customStyle="1" w:styleId="175">
    <w:name w:val="_Style 3"/>
    <w:basedOn w:val="1"/>
    <w:qFormat/>
    <w:uiPriority w:val="0"/>
    <w:pPr>
      <w:ind w:firstLine="420" w:firstLineChars="200"/>
    </w:pPr>
    <w:rPr>
      <w:rFonts w:ascii="Calibri" w:hAnsi="Calibri"/>
    </w:rPr>
  </w:style>
  <w:style w:type="paragraph" w:customStyle="1" w:styleId="176">
    <w:name w:val="Table Text"/>
    <w:basedOn w:val="1"/>
    <w:semiHidden/>
    <w:qFormat/>
    <w:uiPriority w:val="0"/>
    <w:rPr>
      <w:rFonts w:ascii="宋体" w:hAnsi="宋体" w:eastAsia="宋体" w:cs="宋体"/>
      <w:sz w:val="24"/>
      <w:szCs w:val="24"/>
    </w:rPr>
  </w:style>
  <w:style w:type="table" w:customStyle="1" w:styleId="17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2333</Words>
  <Characters>2671</Characters>
  <Lines>3</Lines>
  <Paragraphs>1</Paragraphs>
  <TotalTime>5</TotalTime>
  <ScaleCrop>false</ScaleCrop>
  <LinksUpToDate>false</LinksUpToDate>
  <CharactersWithSpaces>2823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孙硕</cp:lastModifiedBy>
  <cp:lastPrinted>2023-02-20T10:28:00Z</cp:lastPrinted>
  <dcterms:modified xsi:type="dcterms:W3CDTF">2024-11-08T03:10:34Z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425E6AC8D55C4099BC9D82AF47C4C602_13</vt:lpwstr>
  </property>
</Properties>
</file>