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29"/>
        <w:tblOverlap w:val="never"/>
        <w:tblW w:w="118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02"/>
        <w:gridCol w:w="4275"/>
        <w:gridCol w:w="690"/>
        <w:gridCol w:w="705"/>
        <w:gridCol w:w="1290"/>
        <w:gridCol w:w="1245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8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bookmarkStart w:id="2" w:name="_GoBack" w:colFirst="0" w:colLast="7"/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序号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类别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型号、尺寸、技术参数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单价（元）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合计（元）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羽毛球服（海选选手参赛包）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上衣：100%聚酯纤维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1、需为专业定制羽毛球赛服定制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2、不得出现服装品牌L</w:t>
            </w:r>
            <w:r>
              <w:rPr>
                <w:rFonts w:ascii="宋体" w:hAnsi="宋体" w:cs="宋体"/>
                <w:color w:val="000000"/>
                <w:szCs w:val="21"/>
              </w:rPr>
              <w:t>OGO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，需根据组委会要求印制赛事logo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总决赛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羽毛球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赛服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上衣+短裤：100%聚酯纤维</w:t>
            </w:r>
          </w:p>
          <w:p>
            <w:pPr>
              <w:pStyle w:val="2"/>
              <w:ind w:firstLine="63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1、需为专业定制羽毛球赛服（根据组委会要求确定样式，短裤需为黑色）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2、不得出现服装品牌L</w:t>
            </w:r>
            <w:r>
              <w:rPr>
                <w:rFonts w:ascii="宋体" w:hAnsi="宋体" w:cs="宋体"/>
                <w:color w:val="000000"/>
                <w:szCs w:val="21"/>
              </w:rPr>
              <w:t>OGO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，需根据组委会要求印制赛事logo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裁判服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上衣：100%聚酯纤维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专业羽毛球裁判服，需根据组委会要求印制赛事logo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嘉宾服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外套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上衣：100%聚酯纤维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要求为国服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或冲锋衣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PVC5.0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羽毛球运动地板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邵氏硬度70-90度（邵</w:t>
            </w:r>
            <w:r>
              <w:rPr>
                <w:rFonts w:asciiTheme="minorEastAsia" w:hAnsiTheme="minorEastAsia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拉伸强度≥1.5MPa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拉断伸长率≥120%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面质量偏差≤±</w:t>
            </w:r>
            <w:r>
              <w:rPr>
                <w:rFonts w:asciiTheme="minorEastAsia" w:hAnsiTheme="minorEastAsia"/>
                <w:szCs w:val="21"/>
              </w:rPr>
              <w:t>3%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加热尺寸变化率（纵向，横向）≤0.4%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耐磨性T级，体积损失≤2.0mm³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焊接强度，平均值≥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00N/50mm；最小值≥4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0N/50mm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防滑性(湿法)≥0.6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阻燃性：Ⅰ级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可溶性重金属铅含量≤20mg/㎡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可溶性重金属镉含量≤20mg/㎡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灰分</w:t>
            </w:r>
            <w:r>
              <w:rPr>
                <w:szCs w:val="21"/>
              </w:rPr>
              <w:t>含量</w:t>
            </w:r>
            <w:r>
              <w:rPr>
                <w:rFonts w:hint="eastAsia"/>
                <w:szCs w:val="21"/>
              </w:rPr>
              <w:t>≤0.2</w:t>
            </w:r>
            <w:r>
              <w:rPr>
                <w:szCs w:val="21"/>
              </w:rPr>
              <w:t>%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氯乙烯含量：未检出 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提供28</w:t>
            </w:r>
            <w:r>
              <w:rPr>
                <w:rFonts w:hint="eastAsia" w:ascii="宋体" w:hAnsi="宋体"/>
                <w:bCs/>
                <w:szCs w:val="21"/>
              </w:rPr>
              <w:t>天后甲苯、乙苯</w:t>
            </w:r>
            <w:r>
              <w:rPr>
                <w:rFonts w:hint="eastAsia" w:ascii="宋体" w:hAnsi="宋体" w:cs="宋体"/>
                <w:szCs w:val="21"/>
              </w:rPr>
              <w:t>释放量未检出的检测报告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抗菌</w:t>
            </w:r>
            <w:r>
              <w:rPr>
                <w:color w:val="auto"/>
                <w:szCs w:val="21"/>
              </w:rPr>
              <w:t>性能</w:t>
            </w:r>
            <w:r>
              <w:rPr>
                <w:rFonts w:hint="eastAsia"/>
                <w:color w:val="auto"/>
                <w:szCs w:val="21"/>
              </w:rPr>
              <w:t>检测（大肠杆菌</w:t>
            </w:r>
            <w:r>
              <w:rPr>
                <w:color w:val="auto"/>
                <w:szCs w:val="21"/>
              </w:rPr>
              <w:t>、金</w:t>
            </w:r>
            <w:r>
              <w:rPr>
                <w:rFonts w:hint="eastAsia"/>
                <w:color w:val="auto"/>
                <w:szCs w:val="21"/>
              </w:rPr>
              <w:t>黄</w:t>
            </w:r>
            <w:r>
              <w:rPr>
                <w:color w:val="auto"/>
                <w:szCs w:val="21"/>
              </w:rPr>
              <w:t>色葡萄球菌</w:t>
            </w:r>
            <w:r>
              <w:rPr>
                <w:rFonts w:hint="eastAsia"/>
                <w:color w:val="auto"/>
                <w:szCs w:val="21"/>
              </w:rPr>
              <w:t>等5种及以上细菌）</w:t>
            </w:r>
            <w:r>
              <w:rPr>
                <w:color w:val="auto"/>
                <w:szCs w:val="21"/>
              </w:rPr>
              <w:t>，抗菌率</w:t>
            </w:r>
            <w:r>
              <w:rPr>
                <w:rFonts w:hint="eastAsia"/>
                <w:color w:val="auto"/>
                <w:szCs w:val="21"/>
              </w:rPr>
              <w:t>≥99.5</w:t>
            </w:r>
            <w:r>
              <w:rPr>
                <w:color w:val="auto"/>
                <w:szCs w:val="21"/>
              </w:rPr>
              <w:t>%</w:t>
            </w:r>
            <w:r>
              <w:rPr>
                <w:rFonts w:hint="eastAsia"/>
                <w:color w:val="auto"/>
                <w:szCs w:val="21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bookmarkStart w:id="0" w:name="_Hlk149121330"/>
            <w:r>
              <w:rPr>
                <w:rFonts w:hint="eastAsia"/>
                <w:color w:val="auto"/>
                <w:szCs w:val="21"/>
              </w:rPr>
              <w:t>耐酸耐碱循环处理（检测周期≥</w:t>
            </w:r>
            <w:r>
              <w:rPr>
                <w:color w:val="auto"/>
                <w:szCs w:val="21"/>
              </w:rPr>
              <w:t>5</w:t>
            </w:r>
            <w:r>
              <w:rPr>
                <w:rFonts w:hint="eastAsia"/>
                <w:color w:val="auto"/>
                <w:szCs w:val="21"/>
              </w:rPr>
              <w:t>000h</w:t>
            </w:r>
            <w:bookmarkEnd w:id="0"/>
            <w:r>
              <w:rPr>
                <w:rFonts w:hint="eastAsia"/>
                <w:color w:val="auto"/>
                <w:szCs w:val="21"/>
              </w:rPr>
              <w:t>），外观无龟裂、无粉化、变形、鼓包等缺陷，无变色等不良现象，抗滑值80-110.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bookmarkStart w:id="1" w:name="_Hlk149121345"/>
            <w:r>
              <w:rPr>
                <w:rFonts w:hint="eastAsia"/>
                <w:color w:val="auto"/>
                <w:szCs w:val="21"/>
              </w:rPr>
              <w:t>耐环境应力开裂（检测起止日期≥</w:t>
            </w:r>
            <w:r>
              <w:rPr>
                <w:color w:val="auto"/>
                <w:szCs w:val="21"/>
              </w:rPr>
              <w:t>5</w:t>
            </w:r>
            <w:r>
              <w:rPr>
                <w:rFonts w:hint="eastAsia"/>
                <w:color w:val="auto"/>
                <w:szCs w:val="21"/>
              </w:rPr>
              <w:t>000h</w:t>
            </w:r>
            <w:bookmarkEnd w:id="1"/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color w:val="auto"/>
                <w:szCs w:val="21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达到破裂率0%</w:t>
            </w:r>
            <w:r>
              <w:rPr>
                <w:rFonts w:asciiTheme="minorEastAsia" w:hAnsiTheme="minorEastAsia"/>
                <w:color w:val="auto"/>
                <w:szCs w:val="21"/>
              </w:rPr>
              <w:t xml:space="preserve"> 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耐人工气候（透过窗玻璃）老化（检测日期≥</w:t>
            </w:r>
            <w:r>
              <w:rPr>
                <w:color w:val="auto"/>
                <w:szCs w:val="21"/>
              </w:rPr>
              <w:t>5</w:t>
            </w:r>
            <w:r>
              <w:rPr>
                <w:rFonts w:hint="eastAsia"/>
                <w:color w:val="auto"/>
                <w:szCs w:val="21"/>
              </w:rPr>
              <w:t>000h），老化前后拉伸强度≥0.4MPa，老化前后垂直变形≤3mm，老化前后耐磨性(500r~1500r之间的质量损失)≤1.0g。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需世界羽联（BWF）认证，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需提供带“CMA”标志的检测报告,并附带</w:t>
            </w:r>
            <w:r>
              <w:rPr>
                <w:rFonts w:hint="eastAsia" w:ascii="宋体" w:hAnsi="宋体" w:cs="宋体"/>
                <w:b/>
                <w:bCs/>
                <w:color w:val="333333"/>
                <w:szCs w:val="21"/>
                <w:highlight w:val="none"/>
                <w:shd w:val="clear" w:color="auto" w:fill="FFFFFF"/>
              </w:rPr>
              <w:t>国家认证认可监督管理委员会官网</w:t>
            </w:r>
            <w:r>
              <w:rPr>
                <w:rFonts w:hint="eastAsia" w:cs="宋体"/>
                <w:b/>
                <w:bCs/>
                <w:color w:val="333333"/>
                <w:szCs w:val="21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www.cnca.gov.cn</w:t>
            </w:r>
            <w:r>
              <w:rPr>
                <w:rFonts w:hint="eastAsia" w:cs="宋体"/>
                <w:b/>
                <w:bCs/>
                <w:szCs w:val="21"/>
                <w:highlight w:val="none"/>
              </w:rPr>
              <w:t>）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查询截图</w:t>
            </w:r>
            <w:r>
              <w:rPr>
                <w:rFonts w:hint="eastAsia" w:cs="宋体"/>
                <w:b/>
                <w:bCs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加盖制造商鲜章进行佐证，不满足或未提供按无效响应处理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需根据招标人要求进行L</w:t>
            </w:r>
            <w:r>
              <w:rPr>
                <w:rFonts w:ascii="宋体" w:hAnsi="宋体" w:cs="宋体"/>
                <w:b/>
                <w:bCs/>
                <w:szCs w:val="21"/>
                <w:highlight w:val="none"/>
              </w:rPr>
              <w:t>OGO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网柱+网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产品规格：135kg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产品颜色：黄色柱杆、黄色底座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产品等级：专业级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产品材质：网柱部分为无缝钢管，底座部分为固化钢板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网柱尺寸：高度为155cm，柱体直径为4.2cm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底座尺寸(均有轻微误差)：59cm-61cm（总长，可伸缩）*28cm（宽）*12.5cm（高）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需世界羽联（BWF)认证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总计（元）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8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1、请开具增值税专用发票，并标注开票税率（ ）%；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2、报价包含运输、安装、施工、辅材、质保等费用，质保期至少壹年；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15655195911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。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                                联系方式：</w:t>
            </w:r>
          </w:p>
        </w:tc>
      </w:tr>
      <w:bookmarkEnd w:id="2"/>
    </w:tbl>
    <w:p/>
    <w:p>
      <w:pPr>
        <w:jc w:val="left"/>
      </w:pPr>
    </w:p>
    <w:p>
      <w:pPr>
        <w:pStyle w:val="4"/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15D68"/>
    <w:multiLevelType w:val="multilevel"/>
    <w:tmpl w:val="7C615D6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xYmQ2MmY2ZGFiMGI4OTRkNDg5ZGZhNmI2ODJlOWQifQ=="/>
  </w:docVars>
  <w:rsids>
    <w:rsidRoot w:val="03703206"/>
    <w:rsid w:val="00021EDA"/>
    <w:rsid w:val="00065B83"/>
    <w:rsid w:val="000C29BC"/>
    <w:rsid w:val="00151613"/>
    <w:rsid w:val="001E31FC"/>
    <w:rsid w:val="002360A5"/>
    <w:rsid w:val="00267089"/>
    <w:rsid w:val="003318B3"/>
    <w:rsid w:val="00505569"/>
    <w:rsid w:val="00535653"/>
    <w:rsid w:val="005E1118"/>
    <w:rsid w:val="005E1ACC"/>
    <w:rsid w:val="007A7A96"/>
    <w:rsid w:val="00865FFA"/>
    <w:rsid w:val="009C6836"/>
    <w:rsid w:val="00A56931"/>
    <w:rsid w:val="00BC3A14"/>
    <w:rsid w:val="00C44ABC"/>
    <w:rsid w:val="00CA07E1"/>
    <w:rsid w:val="00E857AA"/>
    <w:rsid w:val="00F63830"/>
    <w:rsid w:val="00FB4E7D"/>
    <w:rsid w:val="03703206"/>
    <w:rsid w:val="0EBB70C4"/>
    <w:rsid w:val="3869596D"/>
    <w:rsid w:val="3CF35D7D"/>
    <w:rsid w:val="51A21442"/>
    <w:rsid w:val="53553516"/>
    <w:rsid w:val="61722BDF"/>
    <w:rsid w:val="740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  <w:style w:type="paragraph" w:styleId="3">
    <w:name w:val="Body Text Indent"/>
    <w:basedOn w:val="1"/>
    <w:qFormat/>
    <w:uiPriority w:val="0"/>
    <w:pPr>
      <w:ind w:firstLine="630" w:firstLineChars="3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next w:val="4"/>
    <w:autoRedefine/>
    <w:qFormat/>
    <w:uiPriority w:val="0"/>
    <w:pPr>
      <w:adjustRightInd w:val="0"/>
      <w:spacing w:line="420" w:lineRule="atLeast"/>
      <w:textAlignment w:val="baseline"/>
    </w:pPr>
    <w:rPr>
      <w:szCs w:val="24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955</Characters>
  <Lines>7</Lines>
  <Paragraphs>2</Paragraphs>
  <TotalTime>0</TotalTime>
  <ScaleCrop>false</ScaleCrop>
  <LinksUpToDate>false</LinksUpToDate>
  <CharactersWithSpaces>961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2024-11-22T06:48:00Z</dcterms:created>
  <dc:creator>精英世家  业务部蔡莉</dc:creator>
  <cp:lastModifiedBy>孙硕</cp:lastModifiedBy>
  <dcterms:modified xsi:type="dcterms:W3CDTF">2024-12-02T09:15:36Z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E5BAF145BBB64ED1AAC0345E4D328EF9_13</vt:lpwstr>
  </property>
</Properties>
</file>