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合肥体育中心、天鹅湖全民健身中心2024年度高压供配电维保服务项目，现通过询价方式择优选择一家服务单位，本次询价采用有效最低价法中标原则，欢迎符合条件的单位参与。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1.项目名称：合肥体育中心、天鹅湖全民健身中心2024年度高压供配电维保服务</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2.项目编号：2024TYGSCG49</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3.项目概算：97500元（超概算报价无效）</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b/>
          <w:bCs w:val="0"/>
          <w:sz w:val="32"/>
          <w:szCs w:val="32"/>
        </w:rPr>
      </w:pPr>
      <w:r>
        <w:rPr>
          <w:rFonts w:hint="eastAsia" w:ascii="仿宋_GB2312" w:hAnsi="宋体" w:eastAsia="仿宋_GB2312" w:cs="宋体"/>
          <w:bCs/>
          <w:color w:val="000000"/>
          <w:sz w:val="32"/>
          <w:szCs w:val="32"/>
          <w:lang w:val="en-US" w:eastAsia="zh-CN"/>
        </w:rPr>
        <w:t>6.项目地址：合肥体育中心、天鹅湖全民健身中心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3.具有安全生产许可证；</w:t>
      </w:r>
    </w:p>
    <w:p>
      <w:pPr>
        <w:spacing w:line="560" w:lineRule="exact"/>
        <w:ind w:firstLine="640"/>
        <w:jc w:val="both"/>
        <w:rPr>
          <w:rFonts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4.具备输变电专业承包三级及以上资质或承装(修、试)电力设施许证四级及以上资质；</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5.</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2024年12月16日17：00前将报价单连同营业执照和相关资质证明全部盖章后密封送至合肥体育产业投资有限公司综合管理部。未按要求盖章和密封的报价文件视为无效报价。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投标报价总价不得高于项目概算，高于控制价的报价作为废标处理，中标后不以任何理由调整</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联系人：孙工 0551-63363087 </w:t>
      </w:r>
    </w:p>
    <w:p>
      <w:pPr>
        <w:keepNext w:val="0"/>
        <w:keepLines w:val="0"/>
        <w:widowControl/>
        <w:suppressLineNumbers w:val="0"/>
        <w:ind w:firstLine="643" w:firstLineChars="200"/>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本项目需现场查勘并签到，联系人：张工18252580121</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3"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
          <w:bCs w:val="0"/>
          <w:color w:val="auto"/>
          <w:kern w:val="2"/>
          <w:sz w:val="32"/>
          <w:szCs w:val="32"/>
          <w:lang w:val="en-US" w:eastAsia="zh-CN" w:bidi="ar-SA"/>
        </w:rPr>
        <w:t>七、监督管理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监督管理部门：合肥体育产业投资有限公司党群工作部（人力资源部）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auto"/>
          <w:kern w:val="2"/>
          <w:sz w:val="32"/>
          <w:szCs w:val="32"/>
          <w:lang w:val="en-US" w:eastAsia="zh-CN" w:bidi="ar-SA"/>
        </w:rPr>
        <w:t>地址：</w:t>
      </w:r>
      <w:r>
        <w:rPr>
          <w:rFonts w:hint="eastAsia" w:ascii="仿宋_GB2312" w:hAnsi="宋体" w:eastAsia="仿宋_GB2312" w:cs="宋体"/>
          <w:bCs/>
          <w:color w:val="000000"/>
          <w:sz w:val="32"/>
          <w:szCs w:val="32"/>
          <w:lang w:val="en-US" w:eastAsia="zh-CN"/>
        </w:rPr>
        <w:t>安徽省合肥市政务文化新区安徽合肥体育中心主体育场一层贵宾区体育公司</w:t>
      </w:r>
      <w:r>
        <w:rPr>
          <w:rFonts w:hint="eastAsia" w:ascii="仿宋_GB2312" w:hAnsi="宋体" w:eastAsia="仿宋_GB2312" w:cs="宋体"/>
          <w:bCs/>
          <w:color w:val="auto"/>
          <w:kern w:val="2"/>
          <w:sz w:val="32"/>
          <w:szCs w:val="32"/>
          <w:lang w:val="en-US" w:eastAsia="zh-CN" w:bidi="ar-SA"/>
        </w:rPr>
        <w:t>党群工作部（人力资源部）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宋体" w:eastAsia="仿宋_GB2312" w:cs="宋体"/>
          <w:bCs/>
          <w:color w:val="auto"/>
          <w:kern w:val="2"/>
          <w:sz w:val="32"/>
          <w:szCs w:val="32"/>
          <w:lang w:val="en-US" w:eastAsia="zh-CN" w:bidi="ar-SA"/>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电话：0551-63621300</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640" w:firstLineChars="200"/>
        <w:jc w:val="both"/>
        <w:rPr>
          <w:rFonts w:hint="eastAsia" w:ascii="仿宋_GB2312" w:hAnsi="宋体" w:eastAsia="仿宋_GB2312" w:cs="宋体"/>
          <w:bCs/>
          <w:color w:val="000000"/>
          <w:sz w:val="32"/>
          <w:szCs w:val="32"/>
          <w:lang w:val="en-US" w:eastAsia="zh-CN"/>
        </w:rPr>
      </w:pPr>
    </w:p>
    <w:p>
      <w:pPr>
        <w:spacing w:line="540" w:lineRule="exact"/>
        <w:ind w:right="480"/>
        <w:jc w:val="center"/>
        <w:rPr>
          <w:rFonts w:hint="eastAsia" w:ascii="仿宋_GB2312" w:hAnsi="仿宋_GB2312" w:eastAsia="仿宋_GB2312" w:cs="仿宋_GB2312"/>
          <w:b w:val="0"/>
          <w:bCs w:val="0"/>
          <w:color w:val="000000" w:themeColor="text1"/>
          <w:sz w:val="48"/>
          <w:szCs w:val="48"/>
          <w:lang w:val="en-US" w:eastAsia="zh-CN"/>
          <w14:textFill>
            <w14:solidFill>
              <w14:schemeClr w14:val="tx1"/>
            </w14:solidFill>
          </w14:textFill>
        </w:rPr>
      </w:pPr>
    </w:p>
    <w:p>
      <w:pPr>
        <w:spacing w:line="560" w:lineRule="exact"/>
        <w:jc w:val="right"/>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2024年12月11日</w:t>
      </w:r>
    </w:p>
    <w:p>
      <w:pPr>
        <w:rPr>
          <w:rFonts w:hint="eastAsia" w:ascii="仿宋_GB2312" w:hAnsi="宋体" w:eastAsia="仿宋_GB2312" w:cs="宋体"/>
          <w:b/>
          <w:bCs w:val="0"/>
          <w:color w:val="000000"/>
          <w:sz w:val="32"/>
          <w:szCs w:val="32"/>
          <w:lang w:val="en-US" w:eastAsia="zh-CN"/>
        </w:rPr>
      </w:pPr>
    </w:p>
    <w:p>
      <w:pPr>
        <w:pStyle w:val="2"/>
        <w:rPr>
          <w:rFonts w:hint="eastAsia" w:ascii="仿宋_GB2312" w:hAnsi="宋体" w:eastAsia="仿宋_GB2312" w:cs="宋体"/>
          <w:b/>
          <w:bCs w:val="0"/>
          <w:color w:val="000000"/>
          <w:sz w:val="32"/>
          <w:szCs w:val="32"/>
          <w:lang w:val="en-US" w:eastAsia="zh-CN"/>
        </w:rPr>
      </w:pPr>
    </w:p>
    <w:p>
      <w:pPr>
        <w:pStyle w:val="2"/>
        <w:jc w:val="left"/>
        <w:rPr>
          <w:rFonts w:hint="eastAsia" w:ascii="仿宋_GB2312" w:hAnsi="宋体" w:eastAsia="仿宋_GB2312" w:cs="宋体"/>
          <w:b/>
          <w:bCs w:val="0"/>
          <w:color w:val="000000"/>
          <w:sz w:val="32"/>
          <w:szCs w:val="32"/>
          <w:lang w:val="en-US" w:eastAsia="zh-CN"/>
        </w:rPr>
      </w:pPr>
    </w:p>
    <w:p>
      <w:pPr>
        <w:pStyle w:val="2"/>
        <w:jc w:val="left"/>
        <w:rPr>
          <w:rFonts w:hint="eastAsia" w:ascii="仿宋_GB2312" w:hAnsi="宋体" w:eastAsia="仿宋_GB2312" w:cs="宋体"/>
          <w:b/>
          <w:bCs w:val="0"/>
          <w:color w:val="000000"/>
          <w:sz w:val="32"/>
          <w:szCs w:val="32"/>
          <w:lang w:val="en-US" w:eastAsia="zh-CN"/>
        </w:rPr>
      </w:pPr>
    </w:p>
    <w:p>
      <w:pPr>
        <w:pStyle w:val="2"/>
        <w:jc w:val="left"/>
        <w:rPr>
          <w:rFonts w:hint="eastAsia" w:ascii="仿宋_GB2312" w:hAnsi="宋体" w:eastAsia="仿宋_GB2312" w:cs="宋体"/>
          <w:b/>
          <w:bCs w:val="0"/>
          <w:color w:val="000000"/>
          <w:sz w:val="32"/>
          <w:szCs w:val="32"/>
          <w:lang w:val="en-US" w:eastAsia="zh-CN"/>
        </w:rPr>
      </w:pPr>
    </w:p>
    <w:p>
      <w:pPr>
        <w:pStyle w:val="2"/>
        <w:jc w:val="left"/>
        <w:rPr>
          <w:rFonts w:hint="eastAsia" w:ascii="仿宋_GB2312" w:hAnsi="宋体" w:eastAsia="仿宋_GB2312" w:cs="宋体"/>
          <w:b/>
          <w:bCs w:val="0"/>
          <w:color w:val="000000"/>
          <w:sz w:val="32"/>
          <w:szCs w:val="32"/>
          <w:lang w:val="en-US" w:eastAsia="zh-CN"/>
        </w:rPr>
      </w:pPr>
    </w:p>
    <w:p>
      <w:pPr>
        <w:pStyle w:val="2"/>
        <w:jc w:val="left"/>
        <w:rPr>
          <w:rFonts w:hint="eastAsia" w:ascii="仿宋_GB2312" w:hAnsi="宋体" w:eastAsia="仿宋_GB2312" w:cs="宋体"/>
          <w:b/>
          <w:bCs w:val="0"/>
          <w:color w:val="000000"/>
          <w:sz w:val="32"/>
          <w:szCs w:val="32"/>
          <w:lang w:val="en-US" w:eastAsia="zh-CN"/>
        </w:rPr>
      </w:pPr>
    </w:p>
    <w:p>
      <w:pPr>
        <w:pStyle w:val="2"/>
        <w:jc w:val="left"/>
        <w:rPr>
          <w:rFonts w:hint="eastAsia" w:ascii="仿宋_GB2312" w:hAnsi="宋体" w:eastAsia="仿宋_GB2312" w:cs="宋体"/>
          <w:b/>
          <w:bCs w:val="0"/>
          <w:color w:val="000000"/>
          <w:sz w:val="32"/>
          <w:szCs w:val="32"/>
          <w:lang w:val="en-US" w:eastAsia="zh-CN"/>
        </w:rPr>
      </w:pPr>
    </w:p>
    <w:p>
      <w:pPr>
        <w:pStyle w:val="2"/>
        <w:jc w:val="left"/>
        <w:rPr>
          <w:rFonts w:hint="eastAsia" w:ascii="仿宋_GB2312" w:hAnsi="宋体" w:eastAsia="仿宋_GB2312" w:cs="宋体"/>
          <w:b/>
          <w:bCs w:val="0"/>
          <w:color w:val="000000"/>
          <w:sz w:val="32"/>
          <w:szCs w:val="32"/>
          <w:lang w:val="en-US" w:eastAsia="zh-CN"/>
        </w:rPr>
      </w:pPr>
    </w:p>
    <w:p>
      <w:pPr>
        <w:pStyle w:val="2"/>
        <w:jc w:val="left"/>
        <w:rPr>
          <w:rFonts w:hint="eastAsia" w:ascii="仿宋_GB2312" w:hAnsi="宋体" w:eastAsia="仿宋_GB2312" w:cs="宋体"/>
          <w:b/>
          <w:bCs w:val="0"/>
          <w:color w:val="000000"/>
          <w:sz w:val="32"/>
          <w:szCs w:val="32"/>
          <w:lang w:val="en-US" w:eastAsia="zh-CN"/>
        </w:rPr>
      </w:pPr>
    </w:p>
    <w:p>
      <w:pPr>
        <w:rPr>
          <w:rFonts w:hint="default"/>
          <w:lang w:val="en-US" w:eastAsia="zh-CN"/>
        </w:rPr>
      </w:pPr>
    </w:p>
    <w:p>
      <w:pPr>
        <w:pStyle w:val="2"/>
        <w:jc w:val="left"/>
        <w:rPr>
          <w:rFonts w:hint="default"/>
          <w:lang w:val="en-US" w:eastAsia="zh-CN"/>
        </w:rPr>
      </w:pPr>
      <w:r>
        <w:rPr>
          <w:rFonts w:hint="eastAsia" w:ascii="仿宋_GB2312" w:hAnsi="宋体" w:eastAsia="仿宋_GB2312" w:cs="宋体"/>
          <w:b/>
          <w:bCs w:val="0"/>
          <w:color w:val="000000"/>
          <w:sz w:val="32"/>
          <w:szCs w:val="32"/>
          <w:lang w:val="en-US" w:eastAsia="zh-CN"/>
        </w:rPr>
        <w:t>附件一</w:t>
      </w:r>
    </w:p>
    <w:tbl>
      <w:tblPr>
        <w:tblStyle w:val="12"/>
        <w:tblpPr w:leftFromText="180" w:rightFromText="180" w:vertAnchor="text" w:horzAnchor="page" w:tblpX="1492" w:tblpY="905"/>
        <w:tblOverlap w:val="never"/>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868"/>
        <w:gridCol w:w="1079"/>
        <w:gridCol w:w="2077"/>
        <w:gridCol w:w="782"/>
        <w:gridCol w:w="787"/>
        <w:gridCol w:w="925"/>
        <w:gridCol w:w="1125"/>
        <w:gridCol w:w="1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w:t>
            </w:r>
            <w:r>
              <w:rPr>
                <w:rFonts w:hint="eastAsia" w:ascii="宋体" w:hAnsi="宋体" w:eastAsia="宋体" w:cs="宋体"/>
                <w:b/>
                <w:bCs/>
                <w:i w:val="0"/>
                <w:iCs w:val="0"/>
                <w:color w:val="000000"/>
                <w:kern w:val="0"/>
                <w:sz w:val="22"/>
                <w:szCs w:val="22"/>
                <w:u w:val="none"/>
                <w:lang w:val="en-US" w:eastAsia="zh-CN" w:bidi="ar"/>
              </w:rPr>
              <w:t>配电房检测</w:t>
            </w:r>
            <w:r>
              <w:rPr>
                <w:rFonts w:hint="eastAsia" w:ascii="宋体" w:hAnsi="宋体" w:eastAsia="宋体" w:cs="宋体"/>
                <w:b/>
                <w:bCs/>
                <w:i w:val="0"/>
                <w:iCs w:val="0"/>
                <w:color w:val="000000"/>
                <w:kern w:val="0"/>
                <w:sz w:val="22"/>
                <w:szCs w:val="22"/>
                <w:highlight w:val="none"/>
                <w:u w:val="none"/>
                <w:lang w:val="en-US" w:eastAsia="zh-CN" w:bidi="ar"/>
              </w:rPr>
              <w:t>（一年一次检测）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检测工作内容</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96"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10KV电气设备    预防性实验</w:t>
            </w:r>
          </w:p>
        </w:tc>
        <w:tc>
          <w:tcPr>
            <w:tcW w:w="10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10KV电气设备预防性实验</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1、绝缘电阻检测 2、开关特性检测 3、保护装置检测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1、直流电阻检测 2、空载测试          3、绝缘电阻检测 4、耐压测试 5、噪声测试</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高压电力电缆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1、绝缘点则检测  2、泄露电流检测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9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低压柜</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1、电气性能检测 2、功能检测等</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防护用具及配电房接地设施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接地电阻测试、绝缘电阻测试、耐压试验等</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包括绝缘手套、绝缘垫等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B、</w:t>
            </w:r>
            <w:r>
              <w:rPr>
                <w:rFonts w:hint="eastAsia" w:ascii="宋体" w:hAnsi="宋体" w:eastAsia="宋体" w:cs="宋体"/>
                <w:b/>
                <w:bCs/>
                <w:i w:val="0"/>
                <w:iCs w:val="0"/>
                <w:color w:val="000000"/>
                <w:kern w:val="0"/>
                <w:sz w:val="22"/>
                <w:szCs w:val="22"/>
                <w:u w:val="none"/>
                <w:lang w:val="en-US" w:eastAsia="zh-CN" w:bidi="ar"/>
              </w:rPr>
              <w:t>配电房维保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维保内容</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配电房内设备维保</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设备灰尘清理、金属连接螺栓紧固、电缆外观检查、二次回路检查、充电模块清洁</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一年二次维保（高压柜85台、变压器23台、低压柜133台）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设备巡检</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每月两次巡检、出具巡检报告，协助我方倒闸操作、故障处理（巡检内容详见附件）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月度巡检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8"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故障问题排查分析</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24小时电话服务、突发情况1小时到达现场进行故障排查分析判断（针对故障问题处理额外付费）</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8"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配电房改造配合服务</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临时故障的处理，包括物探、断路器检测、保护系统调整等等</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活动保障</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制定活动保障方案，活动期间现场需有人值守（至少1人）</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总计（A+B）（元）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2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提示：</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1、请开具增值税专用发票，并标注开票税率（ ）%；</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2、报价包含运输、安装、施工、辅材等费用；</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3、如需现场查勘，请联系</w:t>
            </w:r>
            <w:r>
              <w:rPr>
                <w:rFonts w:hint="eastAsia" w:ascii="宋体" w:hAnsi="宋体" w:eastAsia="宋体" w:cs="宋体"/>
                <w:i w:val="0"/>
                <w:iCs w:val="0"/>
                <w:color w:val="000000"/>
                <w:sz w:val="24"/>
                <w:szCs w:val="24"/>
                <w:u w:val="none"/>
                <w:lang w:val="en-US" w:eastAsia="zh-CN"/>
              </w:rPr>
              <w:t>张</w:t>
            </w:r>
            <w:r>
              <w:rPr>
                <w:rFonts w:hint="eastAsia" w:ascii="宋体" w:hAnsi="宋体" w:eastAsia="宋体" w:cs="宋体"/>
                <w:i w:val="0"/>
                <w:iCs w:val="0"/>
                <w:color w:val="000000"/>
                <w:sz w:val="24"/>
                <w:szCs w:val="24"/>
                <w:u w:val="none"/>
              </w:rPr>
              <w:t>工</w:t>
            </w:r>
            <w:r>
              <w:rPr>
                <w:rFonts w:hint="eastAsia" w:ascii="宋体" w:hAnsi="宋体" w:eastAsia="宋体" w:cs="宋体"/>
                <w:i w:val="0"/>
                <w:iCs w:val="0"/>
                <w:color w:val="000000"/>
                <w:sz w:val="24"/>
                <w:szCs w:val="24"/>
                <w:u w:val="none"/>
                <w:lang w:val="en-US" w:eastAsia="zh-CN"/>
              </w:rPr>
              <w:t>18252580121</w:t>
            </w:r>
            <w:r>
              <w:rPr>
                <w:rFonts w:hint="eastAsia" w:ascii="宋体" w:hAnsi="宋体" w:eastAsia="宋体" w:cs="宋体"/>
                <w:i w:val="0"/>
                <w:iCs w:val="0"/>
                <w:color w:val="000000"/>
                <w:sz w:val="24"/>
                <w:szCs w:val="24"/>
                <w:u w:val="none"/>
              </w:rPr>
              <w:t xml:space="preserve">。  </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报价单位（盖章）：                              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942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bl>
    <w:p>
      <w:pPr>
        <w:rPr>
          <w:rFonts w:hint="eastAsia"/>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default"/>
          <w:lang w:val="en-US" w:eastAsia="zh-CN"/>
        </w:rPr>
      </w:pPr>
      <w:bookmarkStart w:id="0" w:name="_GoBack"/>
      <w:bookmarkEnd w:id="0"/>
      <w:r>
        <w:rPr>
          <w:rFonts w:hint="eastAsia" w:ascii="仿宋_GB2312" w:hAnsi="仿宋_GB2312" w:eastAsia="仿宋_GB2312" w:cs="仿宋_GB2312"/>
          <w:sz w:val="32"/>
          <w:szCs w:val="32"/>
          <w:lang w:val="en-US" w:eastAsia="zh-CN"/>
        </w:rPr>
        <w:t>附件二</w:t>
      </w:r>
    </w:p>
    <w:p>
      <w:pPr>
        <w:jc w:val="center"/>
        <w:rPr>
          <w:rFonts w:hint="eastAsia" w:ascii="方正小标宋简体" w:hAnsi="方正小标宋简体" w:eastAsia="方正小标宋简体" w:cs="方正小标宋简体"/>
          <w:b/>
          <w:bCs/>
          <w:color w:val="auto"/>
          <w:kern w:val="2"/>
          <w:sz w:val="40"/>
          <w:szCs w:val="40"/>
          <w:lang w:val="en-US" w:eastAsia="zh-CN" w:bidi="ar-SA"/>
        </w:rPr>
      </w:pPr>
      <w:r>
        <w:rPr>
          <w:rFonts w:hint="eastAsia" w:ascii="方正小标宋简体" w:hAnsi="方正小标宋简体" w:eastAsia="方正小标宋简体" w:cs="方正小标宋简体"/>
          <w:b/>
          <w:bCs/>
          <w:color w:val="auto"/>
          <w:kern w:val="2"/>
          <w:sz w:val="40"/>
          <w:szCs w:val="40"/>
          <w:lang w:val="en-US" w:eastAsia="zh-CN" w:bidi="ar-SA"/>
        </w:rPr>
        <w:t>服务需求</w:t>
      </w:r>
    </w:p>
    <w:p>
      <w:pPr>
        <w:numPr>
          <w:ilvl w:val="0"/>
          <w:numId w:val="2"/>
        </w:numPr>
        <w:jc w:val="both"/>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项目概况：对合肥体育中心、天鹅湖全民健身中心高压供配电维保服务（甲方所属设施：85台高压柜、133台低压柜、23台变压器、39根高压电力电缆）。维保期限暂定为一年，维保服务具体内容详见采购要求。</w:t>
      </w:r>
    </w:p>
    <w:p>
      <w:pPr>
        <w:numPr>
          <w:ilvl w:val="0"/>
          <w:numId w:val="2"/>
        </w:numPr>
        <w:jc w:val="both"/>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采购要求：</w:t>
      </w:r>
    </w:p>
    <w:p>
      <w:pPr>
        <w:numPr>
          <w:ilvl w:val="0"/>
          <w:numId w:val="3"/>
        </w:numPr>
        <w:ind w:left="0" w:leftChars="0" w:firstLine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对合肥体育中心、天鹅湖全民健身中心7个变电所所有高低压配电柜及变压器进行检测，并出具</w:t>
      </w:r>
      <w:r>
        <w:rPr>
          <w:rFonts w:hint="eastAsia" w:ascii="仿宋_GB2312" w:hAnsi="仿宋_GB2312" w:eastAsia="仿宋_GB2312" w:cs="仿宋_GB2312"/>
          <w:color w:val="auto"/>
          <w:sz w:val="28"/>
          <w:szCs w:val="28"/>
          <w:highlight w:val="none"/>
          <w:lang w:val="en-US" w:eastAsia="zh-CN"/>
        </w:rPr>
        <w:t>相关的检测报告</w:t>
      </w:r>
      <w:r>
        <w:rPr>
          <w:rFonts w:hint="eastAsia" w:ascii="仿宋_GB2312" w:hAnsi="仿宋_GB2312" w:eastAsia="仿宋_GB2312" w:cs="仿宋_GB2312"/>
          <w:color w:val="auto"/>
          <w:sz w:val="28"/>
          <w:szCs w:val="28"/>
          <w:lang w:val="en-US" w:eastAsia="zh-CN"/>
        </w:rPr>
        <w:t>；针对检测出的缺陷及安全隐患，制定针对性的解决方案，对涉及更换设备零部件的安全故障及隐患，所需设备及零部件我方负责；</w:t>
      </w:r>
    </w:p>
    <w:p>
      <w:pPr>
        <w:numPr>
          <w:ilvl w:val="0"/>
          <w:numId w:val="3"/>
        </w:numPr>
        <w:ind w:left="0" w:leftChars="0" w:firstLine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防护用具检测，提供检测报告并整改；</w:t>
      </w:r>
    </w:p>
    <w:p>
      <w:pPr>
        <w:numPr>
          <w:ilvl w:val="0"/>
          <w:numId w:val="3"/>
        </w:numPr>
        <w:ind w:left="0" w:leftChars="0" w:firstLine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制定高低压配电巡检，并按期提交巡检记录、检修登记制度及台账，并留存影像资料，巡视，检修登记台账每月提供给业主单位一份，；</w:t>
      </w:r>
    </w:p>
    <w:p>
      <w:pPr>
        <w:numPr>
          <w:ilvl w:val="0"/>
          <w:numId w:val="3"/>
        </w:numPr>
        <w:ind w:left="0" w:leftChars="0" w:firstLine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针对合肥体育中心、天鹅湖全民健身中心高压维保项目制定符合现场的维保和维修方案；涉及高压配电房或箱变等周边树木清障，鸟窝清除及其他隐患排查与清除；</w:t>
      </w:r>
    </w:p>
    <w:p>
      <w:pPr>
        <w:numPr>
          <w:ilvl w:val="0"/>
          <w:numId w:val="3"/>
        </w:numPr>
        <w:ind w:left="0" w:leftChars="0" w:firstLine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针对合肥体育中心、天鹅湖全民健身中心高压维保项目情况合理安排时间进行倒闸操作及灰尘清理等，现场对合肥体育中心配电房值班人员进行培训（一年不低于2次）；常用的设备辅助易损配件更换（如电缆头、抽屉柜紧固件、高压柜紧固件等材料所有费用包含在本次招标范围内）；</w:t>
      </w:r>
    </w:p>
    <w:p>
      <w:pPr>
        <w:numPr>
          <w:ilvl w:val="0"/>
          <w:numId w:val="3"/>
        </w:numPr>
        <w:ind w:left="0" w:leftChars="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设置24小时值班电话，确保发生任何故障能</w:t>
      </w:r>
      <w:r>
        <w:rPr>
          <w:rFonts w:hint="eastAsia" w:ascii="仿宋_GB2312" w:hAnsi="仿宋_GB2312" w:eastAsia="仿宋_GB2312" w:cs="仿宋_GB2312"/>
          <w:sz w:val="28"/>
          <w:szCs w:val="28"/>
          <w:highlight w:val="none"/>
          <w:lang w:val="en-US" w:eastAsia="zh-CN"/>
        </w:rPr>
        <w:t>第一时间（1小时内）</w:t>
      </w:r>
      <w:r>
        <w:rPr>
          <w:rFonts w:hint="eastAsia" w:ascii="仿宋_GB2312" w:hAnsi="仿宋_GB2312" w:eastAsia="仿宋_GB2312" w:cs="仿宋_GB2312"/>
          <w:sz w:val="28"/>
          <w:szCs w:val="28"/>
          <w:lang w:val="en-US" w:eastAsia="zh-CN"/>
        </w:rPr>
        <w:t>赶到现场进行排查和解决故障；</w:t>
      </w:r>
    </w:p>
    <w:p>
      <w:pPr>
        <w:numPr>
          <w:ilvl w:val="0"/>
          <w:numId w:val="3"/>
        </w:numPr>
        <w:ind w:left="0" w:leftChars="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制定活动保障方案，活动期间现场需有人值守（至少1人），保障合肥体育中心活动用电，</w:t>
      </w:r>
      <w:r>
        <w:rPr>
          <w:rFonts w:hint="eastAsia" w:ascii="仿宋_GB2312" w:hAnsi="仿宋_GB2312" w:eastAsia="仿宋_GB2312" w:cs="仿宋_GB2312"/>
          <w:sz w:val="28"/>
          <w:szCs w:val="28"/>
          <w:highlight w:val="none"/>
          <w:lang w:val="en-US" w:eastAsia="zh-CN"/>
        </w:rPr>
        <w:t>遇见低压柜跳闸、电流过载、三相用电严重不平衡等情况发生时，及时采取应急措施处理</w:t>
      </w:r>
      <w:r>
        <w:rPr>
          <w:rFonts w:hint="eastAsia" w:ascii="仿宋_GB2312" w:hAnsi="仿宋_GB2312" w:eastAsia="仿宋_GB2312" w:cs="仿宋_GB2312"/>
          <w:sz w:val="28"/>
          <w:szCs w:val="28"/>
          <w:lang w:val="en-US" w:eastAsia="zh-CN"/>
        </w:rPr>
        <w:t>；</w:t>
      </w:r>
    </w:p>
    <w:p>
      <w:pPr>
        <w:numPr>
          <w:ilvl w:val="0"/>
          <w:numId w:val="3"/>
        </w:numPr>
        <w:ind w:left="0" w:leftChars="0" w:firstLine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制定应急停电和电气设备应急预案，每半年至少针对合肥体育中</w:t>
      </w:r>
      <w:r>
        <w:rPr>
          <w:rFonts w:hint="eastAsia" w:ascii="仿宋_GB2312" w:hAnsi="仿宋_GB2312" w:eastAsia="仿宋_GB2312" w:cs="仿宋_GB2312"/>
          <w:color w:val="auto"/>
          <w:sz w:val="28"/>
          <w:szCs w:val="28"/>
          <w:lang w:val="en-US" w:eastAsia="zh-CN"/>
        </w:rPr>
        <w:t>心进行一次不同类型的应急演练；</w:t>
      </w:r>
    </w:p>
    <w:p>
      <w:pPr>
        <w:numPr>
          <w:ilvl w:val="0"/>
          <w:numId w:val="3"/>
        </w:numPr>
        <w:ind w:left="0" w:leftChars="0" w:firstLineChars="0"/>
        <w:jc w:val="both"/>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auto"/>
          <w:sz w:val="28"/>
          <w:szCs w:val="28"/>
          <w:lang w:val="en-US" w:eastAsia="zh-CN"/>
        </w:rPr>
        <w:t>所有参与维保</w:t>
      </w:r>
      <w:r>
        <w:rPr>
          <w:rFonts w:hint="eastAsia" w:ascii="仿宋_GB2312" w:hAnsi="仿宋_GB2312" w:eastAsia="仿宋_GB2312" w:cs="仿宋_GB2312"/>
          <w:sz w:val="28"/>
          <w:szCs w:val="28"/>
          <w:lang w:val="en-US" w:eastAsia="zh-CN"/>
        </w:rPr>
        <w:t>人员必须持证上岗</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auto"/>
          <w:sz w:val="28"/>
          <w:szCs w:val="28"/>
          <w:lang w:val="en-US" w:eastAsia="zh-CN"/>
        </w:rPr>
        <w:t>自觉接受采购人单位及有关部门的监督管理，无条件服从采购人单位的24小时工作调度（含工程实施、设施调查、现场勘查等）。具体为接到采购人单位电话和短信通知后在规定的时间内准时到达指定位置。每逢法定节日（含元旦、春节、五一、国庆等），必须无条件服从采购人单位组织的突击性任务及迎检活动，按时、按标准、按要求完成采购人单位所分配的工作，如在迎检活动中，由于工作不到位造成迎检所在项目不合格， 罚款2000-10000元，如累计有两次迎检工作因不到位造成迎检所在项目不合格的， 采购人单位有权解除合同，并按合同价款10%的违约金追究维护单位违约责任；</w:t>
      </w:r>
    </w:p>
    <w:p>
      <w:pPr>
        <w:numPr>
          <w:ilvl w:val="0"/>
          <w:numId w:val="3"/>
        </w:numPr>
        <w:ind w:left="0" w:leftChars="0" w:firstLineChars="0"/>
        <w:jc w:val="both"/>
        <w:rPr>
          <w:rFonts w:hint="default"/>
          <w:lang w:val="en-US" w:eastAsia="zh-CN"/>
        </w:rPr>
      </w:pPr>
      <w:r>
        <w:rPr>
          <w:rFonts w:hint="eastAsia" w:ascii="仿宋_GB2312" w:hAnsi="仿宋_GB2312" w:eastAsia="仿宋_GB2312" w:cs="仿宋_GB2312"/>
          <w:sz w:val="28"/>
          <w:szCs w:val="28"/>
          <w:lang w:val="en-US" w:eastAsia="zh-CN"/>
        </w:rPr>
        <w:t>配合配电房及高压改造施工过程中出现临时故障的处理，包括物探、断路器检测、保护系统调整等等；</w:t>
      </w:r>
    </w:p>
    <w:p>
      <w:pPr>
        <w:numPr>
          <w:ilvl w:val="0"/>
          <w:numId w:val="0"/>
        </w:num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color w:val="auto"/>
          <w:sz w:val="28"/>
          <w:szCs w:val="28"/>
          <w:lang w:val="en-US" w:eastAsia="zh-CN"/>
        </w:rPr>
        <w:t>、作业人员在作业时应当统一着装和工牌，必须穿戴具有反光和公司标识的安全标志服装和防护帽，并按照要求采取有效的安全防护措施，必要时应安排专职的安全人员对施工作业区域进行安全管理和监督，另配合甲方所提出的不违反法律法规及合同约定的其他事项服务内容；</w:t>
      </w:r>
    </w:p>
    <w:p>
      <w:pPr>
        <w:numPr>
          <w:ilvl w:val="0"/>
          <w:numId w:val="0"/>
        </w:num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三、相关检测服务项目</w:t>
      </w:r>
    </w:p>
    <w:tbl>
      <w:tblPr>
        <w:tblStyle w:val="13"/>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327"/>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设备名称</w:t>
            </w:r>
          </w:p>
        </w:tc>
        <w:tc>
          <w:tcPr>
            <w:tcW w:w="1327"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6069"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71"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高压柜</w:t>
            </w:r>
          </w:p>
        </w:tc>
        <w:tc>
          <w:tcPr>
            <w:tcW w:w="1327"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85台</w:t>
            </w:r>
          </w:p>
        </w:tc>
        <w:tc>
          <w:tcPr>
            <w:tcW w:w="6069" w:type="dxa"/>
            <w:noWrap w:val="0"/>
            <w:vAlign w:val="top"/>
          </w:tcPr>
          <w:p>
            <w:pPr>
              <w:numPr>
                <w:ilvl w:val="0"/>
                <w:numId w:val="0"/>
              </w:numPr>
              <w:jc w:val="center"/>
              <w:rPr>
                <w:rFonts w:hint="eastAsia" w:ascii="宋体" w:hAnsi="宋体" w:eastAsia="宋体" w:cs="宋体"/>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绝缘特性检测、开关特性检测、保护装置检测等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低压柜</w:t>
            </w:r>
          </w:p>
        </w:tc>
        <w:tc>
          <w:tcPr>
            <w:tcW w:w="1327"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lang w:val="en-US" w:eastAsia="zh-CN"/>
              </w:rPr>
              <w:t>台</w:t>
            </w:r>
          </w:p>
        </w:tc>
        <w:tc>
          <w:tcPr>
            <w:tcW w:w="6069"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电气性能检测、功能检测等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变压器</w:t>
            </w:r>
          </w:p>
        </w:tc>
        <w:tc>
          <w:tcPr>
            <w:tcW w:w="1327"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23台</w:t>
            </w:r>
          </w:p>
        </w:tc>
        <w:tc>
          <w:tcPr>
            <w:tcW w:w="6069"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绝缘性能测试、直流电阻测试、空载测试、耐压测试、噪声测试等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高压电缆</w:t>
            </w:r>
          </w:p>
        </w:tc>
        <w:tc>
          <w:tcPr>
            <w:tcW w:w="1327"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39根</w:t>
            </w:r>
          </w:p>
        </w:tc>
        <w:tc>
          <w:tcPr>
            <w:tcW w:w="6069"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主要电气性能检测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noWrap w:val="0"/>
            <w:vAlign w:val="top"/>
          </w:tcPr>
          <w:p>
            <w:pPr>
              <w:numPr>
                <w:ilvl w:val="0"/>
                <w:numId w:val="0"/>
              </w:num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防护用具及配电房接地设施</w:t>
            </w:r>
          </w:p>
        </w:tc>
        <w:tc>
          <w:tcPr>
            <w:tcW w:w="1327" w:type="dxa"/>
            <w:noWrap w:val="0"/>
            <w:vAlign w:val="top"/>
          </w:tcPr>
          <w:p>
            <w:pPr>
              <w:numPr>
                <w:ilvl w:val="0"/>
                <w:numId w:val="0"/>
              </w:numPr>
              <w:jc w:val="center"/>
              <w:rPr>
                <w:rFonts w:hint="eastAsia" w:ascii="仿宋_GB2312" w:hAnsi="仿宋_GB2312" w:eastAsia="仿宋_GB2312" w:cs="仿宋_GB2312"/>
                <w:sz w:val="28"/>
                <w:szCs w:val="28"/>
                <w:lang w:val="en-US" w:eastAsia="zh-CN"/>
              </w:rPr>
            </w:pPr>
          </w:p>
          <w:p>
            <w:pPr>
              <w:numPr>
                <w:ilvl w:val="0"/>
                <w:numId w:val="0"/>
              </w:num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6069" w:type="dxa"/>
            <w:noWrap w:val="0"/>
            <w:vAlign w:val="top"/>
          </w:tcPr>
          <w:p>
            <w:pPr>
              <w:numPr>
                <w:ilvl w:val="0"/>
                <w:numId w:val="0"/>
              </w:num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接地电阻测试、绝缘电阻测试、耐压试验等</w:t>
            </w:r>
          </w:p>
        </w:tc>
      </w:tr>
    </w:tbl>
    <w:p>
      <w:pPr>
        <w:numPr>
          <w:ilvl w:val="0"/>
          <w:numId w:val="0"/>
        </w:numPr>
        <w:ind w:left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四、付款方式</w:t>
      </w:r>
    </w:p>
    <w:p>
      <w:pPr>
        <w:numPr>
          <w:ilvl w:val="0"/>
          <w:numId w:val="0"/>
        </w:numPr>
        <w:ind w:leftChars="0"/>
        <w:jc w:val="both"/>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甲方的维保服务费按【季度】支付，每季度维保结束后，甲方安排考核小组根据维保服务的执行情况、故障处理情况、环境卫生及人员管理等方面进行综合考核，根据考核结果进行打分并计算维保服务费。甲方于</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30</w:t>
      </w:r>
      <w:r>
        <w:rPr>
          <w:rFonts w:hint="default" w:ascii="仿宋_GB2312" w:hAnsi="仿宋_GB2312" w:eastAsia="仿宋_GB2312" w:cs="仿宋_GB2312"/>
          <w:color w:val="auto"/>
          <w:sz w:val="28"/>
          <w:szCs w:val="28"/>
          <w:lang w:val="en-US" w:eastAsia="zh-CN"/>
        </w:rPr>
        <w:t>】</w:t>
      </w:r>
      <w:r>
        <w:rPr>
          <w:rFonts w:hint="default" w:ascii="仿宋_GB2312" w:hAnsi="仿宋_GB2312" w:eastAsia="仿宋_GB2312" w:cs="仿宋_GB2312"/>
          <w:sz w:val="28"/>
          <w:szCs w:val="28"/>
          <w:lang w:val="en-US" w:eastAsia="zh-CN"/>
        </w:rPr>
        <w:t>工作日内，向乙方支付上一【季度】维保服务费（乙方根据考核计算后的维保服务费提供符合法律规定且相应数额的增值税专用发票）。否则甲方有权拒绝付款且不因此承担任何违约责任。</w:t>
      </w:r>
    </w:p>
    <w:p>
      <w:pPr>
        <w:numPr>
          <w:ilvl w:val="0"/>
          <w:numId w:val="4"/>
        </w:numPr>
        <w:jc w:val="both"/>
        <w:rPr>
          <w:rFonts w:hint="eastAsia"/>
          <w:lang w:val="en-US" w:eastAsia="zh-CN"/>
        </w:rPr>
      </w:pPr>
      <w:r>
        <w:rPr>
          <w:rFonts w:hint="eastAsia" w:ascii="仿宋_GB2312" w:hAnsi="仿宋_GB2312" w:eastAsia="仿宋_GB2312" w:cs="仿宋_GB2312"/>
          <w:sz w:val="28"/>
          <w:szCs w:val="28"/>
          <w:lang w:val="en-US" w:eastAsia="zh-CN"/>
        </w:rPr>
        <w:t>考核明细</w:t>
      </w:r>
    </w:p>
    <w:tbl>
      <w:tblPr>
        <w:tblStyle w:val="186"/>
        <w:tblW w:w="9650" w:type="dxa"/>
        <w:tblInd w:w="-3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7"/>
        <w:gridCol w:w="2113"/>
        <w:gridCol w:w="4140"/>
        <w:gridCol w:w="796"/>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9650" w:type="dxa"/>
            <w:gridSpan w:val="5"/>
            <w:noWrap w:val="0"/>
            <w:vAlign w:val="top"/>
          </w:tcPr>
          <w:p>
            <w:pPr>
              <w:spacing w:line="444" w:lineRule="auto"/>
              <w:rPr>
                <w:rFonts w:hint="eastAsia" w:ascii="宋体" w:hAnsi="宋体" w:eastAsia="宋体" w:cs="宋体"/>
                <w:color w:val="auto"/>
                <w:sz w:val="21"/>
                <w:szCs w:val="21"/>
                <w:highlight w:val="none"/>
              </w:rPr>
            </w:pPr>
          </w:p>
          <w:p>
            <w:pPr>
              <w:pStyle w:val="187"/>
              <w:spacing w:before="65" w:line="227"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合肥体育中心和天鹅湖全民健身中心</w:t>
            </w:r>
            <w:r>
              <w:rPr>
                <w:rFonts w:hint="eastAsia" w:ascii="宋体" w:hAnsi="宋体" w:eastAsia="宋体" w:cs="宋体"/>
                <w:color w:val="auto"/>
                <w:spacing w:val="10"/>
                <w:sz w:val="21"/>
                <w:szCs w:val="21"/>
                <w:highlight w:val="none"/>
                <w:lang w:val="en-US" w:eastAsia="zh-CN"/>
              </w:rPr>
              <w:t>2024</w:t>
            </w:r>
            <w:r>
              <w:rPr>
                <w:rFonts w:hint="eastAsia" w:ascii="宋体" w:hAnsi="宋体" w:eastAsia="宋体" w:cs="宋体"/>
                <w:color w:val="auto"/>
                <w:spacing w:val="10"/>
                <w:sz w:val="21"/>
                <w:szCs w:val="21"/>
                <w:highlight w:val="none"/>
              </w:rPr>
              <w:t>年度</w:t>
            </w:r>
            <w:r>
              <w:rPr>
                <w:rFonts w:hint="eastAsia" w:ascii="宋体" w:hAnsi="宋体" w:eastAsia="宋体" w:cs="宋体"/>
                <w:color w:val="auto"/>
                <w:spacing w:val="10"/>
                <w:sz w:val="21"/>
                <w:szCs w:val="21"/>
                <w:highlight w:val="none"/>
                <w:lang w:val="en-US" w:eastAsia="zh-CN"/>
              </w:rPr>
              <w:t>高压维保</w:t>
            </w:r>
            <w:r>
              <w:rPr>
                <w:rFonts w:hint="eastAsia" w:ascii="宋体" w:hAnsi="宋体" w:eastAsia="宋体" w:cs="宋体"/>
                <w:color w:val="auto"/>
                <w:spacing w:val="10"/>
                <w:sz w:val="21"/>
                <w:szCs w:val="21"/>
                <w:highlight w:val="none"/>
              </w:rPr>
              <w:t>服务项目考核评分表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650" w:type="dxa"/>
            <w:gridSpan w:val="2"/>
            <w:noWrap w:val="0"/>
            <w:vAlign w:val="top"/>
          </w:tcPr>
          <w:p>
            <w:pPr>
              <w:pStyle w:val="187"/>
              <w:spacing w:before="187" w:line="228" w:lineRule="auto"/>
              <w:ind w:left="44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被考核单位：</w:t>
            </w:r>
          </w:p>
        </w:tc>
        <w:tc>
          <w:tcPr>
            <w:tcW w:w="4140" w:type="dxa"/>
            <w:noWrap w:val="0"/>
            <w:vAlign w:val="top"/>
          </w:tcPr>
          <w:p>
            <w:pPr>
              <w:rPr>
                <w:rFonts w:hint="eastAsia" w:ascii="宋体" w:hAnsi="宋体" w:eastAsia="宋体" w:cs="宋体"/>
                <w:color w:val="auto"/>
                <w:sz w:val="21"/>
                <w:szCs w:val="21"/>
                <w:highlight w:val="none"/>
              </w:rPr>
            </w:pPr>
          </w:p>
        </w:tc>
        <w:tc>
          <w:tcPr>
            <w:tcW w:w="1860" w:type="dxa"/>
            <w:gridSpan w:val="2"/>
            <w:noWrap w:val="0"/>
            <w:vAlign w:val="top"/>
          </w:tcPr>
          <w:p>
            <w:pPr>
              <w:pStyle w:val="187"/>
              <w:spacing w:before="187" w:line="228" w:lineRule="auto"/>
              <w:ind w:left="44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考核时间：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537" w:type="dxa"/>
            <w:noWrap w:val="0"/>
            <w:vAlign w:val="top"/>
          </w:tcPr>
          <w:p>
            <w:pPr>
              <w:spacing w:line="252" w:lineRule="auto"/>
              <w:jc w:val="center"/>
              <w:rPr>
                <w:rFonts w:hint="eastAsia" w:ascii="宋体" w:hAnsi="宋体" w:eastAsia="宋体" w:cs="宋体"/>
                <w:color w:val="auto"/>
                <w:sz w:val="21"/>
                <w:szCs w:val="21"/>
                <w:highlight w:val="none"/>
              </w:rPr>
            </w:pPr>
          </w:p>
          <w:p>
            <w:pPr>
              <w:pStyle w:val="187"/>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考核项目</w:t>
            </w:r>
          </w:p>
        </w:tc>
        <w:tc>
          <w:tcPr>
            <w:tcW w:w="2113" w:type="dxa"/>
            <w:noWrap w:val="0"/>
            <w:vAlign w:val="top"/>
          </w:tcPr>
          <w:p>
            <w:pPr>
              <w:spacing w:line="252" w:lineRule="auto"/>
              <w:jc w:val="center"/>
              <w:rPr>
                <w:rFonts w:hint="eastAsia" w:ascii="宋体" w:hAnsi="宋体" w:eastAsia="宋体" w:cs="宋体"/>
                <w:color w:val="auto"/>
                <w:sz w:val="21"/>
                <w:szCs w:val="21"/>
                <w:highlight w:val="none"/>
              </w:rPr>
            </w:pPr>
          </w:p>
          <w:p>
            <w:pPr>
              <w:pStyle w:val="187"/>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考核内容</w:t>
            </w:r>
          </w:p>
        </w:tc>
        <w:tc>
          <w:tcPr>
            <w:tcW w:w="4140" w:type="dxa"/>
            <w:noWrap w:val="0"/>
            <w:vAlign w:val="top"/>
          </w:tcPr>
          <w:p>
            <w:pPr>
              <w:spacing w:line="253" w:lineRule="auto"/>
              <w:jc w:val="center"/>
              <w:rPr>
                <w:rFonts w:hint="eastAsia" w:ascii="宋体" w:hAnsi="宋体" w:eastAsia="宋体" w:cs="宋体"/>
                <w:color w:val="auto"/>
                <w:sz w:val="21"/>
                <w:szCs w:val="21"/>
                <w:highlight w:val="none"/>
              </w:rPr>
            </w:pPr>
          </w:p>
          <w:p>
            <w:pPr>
              <w:pStyle w:val="187"/>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评分标准</w:t>
            </w:r>
          </w:p>
        </w:tc>
        <w:tc>
          <w:tcPr>
            <w:tcW w:w="796" w:type="dxa"/>
            <w:noWrap w:val="0"/>
            <w:vAlign w:val="top"/>
          </w:tcPr>
          <w:p>
            <w:pPr>
              <w:spacing w:line="252" w:lineRule="auto"/>
              <w:jc w:val="center"/>
              <w:rPr>
                <w:rFonts w:hint="eastAsia" w:ascii="宋体" w:hAnsi="宋体" w:eastAsia="宋体" w:cs="宋体"/>
                <w:color w:val="auto"/>
                <w:sz w:val="21"/>
                <w:szCs w:val="21"/>
                <w:highlight w:val="none"/>
              </w:rPr>
            </w:pPr>
          </w:p>
          <w:p>
            <w:pPr>
              <w:pStyle w:val="187"/>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满分</w:t>
            </w:r>
          </w:p>
        </w:tc>
        <w:tc>
          <w:tcPr>
            <w:tcW w:w="1064" w:type="dxa"/>
            <w:noWrap w:val="0"/>
            <w:vAlign w:val="top"/>
          </w:tcPr>
          <w:p>
            <w:pPr>
              <w:spacing w:line="252" w:lineRule="auto"/>
              <w:jc w:val="center"/>
              <w:rPr>
                <w:rFonts w:hint="eastAsia" w:ascii="宋体" w:hAnsi="宋体" w:eastAsia="宋体" w:cs="宋体"/>
                <w:color w:val="auto"/>
                <w:sz w:val="21"/>
                <w:szCs w:val="21"/>
                <w:highlight w:val="none"/>
              </w:rPr>
            </w:pPr>
          </w:p>
          <w:p>
            <w:pPr>
              <w:pStyle w:val="187"/>
              <w:spacing w:before="65" w:line="228" w:lineRule="auto"/>
              <w:ind w:left="127"/>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考核得分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537" w:type="dxa"/>
            <w:noWrap w:val="0"/>
            <w:vAlign w:val="top"/>
          </w:tcPr>
          <w:p>
            <w:pPr>
              <w:pStyle w:val="187"/>
              <w:spacing w:before="65" w:line="228" w:lineRule="auto"/>
              <w:jc w:val="right"/>
              <w:rPr>
                <w:rFonts w:hint="eastAsia" w:ascii="宋体" w:hAnsi="宋体" w:eastAsia="宋体" w:cs="宋体"/>
                <w:color w:val="auto"/>
                <w:sz w:val="21"/>
                <w:szCs w:val="21"/>
                <w:highlight w:val="none"/>
              </w:rPr>
            </w:pPr>
          </w:p>
          <w:p>
            <w:pPr>
              <w:numPr>
                <w:ilvl w:val="0"/>
                <w:numId w:val="5"/>
              </w:numPr>
              <w:bidi w:val="0"/>
              <w:jc w:val="center"/>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管理</w:t>
            </w:r>
          </w:p>
          <w:p>
            <w:pPr>
              <w:numPr>
                <w:ilvl w:val="0"/>
                <w:numId w:val="0"/>
              </w:numPr>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3"/>
                <w:sz w:val="21"/>
                <w:szCs w:val="21"/>
                <w:highlight w:val="none"/>
              </w:rPr>
              <w:t>（10</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分</w:t>
            </w:r>
            <w:r>
              <w:rPr>
                <w:rFonts w:hint="eastAsia" w:ascii="宋体" w:hAnsi="宋体" w:eastAsia="宋体" w:cs="宋体"/>
                <w:color w:val="auto"/>
                <w:spacing w:val="-13"/>
                <w:sz w:val="21"/>
                <w:szCs w:val="21"/>
                <w:highlight w:val="none"/>
                <w:lang w:eastAsia="zh-CN"/>
              </w:rPr>
              <w:t>）</w:t>
            </w:r>
          </w:p>
        </w:tc>
        <w:tc>
          <w:tcPr>
            <w:tcW w:w="2113" w:type="dxa"/>
            <w:noWrap w:val="0"/>
            <w:vAlign w:val="top"/>
          </w:tcPr>
          <w:p>
            <w:pPr>
              <w:pStyle w:val="187"/>
              <w:spacing w:before="200" w:line="439" w:lineRule="exact"/>
              <w:ind w:left="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position w:val="17"/>
                <w:sz w:val="21"/>
                <w:szCs w:val="21"/>
                <w:highlight w:val="none"/>
              </w:rPr>
              <w:t>及时响应及履行招标文件</w:t>
            </w:r>
            <w:r>
              <w:rPr>
                <w:rFonts w:hint="eastAsia" w:ascii="宋体" w:hAnsi="宋体" w:eastAsia="宋体" w:cs="宋体"/>
                <w:color w:val="auto"/>
                <w:spacing w:val="9"/>
                <w:position w:val="17"/>
                <w:sz w:val="21"/>
                <w:szCs w:val="21"/>
                <w:highlight w:val="none"/>
                <w:lang w:val="en-US" w:eastAsia="zh-CN"/>
              </w:rPr>
              <w:t>相关条款</w:t>
            </w:r>
          </w:p>
        </w:tc>
        <w:tc>
          <w:tcPr>
            <w:tcW w:w="4140" w:type="dxa"/>
            <w:noWrap w:val="0"/>
            <w:vAlign w:val="top"/>
          </w:tcPr>
          <w:p>
            <w:pPr>
              <w:pStyle w:val="187"/>
              <w:spacing w:before="200" w:line="439"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满分10分，发现未按招标文件相关条款响应及履行的，每次扣2分，扣完为止。</w:t>
            </w:r>
          </w:p>
        </w:tc>
        <w:tc>
          <w:tcPr>
            <w:tcW w:w="796" w:type="dxa"/>
            <w:noWrap w:val="0"/>
            <w:vAlign w:val="top"/>
          </w:tcPr>
          <w:p>
            <w:pPr>
              <w:spacing w:before="61" w:line="186" w:lineRule="auto"/>
              <w:ind w:left="427"/>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1537" w:type="dxa"/>
            <w:noWrap w:val="0"/>
            <w:vAlign w:val="top"/>
          </w:tcPr>
          <w:p>
            <w:pPr>
              <w:pStyle w:val="187"/>
              <w:spacing w:line="228" w:lineRule="auto"/>
              <w:ind w:left="247"/>
              <w:rPr>
                <w:rFonts w:hint="eastAsia" w:ascii="宋体" w:hAnsi="宋体" w:eastAsia="宋体" w:cs="宋体"/>
                <w:color w:val="auto"/>
                <w:sz w:val="21"/>
                <w:szCs w:val="21"/>
                <w:highlight w:val="none"/>
              </w:rPr>
            </w:pPr>
          </w:p>
          <w:p>
            <w:pPr>
              <w:pStyle w:val="187"/>
              <w:spacing w:before="65" w:line="439" w:lineRule="exact"/>
              <w:ind w:left="6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position w:val="17"/>
                <w:sz w:val="21"/>
                <w:szCs w:val="21"/>
                <w:highlight w:val="none"/>
              </w:rPr>
              <w:t>二、项目服务</w:t>
            </w:r>
            <w:r>
              <w:rPr>
                <w:rFonts w:hint="eastAsia" w:ascii="宋体" w:hAnsi="宋体" w:eastAsia="宋体" w:cs="宋体"/>
                <w:color w:val="auto"/>
                <w:spacing w:val="8"/>
                <w:position w:val="17"/>
                <w:sz w:val="21"/>
                <w:szCs w:val="21"/>
                <w:highlight w:val="none"/>
                <w:lang w:val="en-US" w:eastAsia="zh-CN"/>
              </w:rPr>
              <w:t>情况</w:t>
            </w:r>
            <w:r>
              <w:rPr>
                <w:rFonts w:hint="eastAsia" w:ascii="宋体" w:hAnsi="宋体" w:eastAsia="宋体" w:cs="宋体"/>
                <w:color w:val="auto"/>
                <w:spacing w:val="2"/>
                <w:sz w:val="21"/>
                <w:szCs w:val="21"/>
                <w:highlight w:val="none"/>
              </w:rPr>
              <w:t>（85</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分）</w:t>
            </w:r>
          </w:p>
        </w:tc>
        <w:tc>
          <w:tcPr>
            <w:tcW w:w="2113" w:type="dxa"/>
            <w:noWrap w:val="0"/>
            <w:vAlign w:val="top"/>
          </w:tcPr>
          <w:p>
            <w:pPr>
              <w:pStyle w:val="187"/>
              <w:spacing w:before="65" w:line="228" w:lineRule="auto"/>
              <w:ind w:left="257"/>
              <w:rPr>
                <w:rFonts w:hint="eastAsia" w:ascii="宋体" w:hAnsi="宋体" w:eastAsia="宋体" w:cs="宋体"/>
                <w:color w:val="auto"/>
                <w:sz w:val="21"/>
                <w:szCs w:val="21"/>
                <w:highlight w:val="none"/>
              </w:rPr>
            </w:pPr>
          </w:p>
          <w:p>
            <w:pPr>
              <w:bidi w:val="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现场管理人员配置情况</w:t>
            </w:r>
          </w:p>
        </w:tc>
        <w:tc>
          <w:tcPr>
            <w:tcW w:w="4140" w:type="dxa"/>
            <w:noWrap w:val="0"/>
            <w:vAlign w:val="top"/>
          </w:tcPr>
          <w:p>
            <w:pPr>
              <w:pStyle w:val="187"/>
              <w:spacing w:before="189" w:line="407" w:lineRule="auto"/>
              <w:ind w:left="66" w:right="52" w:hanging="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项目在高压维保时间需配置4名现场人员，缺一个扣2分，满分8分；扣完为止，每月缺勤一次扣1分，满分10分，扣完为止。</w:t>
            </w:r>
          </w:p>
        </w:tc>
        <w:tc>
          <w:tcPr>
            <w:tcW w:w="796" w:type="dxa"/>
            <w:noWrap w:val="0"/>
            <w:vAlign w:val="top"/>
          </w:tcPr>
          <w:p>
            <w:pPr>
              <w:spacing w:before="61" w:line="186" w:lineRule="auto"/>
              <w:ind w:left="427"/>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537" w:type="dxa"/>
            <w:vMerge w:val="restart"/>
            <w:tcBorders>
              <w:bottom w:val="nil"/>
            </w:tcBorders>
            <w:noWrap w:val="0"/>
            <w:vAlign w:val="top"/>
          </w:tcPr>
          <w:p>
            <w:pPr>
              <w:rPr>
                <w:rFonts w:hint="eastAsia" w:ascii="宋体" w:hAnsi="宋体" w:eastAsia="宋体" w:cs="宋体"/>
                <w:color w:val="auto"/>
                <w:sz w:val="21"/>
                <w:szCs w:val="21"/>
                <w:highlight w:val="none"/>
              </w:rPr>
            </w:pPr>
          </w:p>
        </w:tc>
        <w:tc>
          <w:tcPr>
            <w:tcW w:w="2113" w:type="dxa"/>
            <w:noWrap w:val="0"/>
            <w:vAlign w:val="top"/>
          </w:tcPr>
          <w:p>
            <w:pPr>
              <w:pStyle w:val="187"/>
              <w:spacing w:before="188" w:line="228" w:lineRule="auto"/>
              <w:ind w:left="63"/>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rPr>
              <w:t>能积极配合招标人查勘现</w:t>
            </w:r>
            <w:r>
              <w:rPr>
                <w:rFonts w:hint="eastAsia" w:ascii="宋体" w:hAnsi="宋体" w:eastAsia="宋体" w:cs="宋体"/>
                <w:color w:val="auto"/>
                <w:spacing w:val="9"/>
                <w:sz w:val="21"/>
                <w:szCs w:val="21"/>
                <w:highlight w:val="none"/>
                <w:lang w:val="en-US" w:eastAsia="zh-CN"/>
              </w:rPr>
              <w:t>场并按照相关要求开展工作</w:t>
            </w:r>
          </w:p>
        </w:tc>
        <w:tc>
          <w:tcPr>
            <w:tcW w:w="4140" w:type="dxa"/>
            <w:noWrap w:val="0"/>
            <w:vAlign w:val="top"/>
          </w:tcPr>
          <w:p>
            <w:pPr>
              <w:pStyle w:val="187"/>
              <w:spacing w:before="188" w:line="228" w:lineRule="auto"/>
              <w:ind w:left="63"/>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符合要求得 10 分，配合不力 1 次1</w:t>
            </w:r>
            <w:r>
              <w:rPr>
                <w:rFonts w:hint="eastAsia" w:ascii="宋体" w:hAnsi="宋体" w:eastAsia="宋体" w:cs="宋体"/>
                <w:color w:val="auto"/>
                <w:spacing w:val="9"/>
                <w:sz w:val="21"/>
                <w:szCs w:val="21"/>
                <w:highlight w:val="none"/>
                <w:lang w:val="en-US" w:eastAsia="zh-CN"/>
              </w:rPr>
              <w:t>分，</w:t>
            </w:r>
            <w:r>
              <w:rPr>
                <w:rFonts w:hint="eastAsia" w:ascii="宋体" w:hAnsi="宋体" w:eastAsia="宋体" w:cs="宋体"/>
                <w:color w:val="auto"/>
                <w:spacing w:val="9"/>
                <w:sz w:val="21"/>
                <w:szCs w:val="21"/>
                <w:highlight w:val="none"/>
              </w:rPr>
              <w:t>扣完为止</w:t>
            </w:r>
            <w:r>
              <w:rPr>
                <w:rFonts w:hint="eastAsia" w:ascii="宋体" w:hAnsi="宋体" w:eastAsia="宋体" w:cs="宋体"/>
                <w:color w:val="auto"/>
                <w:spacing w:val="9"/>
                <w:sz w:val="21"/>
                <w:szCs w:val="21"/>
                <w:highlight w:val="none"/>
                <w:lang w:eastAsia="zh-CN"/>
              </w:rPr>
              <w:t>。</w:t>
            </w:r>
          </w:p>
        </w:tc>
        <w:tc>
          <w:tcPr>
            <w:tcW w:w="796" w:type="dxa"/>
            <w:noWrap w:val="0"/>
            <w:vAlign w:val="top"/>
          </w:tcPr>
          <w:p>
            <w:pPr>
              <w:spacing w:before="61" w:line="186" w:lineRule="auto"/>
              <w:ind w:left="427"/>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537" w:type="dxa"/>
            <w:vMerge w:val="continue"/>
            <w:tcBorders>
              <w:top w:val="nil"/>
              <w:bottom w:val="nil"/>
            </w:tcBorders>
            <w:noWrap w:val="0"/>
            <w:vAlign w:val="top"/>
          </w:tcPr>
          <w:p>
            <w:pPr>
              <w:rPr>
                <w:rFonts w:hint="eastAsia" w:ascii="宋体" w:hAnsi="宋体" w:eastAsia="宋体" w:cs="宋体"/>
                <w:color w:val="auto"/>
                <w:sz w:val="21"/>
                <w:szCs w:val="21"/>
                <w:highlight w:val="none"/>
              </w:rPr>
            </w:pPr>
          </w:p>
        </w:tc>
        <w:tc>
          <w:tcPr>
            <w:tcW w:w="2113" w:type="dxa"/>
            <w:noWrap w:val="0"/>
            <w:vAlign w:val="top"/>
          </w:tcPr>
          <w:p>
            <w:pPr>
              <w:pStyle w:val="187"/>
              <w:spacing w:before="65" w:line="228" w:lineRule="auto"/>
              <w:ind w:left="679"/>
              <w:rPr>
                <w:rFonts w:hint="eastAsia" w:ascii="宋体" w:hAnsi="宋体" w:eastAsia="宋体" w:cs="宋体"/>
                <w:color w:val="auto"/>
                <w:sz w:val="21"/>
                <w:szCs w:val="21"/>
                <w:highlight w:val="none"/>
              </w:rPr>
            </w:pPr>
          </w:p>
          <w:p>
            <w:pPr>
              <w:bidi w:val="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t>安全文明</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卫生情况</w:t>
            </w:r>
          </w:p>
        </w:tc>
        <w:tc>
          <w:tcPr>
            <w:tcW w:w="4140" w:type="dxa"/>
            <w:noWrap w:val="0"/>
            <w:vAlign w:val="top"/>
          </w:tcPr>
          <w:p>
            <w:pPr>
              <w:pStyle w:val="187"/>
              <w:spacing w:before="188" w:line="228" w:lineRule="auto"/>
              <w:ind w:left="6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val="en-US" w:eastAsia="zh-CN"/>
              </w:rPr>
              <w:t>满分15分，</w:t>
            </w:r>
            <w:r>
              <w:rPr>
                <w:rFonts w:hint="eastAsia" w:ascii="宋体" w:hAnsi="宋体" w:eastAsia="宋体" w:cs="宋体"/>
                <w:color w:val="auto"/>
                <w:spacing w:val="9"/>
                <w:sz w:val="21"/>
                <w:szCs w:val="21"/>
                <w:highlight w:val="none"/>
              </w:rPr>
              <w:t>现场按照规范及要求做到文明施工、安</w:t>
            </w:r>
            <w:r>
              <w:rPr>
                <w:rFonts w:hint="eastAsia" w:ascii="宋体" w:hAnsi="宋体" w:eastAsia="宋体" w:cs="宋体"/>
                <w:color w:val="auto"/>
                <w:spacing w:val="9"/>
                <w:sz w:val="21"/>
                <w:szCs w:val="21"/>
                <w:highlight w:val="none"/>
                <w:lang w:val="en-US" w:eastAsia="zh-CN"/>
              </w:rPr>
              <w:t>全有序、秩序井然、整洁清爽等，每次安全文明、卫生</w:t>
            </w:r>
            <w:r>
              <w:rPr>
                <w:rFonts w:hint="eastAsia" w:ascii="宋体" w:hAnsi="宋体" w:eastAsia="宋体" w:cs="宋体"/>
                <w:color w:val="auto"/>
                <w:spacing w:val="3"/>
                <w:sz w:val="21"/>
                <w:szCs w:val="21"/>
                <w:highlight w:val="none"/>
              </w:rPr>
              <w:t>不达标</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19"/>
                <w:w w:val="101"/>
                <w:sz w:val="21"/>
                <w:szCs w:val="21"/>
                <w:highlight w:val="none"/>
              </w:rPr>
              <w:t xml:space="preserve"> </w:t>
            </w:r>
            <w:r>
              <w:rPr>
                <w:rFonts w:hint="eastAsia" w:ascii="宋体" w:hAnsi="宋体" w:eastAsia="宋体" w:cs="宋体"/>
                <w:color w:val="auto"/>
                <w:spacing w:val="3"/>
                <w:sz w:val="21"/>
                <w:szCs w:val="21"/>
                <w:highlight w:val="none"/>
              </w:rPr>
              <w:t>项扣</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18"/>
                <w:w w:val="101"/>
                <w:sz w:val="21"/>
                <w:szCs w:val="21"/>
                <w:highlight w:val="none"/>
              </w:rPr>
              <w:t xml:space="preserve"> </w:t>
            </w:r>
            <w:r>
              <w:rPr>
                <w:rFonts w:hint="eastAsia" w:ascii="宋体" w:hAnsi="宋体" w:eastAsia="宋体" w:cs="宋体"/>
                <w:color w:val="auto"/>
                <w:spacing w:val="3"/>
                <w:sz w:val="21"/>
                <w:szCs w:val="21"/>
                <w:highlight w:val="none"/>
              </w:rPr>
              <w:t>分，扣完为止</w:t>
            </w:r>
            <w:r>
              <w:rPr>
                <w:rFonts w:hint="eastAsia" w:ascii="宋体" w:hAnsi="宋体" w:eastAsia="宋体" w:cs="宋体"/>
                <w:color w:val="auto"/>
                <w:spacing w:val="3"/>
                <w:sz w:val="21"/>
                <w:szCs w:val="21"/>
                <w:highlight w:val="none"/>
                <w:lang w:eastAsia="zh-CN"/>
              </w:rPr>
              <w:t>。</w:t>
            </w:r>
          </w:p>
        </w:tc>
        <w:tc>
          <w:tcPr>
            <w:tcW w:w="796" w:type="dxa"/>
            <w:noWrap w:val="0"/>
            <w:vAlign w:val="top"/>
          </w:tcPr>
          <w:p>
            <w:pPr>
              <w:spacing w:before="61" w:line="187" w:lineRule="auto"/>
              <w:ind w:left="427"/>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537" w:type="dxa"/>
            <w:vMerge w:val="continue"/>
            <w:tcBorders>
              <w:top w:val="nil"/>
              <w:bottom w:val="nil"/>
            </w:tcBorders>
            <w:noWrap w:val="0"/>
            <w:vAlign w:val="top"/>
          </w:tcPr>
          <w:p>
            <w:pPr>
              <w:rPr>
                <w:rFonts w:hint="eastAsia" w:ascii="宋体" w:hAnsi="宋体" w:eastAsia="宋体" w:cs="宋体"/>
                <w:color w:val="auto"/>
                <w:sz w:val="21"/>
                <w:szCs w:val="21"/>
                <w:highlight w:val="none"/>
              </w:rPr>
            </w:pPr>
          </w:p>
        </w:tc>
        <w:tc>
          <w:tcPr>
            <w:tcW w:w="2113" w:type="dxa"/>
            <w:noWrap w:val="0"/>
            <w:vAlign w:val="top"/>
          </w:tcPr>
          <w:p>
            <w:pPr>
              <w:pStyle w:val="187"/>
              <w:spacing w:before="65" w:line="228" w:lineRule="auto"/>
              <w:ind w:left="675"/>
              <w:rPr>
                <w:rFonts w:hint="eastAsia" w:ascii="宋体" w:hAnsi="宋体" w:eastAsia="宋体" w:cs="宋体"/>
                <w:color w:val="auto"/>
                <w:sz w:val="21"/>
                <w:szCs w:val="21"/>
                <w:highlight w:val="none"/>
              </w:rPr>
            </w:pPr>
          </w:p>
          <w:p>
            <w:pPr>
              <w:bidi w:val="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维保</w:t>
            </w:r>
            <w:r>
              <w:rPr>
                <w:rFonts w:hint="eastAsia" w:ascii="宋体" w:hAnsi="宋体" w:eastAsia="宋体" w:cs="宋体"/>
                <w:color w:val="auto"/>
                <w:spacing w:val="8"/>
                <w:sz w:val="21"/>
                <w:szCs w:val="21"/>
                <w:highlight w:val="none"/>
              </w:rPr>
              <w:t>服务质量控制</w:t>
            </w:r>
          </w:p>
        </w:tc>
        <w:tc>
          <w:tcPr>
            <w:tcW w:w="4140" w:type="dxa"/>
            <w:noWrap w:val="0"/>
            <w:vAlign w:val="top"/>
          </w:tcPr>
          <w:p>
            <w:pPr>
              <w:pStyle w:val="187"/>
              <w:spacing w:before="188"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按照合同约定进行月度维保服务</w:t>
            </w:r>
            <w:r>
              <w:rPr>
                <w:rFonts w:hint="eastAsia" w:ascii="宋体" w:hAnsi="宋体" w:eastAsia="宋体" w:cs="宋体"/>
                <w:color w:val="auto"/>
                <w:spacing w:val="9"/>
                <w:sz w:val="21"/>
                <w:szCs w:val="21"/>
                <w:highlight w:val="none"/>
              </w:rPr>
              <w:t>，每发现1处服务不合格扣 2 分，扣完为止。</w:t>
            </w:r>
          </w:p>
        </w:tc>
        <w:tc>
          <w:tcPr>
            <w:tcW w:w="796" w:type="dxa"/>
            <w:noWrap w:val="0"/>
            <w:vAlign w:val="top"/>
          </w:tcPr>
          <w:p>
            <w:pPr>
              <w:spacing w:before="61" w:line="187" w:lineRule="auto"/>
              <w:ind w:left="427"/>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537" w:type="dxa"/>
            <w:vMerge w:val="continue"/>
            <w:tcBorders>
              <w:top w:val="nil"/>
              <w:bottom w:val="nil"/>
            </w:tcBorders>
            <w:noWrap w:val="0"/>
            <w:vAlign w:val="top"/>
          </w:tcPr>
          <w:p>
            <w:pPr>
              <w:rPr>
                <w:rFonts w:hint="eastAsia" w:ascii="宋体" w:hAnsi="宋体" w:eastAsia="宋体" w:cs="宋体"/>
                <w:color w:val="auto"/>
                <w:sz w:val="21"/>
                <w:szCs w:val="21"/>
                <w:highlight w:val="none"/>
              </w:rPr>
            </w:pPr>
          </w:p>
        </w:tc>
        <w:tc>
          <w:tcPr>
            <w:tcW w:w="2113" w:type="dxa"/>
            <w:noWrap w:val="0"/>
            <w:vAlign w:val="top"/>
          </w:tcPr>
          <w:p>
            <w:pPr>
              <w:pStyle w:val="187"/>
              <w:spacing w:before="65" w:line="228" w:lineRule="auto"/>
              <w:ind w:left="675"/>
              <w:rPr>
                <w:rFonts w:hint="eastAsia" w:ascii="宋体" w:hAnsi="宋体" w:eastAsia="宋体" w:cs="宋体"/>
                <w:color w:val="auto"/>
                <w:sz w:val="21"/>
                <w:szCs w:val="21"/>
                <w:highlight w:val="none"/>
              </w:rPr>
            </w:pPr>
          </w:p>
          <w:p>
            <w:pPr>
              <w:bidi w:val="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活动保障</w:t>
            </w:r>
          </w:p>
        </w:tc>
        <w:tc>
          <w:tcPr>
            <w:tcW w:w="4140" w:type="dxa"/>
            <w:noWrap w:val="0"/>
            <w:vAlign w:val="top"/>
          </w:tcPr>
          <w:p>
            <w:pPr>
              <w:pStyle w:val="187"/>
              <w:spacing w:before="188"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能够按合同约定</w:t>
            </w:r>
            <w:r>
              <w:rPr>
                <w:rFonts w:hint="eastAsia" w:ascii="宋体" w:hAnsi="宋体" w:eastAsia="宋体" w:cs="宋体"/>
                <w:color w:val="auto"/>
                <w:spacing w:val="9"/>
                <w:sz w:val="21"/>
                <w:szCs w:val="21"/>
                <w:highlight w:val="none"/>
                <w:lang w:val="en-US" w:eastAsia="zh-CN"/>
              </w:rPr>
              <w:t>配合活动电力保障服务</w:t>
            </w:r>
            <w:r>
              <w:rPr>
                <w:rFonts w:hint="eastAsia" w:ascii="宋体" w:hAnsi="宋体" w:eastAsia="宋体" w:cs="宋体"/>
                <w:color w:val="auto"/>
                <w:spacing w:val="9"/>
                <w:sz w:val="21"/>
                <w:szCs w:val="21"/>
                <w:highlight w:val="none"/>
              </w:rPr>
              <w:t>。满分12 分，</w:t>
            </w:r>
            <w:r>
              <w:rPr>
                <w:rFonts w:hint="eastAsia" w:ascii="宋体" w:hAnsi="宋体" w:eastAsia="宋体" w:cs="宋体"/>
                <w:color w:val="auto"/>
                <w:spacing w:val="9"/>
                <w:sz w:val="21"/>
                <w:szCs w:val="21"/>
                <w:highlight w:val="none"/>
                <w:lang w:val="en-US" w:eastAsia="zh-CN"/>
              </w:rPr>
              <w:t>未能及时提供电力保障服务</w:t>
            </w:r>
            <w:r>
              <w:rPr>
                <w:rFonts w:hint="eastAsia" w:ascii="宋体" w:hAnsi="宋体" w:eastAsia="宋体" w:cs="宋体"/>
                <w:color w:val="auto"/>
                <w:spacing w:val="9"/>
                <w:sz w:val="21"/>
                <w:szCs w:val="21"/>
                <w:highlight w:val="none"/>
              </w:rPr>
              <w:t>一次扣 2 分。</w:t>
            </w:r>
          </w:p>
        </w:tc>
        <w:tc>
          <w:tcPr>
            <w:tcW w:w="796" w:type="dxa"/>
            <w:noWrap w:val="0"/>
            <w:vAlign w:val="top"/>
          </w:tcPr>
          <w:p>
            <w:pPr>
              <w:spacing w:before="61" w:line="187" w:lineRule="auto"/>
              <w:ind w:left="427"/>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537" w:type="dxa"/>
            <w:vMerge w:val="continue"/>
            <w:tcBorders>
              <w:top w:val="nil"/>
              <w:bottom w:val="nil"/>
            </w:tcBorders>
            <w:noWrap w:val="0"/>
            <w:vAlign w:val="top"/>
          </w:tcPr>
          <w:p>
            <w:pPr>
              <w:rPr>
                <w:rFonts w:hint="eastAsia" w:ascii="宋体" w:hAnsi="宋体" w:eastAsia="宋体" w:cs="宋体"/>
                <w:color w:val="auto"/>
                <w:sz w:val="21"/>
                <w:szCs w:val="21"/>
                <w:highlight w:val="none"/>
              </w:rPr>
            </w:pPr>
          </w:p>
        </w:tc>
        <w:tc>
          <w:tcPr>
            <w:tcW w:w="2113" w:type="dxa"/>
            <w:noWrap w:val="0"/>
            <w:vAlign w:val="top"/>
          </w:tcPr>
          <w:p>
            <w:pPr>
              <w:pStyle w:val="187"/>
              <w:spacing w:before="65" w:line="228" w:lineRule="auto"/>
              <w:ind w:left="467"/>
              <w:rPr>
                <w:rFonts w:hint="eastAsia" w:ascii="宋体" w:hAnsi="宋体" w:eastAsia="宋体" w:cs="宋体"/>
                <w:color w:val="auto"/>
                <w:sz w:val="21"/>
                <w:szCs w:val="21"/>
                <w:highlight w:val="none"/>
              </w:rPr>
            </w:pPr>
          </w:p>
          <w:p>
            <w:pPr>
              <w:bidi w:val="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突发、紧急情况应急响应服务</w:t>
            </w:r>
          </w:p>
        </w:tc>
        <w:tc>
          <w:tcPr>
            <w:tcW w:w="4140" w:type="dxa"/>
            <w:noWrap w:val="0"/>
            <w:vAlign w:val="top"/>
          </w:tcPr>
          <w:p>
            <w:pPr>
              <w:pStyle w:val="187"/>
              <w:spacing w:before="188"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突发紧急情况1小时内到达现场，配合紧急处理，</w:t>
            </w:r>
            <w:r>
              <w:rPr>
                <w:rFonts w:hint="eastAsia" w:ascii="宋体" w:hAnsi="宋体" w:eastAsia="宋体" w:cs="宋体"/>
                <w:color w:val="auto"/>
                <w:spacing w:val="9"/>
                <w:sz w:val="21"/>
                <w:szCs w:val="21"/>
                <w:highlight w:val="none"/>
              </w:rPr>
              <w:t>满分5分；</w:t>
            </w:r>
            <w:r>
              <w:rPr>
                <w:rFonts w:hint="eastAsia" w:ascii="宋体" w:hAnsi="宋体" w:eastAsia="宋体" w:cs="宋体"/>
                <w:color w:val="auto"/>
                <w:spacing w:val="9"/>
                <w:sz w:val="21"/>
                <w:szCs w:val="21"/>
                <w:highlight w:val="none"/>
                <w:lang w:val="en-US" w:eastAsia="zh-CN"/>
              </w:rPr>
              <w:t>每延误一次</w:t>
            </w:r>
            <w:r>
              <w:rPr>
                <w:rFonts w:hint="eastAsia" w:ascii="宋体" w:hAnsi="宋体" w:eastAsia="宋体" w:cs="宋体"/>
                <w:color w:val="auto"/>
                <w:spacing w:val="9"/>
                <w:sz w:val="21"/>
                <w:szCs w:val="21"/>
                <w:highlight w:val="none"/>
              </w:rPr>
              <w:t>，扣1分，扣完为止。</w:t>
            </w:r>
          </w:p>
        </w:tc>
        <w:tc>
          <w:tcPr>
            <w:tcW w:w="796" w:type="dxa"/>
            <w:noWrap w:val="0"/>
            <w:vAlign w:val="top"/>
          </w:tcPr>
          <w:p>
            <w:pPr>
              <w:spacing w:before="61" w:line="184" w:lineRule="auto"/>
              <w:ind w:left="473"/>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537" w:type="dxa"/>
            <w:vMerge w:val="continue"/>
            <w:tcBorders>
              <w:top w:val="nil"/>
              <w:bottom w:val="nil"/>
            </w:tcBorders>
            <w:noWrap w:val="0"/>
            <w:vAlign w:val="top"/>
          </w:tcPr>
          <w:p>
            <w:pPr>
              <w:rPr>
                <w:rFonts w:hint="eastAsia" w:ascii="宋体" w:hAnsi="宋体" w:eastAsia="宋体" w:cs="宋体"/>
                <w:color w:val="auto"/>
                <w:sz w:val="21"/>
                <w:szCs w:val="21"/>
                <w:highlight w:val="none"/>
              </w:rPr>
            </w:pPr>
          </w:p>
        </w:tc>
        <w:tc>
          <w:tcPr>
            <w:tcW w:w="2113" w:type="dxa"/>
            <w:noWrap w:val="0"/>
            <w:vAlign w:val="top"/>
          </w:tcPr>
          <w:p>
            <w:pPr>
              <w:pStyle w:val="187"/>
              <w:spacing w:before="65" w:line="228" w:lineRule="auto"/>
              <w:ind w:left="675"/>
              <w:rPr>
                <w:rFonts w:hint="eastAsia" w:ascii="宋体" w:hAnsi="宋体" w:eastAsia="宋体" w:cs="宋体"/>
                <w:color w:val="auto"/>
                <w:sz w:val="21"/>
                <w:szCs w:val="21"/>
                <w:highlight w:val="none"/>
              </w:rPr>
            </w:pPr>
          </w:p>
          <w:p>
            <w:pPr>
              <w:bidi w:val="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及时递交维保计划</w:t>
            </w:r>
          </w:p>
        </w:tc>
        <w:tc>
          <w:tcPr>
            <w:tcW w:w="4140" w:type="dxa"/>
            <w:noWrap w:val="0"/>
            <w:vAlign w:val="top"/>
          </w:tcPr>
          <w:p>
            <w:pPr>
              <w:pStyle w:val="187"/>
              <w:spacing w:before="188" w:line="228"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lang w:val="en-US" w:eastAsia="zh-CN"/>
              </w:rPr>
              <w:t>每季度初递交本季度维保计划，满分10分，每缺报、漏报扣5分，扣完为止。</w:t>
            </w:r>
          </w:p>
        </w:tc>
        <w:tc>
          <w:tcPr>
            <w:tcW w:w="796" w:type="dxa"/>
            <w:noWrap w:val="0"/>
            <w:vAlign w:val="top"/>
          </w:tcPr>
          <w:p>
            <w:pPr>
              <w:spacing w:before="61" w:line="186" w:lineRule="auto"/>
              <w:ind w:left="427"/>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537" w:type="dxa"/>
            <w:vMerge w:val="continue"/>
            <w:tcBorders>
              <w:top w:val="nil"/>
            </w:tcBorders>
            <w:noWrap w:val="0"/>
            <w:vAlign w:val="top"/>
          </w:tcPr>
          <w:p>
            <w:pPr>
              <w:rPr>
                <w:rFonts w:hint="eastAsia" w:ascii="宋体" w:hAnsi="宋体" w:eastAsia="宋体" w:cs="宋体"/>
                <w:color w:val="auto"/>
                <w:sz w:val="21"/>
                <w:szCs w:val="21"/>
                <w:highlight w:val="none"/>
              </w:rPr>
            </w:pPr>
          </w:p>
        </w:tc>
        <w:tc>
          <w:tcPr>
            <w:tcW w:w="2113" w:type="dxa"/>
            <w:noWrap w:val="0"/>
            <w:vAlign w:val="top"/>
          </w:tcPr>
          <w:p>
            <w:pPr>
              <w:pStyle w:val="187"/>
              <w:spacing w:before="272" w:line="228"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工作记录及等服务资料情况</w:t>
            </w:r>
          </w:p>
        </w:tc>
        <w:tc>
          <w:tcPr>
            <w:tcW w:w="4140" w:type="dxa"/>
            <w:noWrap w:val="0"/>
            <w:vAlign w:val="top"/>
          </w:tcPr>
          <w:p>
            <w:pPr>
              <w:pStyle w:val="187"/>
              <w:spacing w:before="272"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服务资料详实完整清晰，满分6分。</w:t>
            </w:r>
          </w:p>
        </w:tc>
        <w:tc>
          <w:tcPr>
            <w:tcW w:w="796" w:type="dxa"/>
            <w:noWrap w:val="0"/>
            <w:vAlign w:val="top"/>
          </w:tcPr>
          <w:p>
            <w:pPr>
              <w:spacing w:before="61" w:line="186" w:lineRule="auto"/>
              <w:ind w:left="473"/>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537" w:type="dxa"/>
            <w:vMerge w:val="restart"/>
            <w:tcBorders>
              <w:bottom w:val="nil"/>
            </w:tcBorders>
            <w:noWrap w:val="0"/>
            <w:vAlign w:val="top"/>
          </w:tcPr>
          <w:p>
            <w:pPr>
              <w:bidi w:val="0"/>
              <w:jc w:val="both"/>
              <w:rPr>
                <w:rFonts w:hint="eastAsia" w:ascii="宋体" w:hAnsi="宋体" w:eastAsia="宋体" w:cs="宋体"/>
                <w:color w:val="auto"/>
                <w:sz w:val="21"/>
                <w:szCs w:val="21"/>
                <w:highlight w:val="none"/>
              </w:rPr>
            </w:pPr>
          </w:p>
          <w:p>
            <w:pPr>
              <w:bidi w:val="0"/>
              <w:jc w:val="center"/>
              <w:rPr>
                <w:rFonts w:hint="eastAsia" w:ascii="宋体" w:hAnsi="宋体" w:eastAsia="宋体" w:cs="宋体"/>
                <w:color w:val="auto"/>
                <w:sz w:val="21"/>
                <w:szCs w:val="21"/>
                <w:highlight w:val="none"/>
              </w:rPr>
            </w:pPr>
          </w:p>
          <w:p>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三、其他（5</w:t>
            </w:r>
            <w:r>
              <w:rPr>
                <w:rFonts w:hint="eastAsia" w:ascii="宋体" w:hAnsi="宋体" w:eastAsia="宋体" w:cs="宋体"/>
                <w:color w:val="auto"/>
                <w:spacing w:val="18"/>
                <w:w w:val="101"/>
                <w:sz w:val="21"/>
                <w:szCs w:val="21"/>
                <w:highlight w:val="none"/>
              </w:rPr>
              <w:t xml:space="preserve"> </w:t>
            </w:r>
            <w:r>
              <w:rPr>
                <w:rFonts w:hint="eastAsia" w:ascii="宋体" w:hAnsi="宋体" w:eastAsia="宋体" w:cs="宋体"/>
                <w:color w:val="auto"/>
                <w:spacing w:val="-1"/>
                <w:sz w:val="21"/>
                <w:szCs w:val="21"/>
                <w:highlight w:val="none"/>
              </w:rPr>
              <w:t>分）</w:t>
            </w:r>
          </w:p>
        </w:tc>
        <w:tc>
          <w:tcPr>
            <w:tcW w:w="2113" w:type="dxa"/>
            <w:noWrap w:val="0"/>
            <w:vAlign w:val="top"/>
          </w:tcPr>
          <w:p>
            <w:pPr>
              <w:pStyle w:val="187"/>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结算资料报送情况</w:t>
            </w:r>
          </w:p>
        </w:tc>
        <w:tc>
          <w:tcPr>
            <w:tcW w:w="4140" w:type="dxa"/>
            <w:noWrap w:val="0"/>
            <w:vAlign w:val="top"/>
          </w:tcPr>
          <w:p>
            <w:pPr>
              <w:pStyle w:val="187"/>
              <w:spacing w:before="188"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按合同约定期限内完成结算资料报送，满分 3 分，每延误 1 次扣 1 分。</w:t>
            </w:r>
          </w:p>
        </w:tc>
        <w:tc>
          <w:tcPr>
            <w:tcW w:w="796" w:type="dxa"/>
            <w:noWrap w:val="0"/>
            <w:vAlign w:val="top"/>
          </w:tcPr>
          <w:p>
            <w:pPr>
              <w:spacing w:before="61" w:line="186" w:lineRule="auto"/>
              <w:ind w:left="473"/>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537" w:type="dxa"/>
            <w:vMerge w:val="continue"/>
            <w:tcBorders>
              <w:top w:val="nil"/>
            </w:tcBorders>
            <w:noWrap w:val="0"/>
            <w:vAlign w:val="top"/>
          </w:tcPr>
          <w:p>
            <w:pPr>
              <w:jc w:val="center"/>
              <w:rPr>
                <w:rFonts w:hint="eastAsia" w:ascii="宋体" w:hAnsi="宋体" w:eastAsia="宋体" w:cs="宋体"/>
                <w:color w:val="auto"/>
                <w:sz w:val="21"/>
                <w:szCs w:val="21"/>
                <w:highlight w:val="none"/>
              </w:rPr>
            </w:pPr>
          </w:p>
        </w:tc>
        <w:tc>
          <w:tcPr>
            <w:tcW w:w="2113" w:type="dxa"/>
            <w:noWrap w:val="0"/>
            <w:vAlign w:val="top"/>
          </w:tcPr>
          <w:p>
            <w:pPr>
              <w:pStyle w:val="187"/>
              <w:spacing w:before="65" w:line="22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lang w:val="en-US" w:eastAsia="zh-CN"/>
              </w:rPr>
              <w:t>维修结算核查情况</w:t>
            </w:r>
          </w:p>
        </w:tc>
        <w:tc>
          <w:tcPr>
            <w:tcW w:w="4140" w:type="dxa"/>
            <w:noWrap w:val="0"/>
            <w:vAlign w:val="top"/>
          </w:tcPr>
          <w:p>
            <w:pPr>
              <w:pStyle w:val="187"/>
              <w:spacing w:before="188"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满分 2 分；配合不力的，发生 1 次扣 1分，扣完为止。</w:t>
            </w:r>
          </w:p>
        </w:tc>
        <w:tc>
          <w:tcPr>
            <w:tcW w:w="796" w:type="dxa"/>
            <w:noWrap w:val="0"/>
            <w:vAlign w:val="top"/>
          </w:tcPr>
          <w:p>
            <w:pPr>
              <w:spacing w:before="61" w:line="187" w:lineRule="auto"/>
              <w:ind w:left="474"/>
              <w:rPr>
                <w:rFonts w:hint="eastAsia" w:ascii="宋体" w:hAnsi="宋体" w:eastAsia="宋体" w:cs="宋体"/>
                <w:color w:val="auto"/>
                <w:sz w:val="21"/>
                <w:szCs w:val="21"/>
                <w:highlight w:val="none"/>
              </w:rPr>
            </w:pPr>
          </w:p>
        </w:tc>
        <w:tc>
          <w:tcPr>
            <w:tcW w:w="1064" w:type="dxa"/>
            <w:noWrap w:val="0"/>
            <w:vAlign w:val="top"/>
          </w:tcPr>
          <w:p>
            <w:pPr>
              <w:rPr>
                <w:rFonts w:hint="eastAsia" w:ascii="宋体" w:hAnsi="宋体" w:eastAsia="宋体" w:cs="宋体"/>
                <w:color w:val="auto"/>
                <w:sz w:val="21"/>
                <w:szCs w:val="21"/>
                <w:highlight w:val="none"/>
              </w:rPr>
            </w:pP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57CEE"/>
    <w:multiLevelType w:val="singleLevel"/>
    <w:tmpl w:val="A0457CEE"/>
    <w:lvl w:ilvl="0" w:tentative="0">
      <w:start w:val="1"/>
      <w:numFmt w:val="decimal"/>
      <w:suff w:val="nothing"/>
      <w:lvlText w:val="%1、"/>
      <w:lvlJc w:val="left"/>
      <w:pPr>
        <w:ind w:left="0"/>
      </w:pPr>
      <w:rPr>
        <w:rFonts w:hint="default"/>
        <w:color w:val="auto"/>
      </w:rPr>
    </w:lvl>
  </w:abstractNum>
  <w:abstractNum w:abstractNumId="1">
    <w:nsid w:val="B49C30A5"/>
    <w:multiLevelType w:val="singleLevel"/>
    <w:tmpl w:val="B49C30A5"/>
    <w:lvl w:ilvl="0" w:tentative="0">
      <w:start w:val="5"/>
      <w:numFmt w:val="chineseCounting"/>
      <w:suff w:val="nothing"/>
      <w:lvlText w:val="%1、"/>
      <w:lvlJc w:val="left"/>
      <w:rPr>
        <w:rFonts w:hint="eastAsia"/>
      </w:rPr>
    </w:lvl>
  </w:abstractNum>
  <w:abstractNum w:abstractNumId="2">
    <w:nsid w:val="B87F4538"/>
    <w:multiLevelType w:val="singleLevel"/>
    <w:tmpl w:val="B87F4538"/>
    <w:lvl w:ilvl="0" w:tentative="0">
      <w:start w:val="1"/>
      <w:numFmt w:val="chineseCounting"/>
      <w:suff w:val="nothing"/>
      <w:lvlText w:val="%1、"/>
      <w:lvlJc w:val="left"/>
      <w:rPr>
        <w:rFonts w:hint="eastAsia"/>
      </w:rPr>
    </w:lvl>
  </w:abstractNum>
  <w:abstractNum w:abstractNumId="3">
    <w:nsid w:val="E97FA810"/>
    <w:multiLevelType w:val="singleLevel"/>
    <w:tmpl w:val="E97FA810"/>
    <w:lvl w:ilvl="0" w:tentative="0">
      <w:start w:val="1"/>
      <w:numFmt w:val="chineseCounting"/>
      <w:suff w:val="nothing"/>
      <w:lvlText w:val="%1、"/>
      <w:lvlJc w:val="left"/>
      <w:rPr>
        <w:rFonts w:hint="eastAsia"/>
      </w:rPr>
    </w:lvl>
  </w:abstractNum>
  <w:abstractNum w:abstractNumId="4">
    <w:nsid w:val="15A22EB3"/>
    <w:multiLevelType w:val="singleLevel"/>
    <w:tmpl w:val="15A22EB3"/>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22E6FD2"/>
    <w:rsid w:val="029C4700"/>
    <w:rsid w:val="02C869B3"/>
    <w:rsid w:val="050A080F"/>
    <w:rsid w:val="05364F30"/>
    <w:rsid w:val="06687DD8"/>
    <w:rsid w:val="07296214"/>
    <w:rsid w:val="078E7D76"/>
    <w:rsid w:val="07C6669D"/>
    <w:rsid w:val="08896EDD"/>
    <w:rsid w:val="0B0A76B3"/>
    <w:rsid w:val="0BC913D8"/>
    <w:rsid w:val="0C297D00"/>
    <w:rsid w:val="0CC775E0"/>
    <w:rsid w:val="0CF14001"/>
    <w:rsid w:val="0D892EDB"/>
    <w:rsid w:val="0FED2F8F"/>
    <w:rsid w:val="1017327F"/>
    <w:rsid w:val="101747CE"/>
    <w:rsid w:val="10EF74F9"/>
    <w:rsid w:val="113A4E32"/>
    <w:rsid w:val="116A39C2"/>
    <w:rsid w:val="142671CA"/>
    <w:rsid w:val="143622C9"/>
    <w:rsid w:val="14AD601D"/>
    <w:rsid w:val="15792DB8"/>
    <w:rsid w:val="158647A1"/>
    <w:rsid w:val="16FB65A6"/>
    <w:rsid w:val="1725267F"/>
    <w:rsid w:val="17A56C6F"/>
    <w:rsid w:val="180905D5"/>
    <w:rsid w:val="197F20CD"/>
    <w:rsid w:val="1A937D69"/>
    <w:rsid w:val="1AB4549F"/>
    <w:rsid w:val="1ADC03C6"/>
    <w:rsid w:val="1B732509"/>
    <w:rsid w:val="1C387EE3"/>
    <w:rsid w:val="1E994128"/>
    <w:rsid w:val="1F106FB8"/>
    <w:rsid w:val="1FC92B06"/>
    <w:rsid w:val="20B01F5A"/>
    <w:rsid w:val="22132138"/>
    <w:rsid w:val="22431452"/>
    <w:rsid w:val="224602F1"/>
    <w:rsid w:val="225136E8"/>
    <w:rsid w:val="24303B26"/>
    <w:rsid w:val="24B66456"/>
    <w:rsid w:val="25BC425B"/>
    <w:rsid w:val="289B707E"/>
    <w:rsid w:val="29303EC2"/>
    <w:rsid w:val="29426E88"/>
    <w:rsid w:val="29AC2209"/>
    <w:rsid w:val="2A755803"/>
    <w:rsid w:val="2C0204B3"/>
    <w:rsid w:val="312F3011"/>
    <w:rsid w:val="313F44D5"/>
    <w:rsid w:val="315D146E"/>
    <w:rsid w:val="32565317"/>
    <w:rsid w:val="334943FD"/>
    <w:rsid w:val="338E08D5"/>
    <w:rsid w:val="33E74334"/>
    <w:rsid w:val="34C226AB"/>
    <w:rsid w:val="34FA73CA"/>
    <w:rsid w:val="38131DD5"/>
    <w:rsid w:val="394972BB"/>
    <w:rsid w:val="3A306308"/>
    <w:rsid w:val="3B274932"/>
    <w:rsid w:val="3CC05FFD"/>
    <w:rsid w:val="3CCD108D"/>
    <w:rsid w:val="3D4820F8"/>
    <w:rsid w:val="3D4B0B2C"/>
    <w:rsid w:val="3E1D4DF6"/>
    <w:rsid w:val="3E932341"/>
    <w:rsid w:val="3F7E7ECC"/>
    <w:rsid w:val="3FF50BC7"/>
    <w:rsid w:val="415F0D99"/>
    <w:rsid w:val="4208598F"/>
    <w:rsid w:val="43612911"/>
    <w:rsid w:val="46D94EA1"/>
    <w:rsid w:val="47864368"/>
    <w:rsid w:val="47CF04EC"/>
    <w:rsid w:val="48B22A97"/>
    <w:rsid w:val="49735AD3"/>
    <w:rsid w:val="49DE368B"/>
    <w:rsid w:val="4A5A72B2"/>
    <w:rsid w:val="4B885FB2"/>
    <w:rsid w:val="4DA11074"/>
    <w:rsid w:val="4EA74993"/>
    <w:rsid w:val="4EDB3281"/>
    <w:rsid w:val="4F2A7373"/>
    <w:rsid w:val="51427F1E"/>
    <w:rsid w:val="51765FC3"/>
    <w:rsid w:val="52302403"/>
    <w:rsid w:val="54581FF8"/>
    <w:rsid w:val="55217F29"/>
    <w:rsid w:val="552E01B7"/>
    <w:rsid w:val="560A13AC"/>
    <w:rsid w:val="56986C92"/>
    <w:rsid w:val="56DC6A21"/>
    <w:rsid w:val="5895711C"/>
    <w:rsid w:val="59183D6D"/>
    <w:rsid w:val="59605E6B"/>
    <w:rsid w:val="59AE663E"/>
    <w:rsid w:val="5AA1540C"/>
    <w:rsid w:val="5BB972C3"/>
    <w:rsid w:val="5C427D95"/>
    <w:rsid w:val="5CA8082C"/>
    <w:rsid w:val="5CB36BF9"/>
    <w:rsid w:val="5CFA3A2A"/>
    <w:rsid w:val="5E253C4D"/>
    <w:rsid w:val="5E413233"/>
    <w:rsid w:val="5EA3628A"/>
    <w:rsid w:val="5F8447EE"/>
    <w:rsid w:val="61454D83"/>
    <w:rsid w:val="62226353"/>
    <w:rsid w:val="62B53F00"/>
    <w:rsid w:val="62D4257D"/>
    <w:rsid w:val="64E40633"/>
    <w:rsid w:val="64E705DF"/>
    <w:rsid w:val="64EA7F01"/>
    <w:rsid w:val="6543001E"/>
    <w:rsid w:val="66036D61"/>
    <w:rsid w:val="667E0075"/>
    <w:rsid w:val="66AD6467"/>
    <w:rsid w:val="66C535CD"/>
    <w:rsid w:val="66C5386F"/>
    <w:rsid w:val="674C5C80"/>
    <w:rsid w:val="67AE0728"/>
    <w:rsid w:val="68C96BD9"/>
    <w:rsid w:val="697C42FB"/>
    <w:rsid w:val="6A925B79"/>
    <w:rsid w:val="6B975FD0"/>
    <w:rsid w:val="6C6A2B47"/>
    <w:rsid w:val="6EAD22BD"/>
    <w:rsid w:val="6EFE77F2"/>
    <w:rsid w:val="6F7264A0"/>
    <w:rsid w:val="70C63CA2"/>
    <w:rsid w:val="71C2668E"/>
    <w:rsid w:val="766B0078"/>
    <w:rsid w:val="76A567E6"/>
    <w:rsid w:val="76C764FE"/>
    <w:rsid w:val="77910BE3"/>
    <w:rsid w:val="77DC7107"/>
    <w:rsid w:val="780F5C03"/>
    <w:rsid w:val="78AC10B2"/>
    <w:rsid w:val="79A30980"/>
    <w:rsid w:val="7A4F2E5B"/>
    <w:rsid w:val="7B63573C"/>
    <w:rsid w:val="7E0350C0"/>
    <w:rsid w:val="7E23340C"/>
    <w:rsid w:val="7E722019"/>
    <w:rsid w:val="7F5D3AE3"/>
    <w:rsid w:val="7FC9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qFormat/>
    <w:uiPriority w:val="0"/>
    <w:rPr>
      <w:color w:val="999999"/>
    </w:rPr>
  </w:style>
  <w:style w:type="character" w:customStyle="1" w:styleId="30">
    <w:name w:val="s-point"/>
    <w:basedOn w:val="14"/>
    <w:qFormat/>
    <w:uiPriority w:val="0"/>
    <w:rPr>
      <w:sz w:val="0"/>
      <w:szCs w:val="0"/>
      <w:bdr w:val="dashed" w:color="auto" w:sz="48" w:space="0"/>
    </w:rPr>
  </w:style>
  <w:style w:type="character" w:customStyle="1" w:styleId="31">
    <w:name w:val="s-point1"/>
    <w:basedOn w:val="14"/>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qFormat/>
    <w:uiPriority w:val="0"/>
  </w:style>
  <w:style w:type="character" w:customStyle="1" w:styleId="36">
    <w:name w:val="line-pink"/>
    <w:basedOn w:val="14"/>
    <w:qFormat/>
    <w:uiPriority w:val="0"/>
  </w:style>
  <w:style w:type="character" w:customStyle="1" w:styleId="37">
    <w:name w:val="q-meta-author"/>
    <w:basedOn w:val="14"/>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qFormat/>
    <w:uiPriority w:val="0"/>
    <w:rPr>
      <w:color w:val="393D49"/>
    </w:rPr>
  </w:style>
  <w:style w:type="character" w:customStyle="1" w:styleId="40">
    <w:name w:val="q-meta-author3"/>
    <w:basedOn w:val="14"/>
    <w:qFormat/>
    <w:uiPriority w:val="0"/>
    <w:rPr>
      <w:color w:val="ED6D00"/>
    </w:rPr>
  </w:style>
  <w:style w:type="character" w:customStyle="1" w:styleId="41">
    <w:name w:val="q-meta-author4"/>
    <w:basedOn w:val="14"/>
    <w:qFormat/>
    <w:uiPriority w:val="0"/>
    <w:rPr>
      <w:color w:val="55AAA3"/>
    </w:rPr>
  </w:style>
  <w:style w:type="character" w:customStyle="1" w:styleId="42">
    <w:name w:val="width-lightgreen"/>
    <w:basedOn w:val="14"/>
    <w:qFormat/>
    <w:uiPriority w:val="0"/>
  </w:style>
  <w:style w:type="character" w:customStyle="1" w:styleId="43">
    <w:name w:val="width-darkred"/>
    <w:basedOn w:val="14"/>
    <w:qFormat/>
    <w:uiPriority w:val="0"/>
  </w:style>
  <w:style w:type="character" w:customStyle="1" w:styleId="44">
    <w:name w:val="newpure-blue"/>
    <w:basedOn w:val="14"/>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qFormat/>
    <w:uiPriority w:val="0"/>
  </w:style>
  <w:style w:type="character" w:customStyle="1" w:styleId="53">
    <w:name w:val="button8"/>
    <w:basedOn w:val="14"/>
    <w:qFormat/>
    <w:uiPriority w:val="0"/>
  </w:style>
  <w:style w:type="character" w:customStyle="1" w:styleId="54">
    <w:name w:val="button9"/>
    <w:basedOn w:val="14"/>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qFormat/>
    <w:uiPriority w:val="0"/>
  </w:style>
  <w:style w:type="character" w:customStyle="1" w:styleId="123">
    <w:name w:val="line-violet"/>
    <w:basedOn w:val="14"/>
    <w:qFormat/>
    <w:uiPriority w:val="0"/>
  </w:style>
  <w:style w:type="character" w:customStyle="1" w:styleId="124">
    <w:name w:val="line-purple"/>
    <w:basedOn w:val="14"/>
    <w:qFormat/>
    <w:uiPriority w:val="0"/>
  </w:style>
  <w:style w:type="character" w:customStyle="1" w:styleId="125">
    <w:name w:val="width-cyan"/>
    <w:basedOn w:val="14"/>
    <w:qFormat/>
    <w:uiPriority w:val="0"/>
  </w:style>
  <w:style w:type="character" w:customStyle="1" w:styleId="126">
    <w:name w:val="line-darkblue"/>
    <w:basedOn w:val="14"/>
    <w:qFormat/>
    <w:uiPriority w:val="0"/>
  </w:style>
  <w:style w:type="character" w:customStyle="1" w:styleId="127">
    <w:name w:val="default-black"/>
    <w:basedOn w:val="14"/>
    <w:qFormat/>
    <w:uiPriority w:val="0"/>
  </w:style>
  <w:style w:type="character" w:customStyle="1" w:styleId="128">
    <w:name w:val="line-red"/>
    <w:basedOn w:val="14"/>
    <w:qFormat/>
    <w:uiPriority w:val="0"/>
  </w:style>
  <w:style w:type="character" w:customStyle="1" w:styleId="129">
    <w:name w:val="line-darkred"/>
    <w:basedOn w:val="14"/>
    <w:qFormat/>
    <w:uiPriority w:val="0"/>
  </w:style>
  <w:style w:type="character" w:customStyle="1" w:styleId="130">
    <w:name w:val="newpure-cyan"/>
    <w:basedOn w:val="14"/>
    <w:qFormat/>
    <w:uiPriority w:val="0"/>
  </w:style>
  <w:style w:type="character" w:customStyle="1" w:styleId="131">
    <w:name w:val="newpure-orange"/>
    <w:basedOn w:val="14"/>
    <w:qFormat/>
    <w:uiPriority w:val="0"/>
  </w:style>
  <w:style w:type="character" w:customStyle="1" w:styleId="132">
    <w:name w:val="line-brown"/>
    <w:basedOn w:val="14"/>
    <w:qFormat/>
    <w:uiPriority w:val="0"/>
  </w:style>
  <w:style w:type="character" w:customStyle="1" w:styleId="133">
    <w:name w:val="newpure-darkred"/>
    <w:basedOn w:val="14"/>
    <w:qFormat/>
    <w:uiPriority w:val="0"/>
  </w:style>
  <w:style w:type="character" w:customStyle="1" w:styleId="134">
    <w:name w:val="newpure-green"/>
    <w:basedOn w:val="14"/>
    <w:qFormat/>
    <w:uiPriority w:val="0"/>
  </w:style>
  <w:style w:type="character" w:customStyle="1" w:styleId="135">
    <w:name w:val="newpure-indigo"/>
    <w:basedOn w:val="14"/>
    <w:qFormat/>
    <w:uiPriority w:val="0"/>
  </w:style>
  <w:style w:type="character" w:customStyle="1" w:styleId="136">
    <w:name w:val="newpure-seablue"/>
    <w:basedOn w:val="14"/>
    <w:qFormat/>
    <w:uiPriority w:val="0"/>
  </w:style>
  <w:style w:type="character" w:customStyle="1" w:styleId="137">
    <w:name w:val="newpure-violet"/>
    <w:basedOn w:val="14"/>
    <w:qFormat/>
    <w:uiPriority w:val="0"/>
  </w:style>
  <w:style w:type="character" w:customStyle="1" w:styleId="138">
    <w:name w:val="width-violet"/>
    <w:basedOn w:val="14"/>
    <w:qFormat/>
    <w:uiPriority w:val="0"/>
  </w:style>
  <w:style w:type="character" w:customStyle="1" w:styleId="139">
    <w:name w:val="width-purple"/>
    <w:basedOn w:val="14"/>
    <w:qFormat/>
    <w:uiPriority w:val="0"/>
  </w:style>
  <w:style w:type="character" w:customStyle="1" w:styleId="140">
    <w:name w:val="width-indigo"/>
    <w:basedOn w:val="14"/>
    <w:qFormat/>
    <w:uiPriority w:val="0"/>
  </w:style>
  <w:style w:type="character" w:customStyle="1" w:styleId="141">
    <w:name w:val="width-darkblue"/>
    <w:basedOn w:val="14"/>
    <w:qFormat/>
    <w:uiPriority w:val="0"/>
  </w:style>
  <w:style w:type="character" w:customStyle="1" w:styleId="142">
    <w:name w:val="width-maroon"/>
    <w:basedOn w:val="14"/>
    <w:qFormat/>
    <w:uiPriority w:val="0"/>
  </w:style>
  <w:style w:type="character" w:customStyle="1" w:styleId="143">
    <w:name w:val="office"/>
    <w:basedOn w:val="14"/>
    <w:qFormat/>
    <w:uiPriority w:val="0"/>
  </w:style>
  <w:style w:type="character" w:customStyle="1" w:styleId="144">
    <w:name w:val="width-gray"/>
    <w:basedOn w:val="14"/>
    <w:qFormat/>
    <w:uiPriority w:val="0"/>
  </w:style>
  <w:style w:type="character" w:customStyle="1" w:styleId="145">
    <w:name w:val="width-black"/>
    <w:basedOn w:val="14"/>
    <w:qFormat/>
    <w:uiPriority w:val="0"/>
  </w:style>
  <w:style w:type="character" w:customStyle="1" w:styleId="146">
    <w:name w:val="first-child"/>
    <w:basedOn w:val="14"/>
    <w:qFormat/>
    <w:uiPriority w:val="0"/>
  </w:style>
  <w:style w:type="character" w:customStyle="1" w:styleId="147">
    <w:name w:val="show2"/>
    <w:basedOn w:val="14"/>
    <w:qFormat/>
    <w:uiPriority w:val="0"/>
    <w:rPr>
      <w:color w:val="FFFFFF"/>
    </w:rPr>
  </w:style>
  <w:style w:type="character" w:customStyle="1" w:styleId="148">
    <w:name w:val="show3"/>
    <w:basedOn w:val="14"/>
    <w:qFormat/>
    <w:uiPriority w:val="0"/>
    <w:rPr>
      <w:bdr w:val="single" w:color="BA2E2E" w:sz="6" w:space="0"/>
      <w:shd w:val="clear" w:fill="BA2E2E"/>
    </w:rPr>
  </w:style>
  <w:style w:type="character" w:customStyle="1" w:styleId="149">
    <w:name w:val="show4"/>
    <w:basedOn w:val="14"/>
    <w:qFormat/>
    <w:uiPriority w:val="0"/>
    <w:rPr>
      <w:bdr w:val="single" w:color="4799E7" w:sz="6" w:space="0"/>
      <w:shd w:val="clear" w:fill="4799E7"/>
    </w:rPr>
  </w:style>
  <w:style w:type="character" w:customStyle="1" w:styleId="150">
    <w:name w:val="show5"/>
    <w:basedOn w:val="14"/>
    <w:qFormat/>
    <w:uiPriority w:val="0"/>
    <w:rPr>
      <w:bdr w:val="single" w:color="393D49" w:sz="6" w:space="0"/>
      <w:shd w:val="clear" w:fill="393D49"/>
    </w:rPr>
  </w:style>
  <w:style w:type="character" w:customStyle="1" w:styleId="151">
    <w:name w:val="show6"/>
    <w:basedOn w:val="14"/>
    <w:qFormat/>
    <w:uiPriority w:val="0"/>
    <w:rPr>
      <w:bdr w:val="single" w:color="ED6D00" w:sz="6" w:space="0"/>
      <w:shd w:val="clear" w:fill="ED6D00"/>
    </w:rPr>
  </w:style>
  <w:style w:type="character" w:customStyle="1" w:styleId="152">
    <w:name w:val="show7"/>
    <w:basedOn w:val="14"/>
    <w:qFormat/>
    <w:uiPriority w:val="0"/>
    <w:rPr>
      <w:bdr w:val="single" w:color="55AAA3" w:sz="6" w:space="0"/>
      <w:shd w:val="clear" w:fill="55AAA3"/>
    </w:rPr>
  </w:style>
  <w:style w:type="character" w:customStyle="1" w:styleId="153">
    <w:name w:val="wh-portal-overtime"/>
    <w:basedOn w:val="14"/>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character" w:customStyle="1" w:styleId="174">
    <w:name w:val="hover"/>
    <w:basedOn w:val="14"/>
    <w:qFormat/>
    <w:uiPriority w:val="0"/>
    <w:rPr>
      <w:shd w:val="clear" w:fill="F3F3F3"/>
    </w:rPr>
  </w:style>
  <w:style w:type="character" w:customStyle="1" w:styleId="175">
    <w:name w:val="hover1"/>
    <w:basedOn w:val="14"/>
    <w:qFormat/>
    <w:uiPriority w:val="0"/>
    <w:rPr>
      <w:color w:val="ED6D00"/>
    </w:rPr>
  </w:style>
  <w:style w:type="character" w:customStyle="1" w:styleId="176">
    <w:name w:val="hover2"/>
    <w:basedOn w:val="14"/>
    <w:qFormat/>
    <w:uiPriority w:val="0"/>
    <w:rPr>
      <w:color w:val="BA2E2E"/>
    </w:rPr>
  </w:style>
  <w:style w:type="character" w:customStyle="1" w:styleId="177">
    <w:name w:val="hover3"/>
    <w:basedOn w:val="14"/>
    <w:qFormat/>
    <w:uiPriority w:val="0"/>
    <w:rPr>
      <w:color w:val="55AAA3"/>
    </w:rPr>
  </w:style>
  <w:style w:type="character" w:customStyle="1" w:styleId="178">
    <w:name w:val="hover4"/>
    <w:basedOn w:val="14"/>
    <w:qFormat/>
    <w:uiPriority w:val="0"/>
    <w:rPr>
      <w:sz w:val="21"/>
      <w:szCs w:val="21"/>
    </w:rPr>
  </w:style>
  <w:style w:type="character" w:customStyle="1" w:styleId="179">
    <w:name w:val="hover5"/>
    <w:basedOn w:val="14"/>
    <w:qFormat/>
    <w:uiPriority w:val="0"/>
    <w:rPr>
      <w:shd w:val="clear" w:fill="F3F3F3"/>
    </w:rPr>
  </w:style>
  <w:style w:type="character" w:customStyle="1" w:styleId="180">
    <w:name w:val="hover6"/>
    <w:basedOn w:val="14"/>
    <w:qFormat/>
    <w:uiPriority w:val="0"/>
    <w:rPr>
      <w:color w:val="4799E7"/>
    </w:rPr>
  </w:style>
  <w:style w:type="character" w:customStyle="1" w:styleId="181">
    <w:name w:val="hover7"/>
    <w:basedOn w:val="14"/>
    <w:qFormat/>
    <w:uiPriority w:val="0"/>
    <w:rPr>
      <w:color w:val="393D49"/>
    </w:rPr>
  </w:style>
  <w:style w:type="character" w:customStyle="1" w:styleId="182">
    <w:name w:val="show"/>
    <w:basedOn w:val="14"/>
    <w:qFormat/>
    <w:uiPriority w:val="0"/>
    <w:rPr>
      <w:bdr w:val="single" w:color="ED6D00" w:sz="6" w:space="0"/>
      <w:shd w:val="clear" w:fill="ED6D00"/>
    </w:rPr>
  </w:style>
  <w:style w:type="character" w:customStyle="1" w:styleId="183">
    <w:name w:val="show1"/>
    <w:basedOn w:val="14"/>
    <w:qFormat/>
    <w:uiPriority w:val="0"/>
    <w:rPr>
      <w:bdr w:val="single" w:color="BA2E2E" w:sz="6" w:space="0"/>
      <w:shd w:val="clear" w:fill="BA2E2E"/>
    </w:rPr>
  </w:style>
  <w:style w:type="character" w:customStyle="1" w:styleId="184">
    <w:name w:val="grey20"/>
    <w:basedOn w:val="14"/>
    <w:qFormat/>
    <w:uiPriority w:val="0"/>
    <w:rPr>
      <w:color w:val="999999"/>
    </w:rPr>
  </w:style>
  <w:style w:type="character" w:customStyle="1" w:styleId="185">
    <w:name w:val="grey21"/>
    <w:basedOn w:val="14"/>
    <w:qFormat/>
    <w:uiPriority w:val="0"/>
    <w:rPr>
      <w:color w:val="999999"/>
    </w:rPr>
  </w:style>
  <w:style w:type="table" w:customStyle="1" w:styleId="186">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87">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3303</Words>
  <Characters>3447</Characters>
  <Lines>3</Lines>
  <Paragraphs>1</Paragraphs>
  <TotalTime>2</TotalTime>
  <ScaleCrop>false</ScaleCrop>
  <LinksUpToDate>false</LinksUpToDate>
  <CharactersWithSpaces>3562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孙硕</cp:lastModifiedBy>
  <cp:lastPrinted>2021-08-25T07:03:00Z</cp:lastPrinted>
  <dcterms:modified xsi:type="dcterms:W3CDTF">2024-12-11T08:14:06Z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F793C155C0694D57807F1075E3B205F6_13</vt:lpwstr>
  </property>
</Properties>
</file>