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3" w:line="210" w:lineRule="auto"/>
        <w:ind w:left="3072" w:right="366" w:hanging="2689"/>
        <w:jc w:val="center"/>
        <w:outlineLvl w:val="0"/>
        <w:rPr>
          <w:rFonts w:ascii="宋体" w:hAnsi="宋体" w:eastAsia="宋体" w:cs="宋体"/>
          <w:sz w:val="43"/>
          <w:szCs w:val="43"/>
          <w:highlight w:val="none"/>
        </w:rPr>
      </w:pPr>
      <w:r>
        <w:rPr>
          <w:rFonts w:hint="eastAsia" w:ascii="宋体" w:hAnsi="宋体" w:eastAsia="宋体" w:cs="宋体"/>
          <w:spacing w:val="6"/>
          <w:sz w:val="43"/>
          <w:szCs w:val="43"/>
          <w:highlight w:val="none"/>
          <w:lang w:eastAsia="zh-CN"/>
        </w:rPr>
        <w:t>合肥野生动物园</w:t>
      </w:r>
      <w:r>
        <w:rPr>
          <w:rFonts w:hint="eastAsia" w:ascii="宋体" w:hAnsi="宋体" w:eastAsia="宋体" w:cs="宋体"/>
          <w:spacing w:val="6"/>
          <w:sz w:val="43"/>
          <w:szCs w:val="43"/>
          <w:highlight w:val="none"/>
          <w:lang w:val="en-US" w:eastAsia="zh-CN"/>
        </w:rPr>
        <w:t>中心广场便利店项目</w:t>
      </w:r>
      <w:r>
        <w:rPr>
          <w:rFonts w:hint="eastAsia" w:ascii="宋体" w:hAnsi="宋体" w:eastAsia="宋体" w:cs="宋体"/>
          <w:spacing w:val="3"/>
          <w:sz w:val="43"/>
          <w:szCs w:val="43"/>
          <w:highlight w:val="none"/>
          <w:lang w:eastAsia="zh-CN"/>
        </w:rPr>
        <w:t>招商</w:t>
      </w:r>
      <w:r>
        <w:rPr>
          <w:rFonts w:ascii="宋体" w:hAnsi="宋体" w:eastAsia="宋体" w:cs="宋体"/>
          <w:spacing w:val="3"/>
          <w:sz w:val="43"/>
          <w:szCs w:val="43"/>
          <w:highlight w:val="none"/>
        </w:rPr>
        <w:t>公告</w:t>
      </w:r>
    </w:p>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266"/>
        <w:gridCol w:w="1656"/>
        <w:gridCol w:w="2145"/>
        <w:gridCol w:w="1566"/>
        <w:gridCol w:w="1568"/>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项目名称</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eastAsia="宋体"/>
                <w:highlight w:val="none"/>
                <w:lang w:eastAsia="zh-CN"/>
              </w:rPr>
            </w:pPr>
            <w:r>
              <w:rPr>
                <w:rFonts w:hint="eastAsia"/>
                <w:spacing w:val="-2"/>
                <w:highlight w:val="none"/>
                <w:lang w:eastAsia="zh-CN"/>
              </w:rPr>
              <w:t>合肥野生动物园</w:t>
            </w:r>
            <w:r>
              <w:rPr>
                <w:rFonts w:hint="eastAsia"/>
                <w:spacing w:val="-2"/>
                <w:highlight w:val="none"/>
                <w:lang w:val="en-US" w:eastAsia="zh-CN"/>
              </w:rPr>
              <w:t>中心广场便利店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项目编号</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DWYSG005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eastAsia="宋体"/>
                <w:highlight w:val="none"/>
                <w:lang w:eastAsia="zh-CN"/>
              </w:rPr>
            </w:pPr>
            <w:r>
              <w:rPr>
                <w:rFonts w:hint="eastAsia"/>
                <w:spacing w:val="-3"/>
                <w:highlight w:val="none"/>
                <w:lang w:eastAsia="zh-CN"/>
              </w:rPr>
              <w:t>招商方</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合肥文旅博览集团野生动物园管理有限公司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2"/>
                <w:highlight w:val="none"/>
                <w:lang w:eastAsia="zh-CN"/>
              </w:rPr>
              <w:t>招商方</w:t>
            </w:r>
            <w:r>
              <w:rPr>
                <w:spacing w:val="-2"/>
                <w:highlight w:val="none"/>
              </w:rPr>
              <w:t>承诺</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3"/>
                <w:position w:val="11"/>
                <w:highlight w:val="none"/>
              </w:rPr>
              <w:t>交易监督部</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highlight w:val="none"/>
              </w:rPr>
              <w:t>门</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51" w:type="dxa"/>
            <w:gridSpan w:val="6"/>
            <w:noWrap w:val="0"/>
            <w:vAlign w:val="center"/>
          </w:tcPr>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rPr>
            </w:pP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2024年12月12日至2024年12月20日</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2024年12月23日下午15:00</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5"/>
                <w:highlight w:val="none"/>
              </w:rPr>
              <w:t>面</w:t>
            </w:r>
            <w:r>
              <w:rPr>
                <w:spacing w:val="-8"/>
                <w:highlight w:val="none"/>
              </w:rPr>
              <w:t>积（㎡）</w:t>
            </w:r>
          </w:p>
        </w:tc>
        <w:tc>
          <w:tcPr>
            <w:tcW w:w="214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eastAsia"/>
                <w:highlight w:val="none"/>
                <w:lang w:val="en-US" w:eastAsia="zh-CN"/>
              </w:rPr>
            </w:pPr>
            <w:r>
              <w:rPr>
                <w:rFonts w:hint="eastAsia"/>
                <w:highlight w:val="none"/>
                <w:lang w:val="en-US" w:eastAsia="zh-CN"/>
              </w:rPr>
              <w:t>项目评估价</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7"/>
                <w:highlight w:val="none"/>
              </w:rPr>
              <w:t>（万元/年）</w:t>
            </w:r>
          </w:p>
        </w:tc>
        <w:tc>
          <w:tcPr>
            <w:tcW w:w="156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56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交易保证</w:t>
            </w:r>
            <w:r>
              <w:rPr>
                <w:spacing w:val="-7"/>
                <w:highlight w:val="none"/>
              </w:rPr>
              <w:t>金（万元）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合肥野生动物园中心广场五号点位</w:t>
            </w:r>
          </w:p>
        </w:tc>
        <w:tc>
          <w:tcPr>
            <w:tcW w:w="165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119.7</w:t>
            </w:r>
          </w:p>
        </w:tc>
        <w:tc>
          <w:tcPr>
            <w:tcW w:w="214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43.09</w:t>
            </w:r>
          </w:p>
        </w:tc>
        <w:tc>
          <w:tcPr>
            <w:tcW w:w="1566"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cs="宋体"/>
                <w:snapToGrid w:val="0"/>
                <w:color w:val="000000"/>
                <w:kern w:val="0"/>
                <w:sz w:val="24"/>
                <w:szCs w:val="24"/>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≥32%</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p>
        </w:tc>
        <w:tc>
          <w:tcPr>
            <w:tcW w:w="156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w:t>
            </w:r>
          </w:p>
        </w:tc>
        <w:tc>
          <w:tcPr>
            <w:tcW w:w="1450"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6.46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0062" w:type="dxa"/>
            <w:gridSpan w:val="7"/>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600号合肥野生动物园内中心广场五号点位。</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spacing w:val="-2"/>
                <w:highlight w:val="none"/>
              </w:rPr>
              <w:t>2.标的权属情况：</w:t>
            </w:r>
            <w:r>
              <w:rPr>
                <w:spacing w:val="-3"/>
                <w:highlight w:val="none"/>
              </w:rPr>
              <w:t>标的面积为</w:t>
            </w:r>
            <w:r>
              <w:rPr>
                <w:rFonts w:hint="eastAsia"/>
                <w:spacing w:val="-3"/>
                <w:highlight w:val="none"/>
                <w:lang w:eastAsia="zh-CN"/>
              </w:rPr>
              <w:t>招商方委托第三方测绘公司测算面积</w:t>
            </w:r>
            <w:r>
              <w:rPr>
                <w:spacing w:val="-3"/>
                <w:highlight w:val="none"/>
              </w:rPr>
              <w:t>，仅供参考。</w:t>
            </w:r>
            <w:r>
              <w:rPr>
                <w:rFonts w:hint="eastAsia"/>
                <w:spacing w:val="-3"/>
                <w:highlight w:val="none"/>
                <w:lang w:eastAsia="zh-CN"/>
              </w:rPr>
              <w:t>招商</w:t>
            </w:r>
            <w:r>
              <w:rPr>
                <w:spacing w:val="-3"/>
                <w:highlight w:val="none"/>
              </w:rPr>
              <w:t>标的无权属纠纷</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rPr>
            </w:pPr>
            <w:r>
              <w:rPr>
                <w:spacing w:val="-3"/>
                <w:highlight w:val="none"/>
              </w:rPr>
              <w:t>1.</w:t>
            </w:r>
            <w:r>
              <w:rPr>
                <w:rFonts w:hint="eastAsia"/>
                <w:spacing w:val="-3"/>
                <w:highlight w:val="none"/>
                <w:lang w:eastAsia="zh-CN"/>
              </w:rPr>
              <w:t>招商</w:t>
            </w:r>
            <w:r>
              <w:rPr>
                <w:spacing w:val="-3"/>
                <w:highlight w:val="none"/>
              </w:rPr>
              <w:t>房屋的用途为</w:t>
            </w:r>
            <w:r>
              <w:rPr>
                <w:rFonts w:hint="eastAsia"/>
                <w:spacing w:val="-3"/>
                <w:highlight w:val="none"/>
                <w:lang w:eastAsia="zh-CN"/>
              </w:rPr>
              <w:t>便利店</w:t>
            </w:r>
            <w:r>
              <w:rPr>
                <w:rFonts w:hint="eastAsia"/>
                <w:spacing w:val="-3"/>
                <w:highlight w:val="none"/>
                <w:lang w:val="en-US" w:eastAsia="zh-CN"/>
              </w:rPr>
              <w:t>项目经营（商品零售）。</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spacing w:val="-1"/>
                <w:highlight w:val="none"/>
              </w:rPr>
            </w:pPr>
            <w:r>
              <w:rPr>
                <w:highlight w:val="none"/>
              </w:rPr>
              <w:t>2.</w:t>
            </w:r>
            <w:r>
              <w:rPr>
                <w:rFonts w:hint="eastAsia"/>
                <w:highlight w:val="none"/>
                <w:lang w:val="en-US" w:eastAsia="zh-CN"/>
              </w:rPr>
              <w:t>合作</w:t>
            </w:r>
            <w:r>
              <w:rPr>
                <w:rFonts w:hint="eastAsia"/>
                <w:highlight w:val="none"/>
                <w:lang w:eastAsia="zh-CN"/>
              </w:rPr>
              <w:t>方</w:t>
            </w:r>
            <w:r>
              <w:rPr>
                <w:highlight w:val="none"/>
              </w:rPr>
              <w:t>使用上述房屋必须符合相关法律法规</w:t>
            </w:r>
            <w:r>
              <w:rPr>
                <w:spacing w:val="-1"/>
                <w:highlight w:val="none"/>
              </w:rPr>
              <w:t>要求，上述房屋内均不得从事</w:t>
            </w:r>
            <w:r>
              <w:rPr>
                <w:rFonts w:hint="eastAsia"/>
                <w:spacing w:val="-1"/>
                <w:highlight w:val="none"/>
                <w:lang w:eastAsia="zh-CN"/>
              </w:rPr>
              <w:t>除</w:t>
            </w:r>
            <w:r>
              <w:rPr>
                <w:rFonts w:hint="eastAsia"/>
                <w:spacing w:val="-1"/>
                <w:highlight w:val="none"/>
                <w:lang w:val="en-US" w:eastAsia="zh-CN"/>
              </w:rPr>
              <w:t>便利店</w:t>
            </w:r>
            <w:r>
              <w:rPr>
                <w:rFonts w:hint="eastAsia"/>
                <w:spacing w:val="-1"/>
                <w:highlight w:val="none"/>
                <w:lang w:eastAsia="zh-CN"/>
              </w:rPr>
              <w:t>项目之外的其他经营行为</w:t>
            </w:r>
            <w:r>
              <w:rPr>
                <w:spacing w:val="-3"/>
                <w:highlight w:val="none"/>
              </w:rPr>
              <w:t>，室内不得使用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val="en-US" w:eastAsia="zh-CN"/>
              </w:rPr>
              <w:t>合作</w:t>
            </w:r>
            <w:r>
              <w:rPr>
                <w:rFonts w:hint="eastAsia"/>
                <w:spacing w:val="-3"/>
                <w:highlight w:val="none"/>
                <w:lang w:eastAsia="zh-CN"/>
              </w:rPr>
              <w:t>方</w:t>
            </w:r>
            <w:r>
              <w:rPr>
                <w:spacing w:val="-3"/>
                <w:highlight w:val="none"/>
              </w:rPr>
              <w:t>不能</w:t>
            </w:r>
            <w:r>
              <w:rPr>
                <w:highlight w:val="none"/>
              </w:rPr>
              <w:t>按预想的方案使用房屋并导致合同不能</w:t>
            </w:r>
            <w:r>
              <w:rPr>
                <w:spacing w:val="-1"/>
                <w:highlight w:val="none"/>
              </w:rPr>
              <w:t>履约的，责任由</w:t>
            </w:r>
            <w:r>
              <w:rPr>
                <w:rFonts w:hint="eastAsia"/>
                <w:spacing w:val="-1"/>
                <w:highlight w:val="none"/>
                <w:lang w:val="en-US" w:eastAsia="zh-CN"/>
              </w:rPr>
              <w:t>合作</w:t>
            </w:r>
            <w:r>
              <w:rPr>
                <w:rFonts w:hint="eastAsia"/>
                <w:spacing w:val="-1"/>
                <w:highlight w:val="none"/>
                <w:lang w:eastAsia="zh-CN"/>
              </w:rPr>
              <w:t>方</w:t>
            </w:r>
            <w:r>
              <w:rPr>
                <w:spacing w:val="-1"/>
                <w:highlight w:val="none"/>
              </w:rPr>
              <w:t>承担。</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4</w:t>
            </w:r>
            <w:r>
              <w:rPr>
                <w:rFonts w:hint="default" w:cs="宋体"/>
                <w:color w:val="000000"/>
                <w:sz w:val="24"/>
                <w:szCs w:val="24"/>
                <w:highlight w:val="none"/>
                <w:lang w:val="en-US" w:eastAsia="zh-CN" w:bidi="zh-CN"/>
              </w:rPr>
              <w:t>.合作期间场地如遇政府部门要求拆迁（如生态红线内违规建设等原因）、招商方园区改造提升拆迁的，招商方有权解除合同，并不承担任何违约责任。</w:t>
            </w:r>
            <w:r>
              <w:rPr>
                <w:rFonts w:hint="eastAsia" w:cs="宋体"/>
                <w:color w:val="000000"/>
                <w:sz w:val="24"/>
                <w:szCs w:val="24"/>
                <w:highlight w:val="none"/>
                <w:lang w:val="en-US" w:eastAsia="zh-CN" w:bidi="zh-CN"/>
              </w:rPr>
              <w:t>如遇园区后期有新的商业规划在点位附近设置新的业态，合作方不得以此为由要求减免保底价及分成。</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5.合作方需无偿代售动物园文创商品及合肥文旅博览集团及其子公司商品（货品具体摆放位置由招商方指定）。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1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合作经营分成款及履约保证金支付</w:t>
            </w:r>
          </w:p>
        </w:tc>
        <w:tc>
          <w:tcPr>
            <w:tcW w:w="8651" w:type="dxa"/>
            <w:gridSpan w:val="6"/>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1.</w:t>
            </w:r>
            <w:r>
              <w:rPr>
                <w:rFonts w:hint="eastAsia" w:ascii="宋体" w:hAnsi="宋体" w:eastAsia="宋体" w:cs="宋体"/>
                <w:spacing w:val="-3"/>
                <w:kern w:val="2"/>
                <w:position w:val="11"/>
                <w:sz w:val="24"/>
                <w:szCs w:val="24"/>
                <w:highlight w:val="none"/>
                <w:lang w:val="en-US" w:eastAsia="zh-CN" w:bidi="ar-SA"/>
              </w:rPr>
              <w:t>合作方自行采购的收银系统需与招商方要求的保持一致，所有营收款先进招商方账户，合作采用保底报价＋分成的模式，分成款按月结算，招商方全年分成总和大于保底报价时，招商方按照分成总和收取合作经营款，招商方全年分成总和小于等于保底报价时，招商方按照保底报价收取合作经营款</w:t>
            </w:r>
            <w:r>
              <w:rPr>
                <w:rFonts w:hint="eastAsia" w:cs="宋体"/>
                <w:spacing w:val="-3"/>
                <w:kern w:val="2"/>
                <w:position w:val="11"/>
                <w:sz w:val="24"/>
                <w:szCs w:val="24"/>
                <w:highlight w:val="none"/>
                <w:lang w:val="en-US" w:eastAsia="zh-CN" w:bidi="ar-SA"/>
              </w:rPr>
              <w:t>（每年具体结算时，若合作方前9个月的分成款超过保底价，则按分成款结算，若不足则按保底价结算（不足部分从合作方分成款扣除）。年度最后一个季度对全年应分成款进行核算，当全年应分成款≤保底价，最后一个季度招商方不再分成，营收款归合作方所有；当全年应分成款＞保底价，最后一个季度招商方按全年应分成款-前期已分成（或当前期分成不足保底价时已扣除的保底价）为招商方应得分成款。营收款项中扣除后仍达不到保底价部分合作方应在10个工作日内补齐，否则招商方有权终止合同，且不退还履约保证金。</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2.合作方应在《招商结果通知书》出具之日至合同签订前向招商方提交履约保证金。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62" w:type="dxa"/>
            <w:gridSpan w:val="7"/>
            <w:tcBorders>
              <w:bottom w:val="single" w:color="auto" w:sz="4" w:space="0"/>
            </w:tcBorders>
            <w:noWrap w:val="0"/>
            <w:vAlign w:val="center"/>
          </w:tcPr>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对投标方资格的要求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0062" w:type="dxa"/>
            <w:gridSpan w:val="7"/>
            <w:tcBorders>
              <w:top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1.凡依法设立并有效存续且具有不少于3家直营连锁超市经营业绩及1家在党政机关或事业单位或国企单位的经营业绩的法人（含分支机构）可参与</w:t>
            </w:r>
            <w:r>
              <w:rPr>
                <w:rFonts w:hint="eastAsia" w:cs="宋体"/>
                <w:spacing w:val="-3"/>
                <w:kern w:val="2"/>
                <w:position w:val="11"/>
                <w:sz w:val="24"/>
                <w:szCs w:val="24"/>
                <w:highlight w:val="none"/>
                <w:lang w:val="en-US" w:eastAsia="zh-CN" w:bidi="ar-SA"/>
              </w:rPr>
              <w:t>招商</w:t>
            </w:r>
            <w:r>
              <w:rPr>
                <w:rFonts w:hint="eastAsia" w:ascii="宋体" w:hAnsi="宋体" w:eastAsia="宋体" w:cs="宋体"/>
                <w:spacing w:val="-3"/>
                <w:kern w:val="2"/>
                <w:position w:val="11"/>
                <w:sz w:val="24"/>
                <w:szCs w:val="24"/>
                <w:highlight w:val="none"/>
                <w:lang w:val="en-US" w:eastAsia="zh-CN" w:bidi="ar-SA"/>
              </w:rPr>
              <w:t>。</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.国家法律、行政法规规定的其他条件。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三、</w:t>
            </w:r>
            <w:r>
              <w:rPr>
                <w:rFonts w:hint="eastAsia"/>
                <w:spacing w:val="-2"/>
                <w:highlight w:val="none"/>
                <w:lang w:eastAsia="zh-CN"/>
              </w:rPr>
              <w:t>招商</w:t>
            </w:r>
            <w:r>
              <w:rPr>
                <w:spacing w:val="-2"/>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1006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62" w:type="dxa"/>
            <w:gridSpan w:val="7"/>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3.合作方在合同履约期限内，不得转租。招商房屋必须由合作方自主经营，未经招商方书面同意，不得以任何形式转租、分租、出借租赁房屋及与他人合作经营。如有发生则招商方有权终止合作。</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4.合同期内，合作方负责房屋的日常安全管理工作并承担房屋发生的水、电、通讯（网络）、物业管理（</w:t>
            </w:r>
            <w:r>
              <w:rPr>
                <w:rFonts w:hint="eastAsia"/>
                <w:highlight w:val="none"/>
                <w:lang w:val="en-US" w:eastAsia="zh-CN"/>
              </w:rPr>
              <w:t>14364</w:t>
            </w:r>
            <w:r>
              <w:rPr>
                <w:rFonts w:hint="eastAsia"/>
                <w:highlight w:val="none"/>
              </w:rPr>
              <w:t>元/年）、停车等相关费用。</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5.合作方需结合招商方统一商业规划要求，对房屋自行装修、装潢时，装修、装潢，方案须经招商方同意后方可实行</w:t>
            </w:r>
            <w:r>
              <w:rPr>
                <w:rFonts w:hint="eastAsia"/>
                <w:highlight w:val="none"/>
                <w:lang w:eastAsia="zh-CN"/>
              </w:rPr>
              <w:t>（</w:t>
            </w:r>
            <w:r>
              <w:rPr>
                <w:rFonts w:hint="eastAsia"/>
                <w:color w:val="auto"/>
                <w:highlight w:val="none"/>
                <w:lang w:eastAsia="zh-CN"/>
              </w:rPr>
              <w:t>装修期</w:t>
            </w:r>
            <w:r>
              <w:rPr>
                <w:rFonts w:hint="eastAsia"/>
                <w:color w:val="auto"/>
                <w:highlight w:val="none"/>
                <w:lang w:val="en-US" w:eastAsia="zh-CN"/>
              </w:rPr>
              <w:t>20天</w:t>
            </w:r>
            <w:r>
              <w:rPr>
                <w:rFonts w:hint="eastAsia"/>
                <w:highlight w:val="none"/>
                <w:lang w:eastAsia="zh-CN"/>
              </w:rPr>
              <w:t>）</w:t>
            </w:r>
            <w:r>
              <w:rPr>
                <w:rFonts w:hint="eastAsia"/>
                <w:highlight w:val="none"/>
              </w:rPr>
              <w:t>，且装修、装潢不得改动或破坏房屋结构</w:t>
            </w:r>
            <w:r>
              <w:rPr>
                <w:rFonts w:hint="eastAsia"/>
                <w:highlight w:val="none"/>
                <w:lang w:eastAsia="zh-CN"/>
              </w:rPr>
              <w:t>（因屋顶有基站，装修必须保证屋顶及基站的完好）</w:t>
            </w:r>
            <w:r>
              <w:rPr>
                <w:rFonts w:hint="eastAsia"/>
                <w:highlight w:val="none"/>
              </w:rPr>
              <w:t>。如擅自改动或破坏房屋结构，合作方应立即恢复原状，给招商方或第三人造成的损失应由合作方承担赔偿责任。房屋的装修、装潢费用及合同期内房屋的维修费用全部由合作方自行承担。</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6.合同期内，合作方不得以任何理由要求减免底价及分成款。如因法律法规及市政规定需要拆除或改造房屋而导致合同解除的，底价及分成款按照实际合作时间计算，不足整月的按实际天数计算，多退少补。</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7.合同期满或终止时，合作方投入的装修、装潢部分无偿归招商方所有和使用，合同期满或终止时，将房屋在10 日内交还招商方，并结清水、电和物业管理等费用，且不得提出任何补偿要求。经招商方验收合格后，退还合作方交易保证金。</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8.合作方应在《招商结果通知书》发出之日起7个工作日内与招商方签订《合作经营合同》。</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9.其他未尽事宜详见本公告附件《合作经营合同》。</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10.特别说明：</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tbl>
      <w:tblPr>
        <w:tblStyle w:val="10"/>
        <w:tblW w:w="10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8" w:type="dxa"/>
            <w:noWrap w:val="0"/>
            <w:vAlign w:val="top"/>
          </w:tcPr>
          <w:p>
            <w:pPr>
              <w:pStyle w:val="14"/>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中标方</w:t>
            </w:r>
            <w:r>
              <w:rPr>
                <w:rFonts w:hint="eastAsia" w:ascii="宋体" w:hAnsi="宋体" w:eastAsia="宋体" w:cs="宋体"/>
                <w:color w:val="000000"/>
                <w:sz w:val="24"/>
                <w:szCs w:val="24"/>
                <w:highlight w:val="none"/>
              </w:rPr>
              <w:t xml:space="preserve">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8" w:hRule="atLeast"/>
        </w:trPr>
        <w:tc>
          <w:tcPr>
            <w:tcW w:w="10068" w:type="dxa"/>
            <w:noWrap w:val="0"/>
            <w:vAlign w:val="top"/>
          </w:tcPr>
          <w:p>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w:t>
            </w:r>
            <w:r>
              <w:rPr>
                <w:rFonts w:hint="eastAsia" w:ascii="宋体" w:hAnsi="宋体" w:eastAsia="宋体" w:cs="宋体"/>
                <w:b w:val="0"/>
                <w:bCs w:val="0"/>
                <w:color w:val="000000"/>
                <w:sz w:val="24"/>
                <w:szCs w:val="24"/>
                <w:highlight w:val="none"/>
                <w:lang w:val="en-US" w:eastAsia="zh-CN"/>
              </w:rPr>
              <w:t>方。</w:t>
            </w:r>
          </w:p>
          <w:tbl>
            <w:tblPr>
              <w:tblStyle w:val="1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00"/>
              <w:gridCol w:w="677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0" w:type="dxa"/>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100" w:type="dxa"/>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772" w:type="dxa"/>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合作方业绩</w:t>
                  </w: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合作方提供2021年1月1日以来直营店（合同签约方与投标人一致）业绩，每提供一个业绩得2分，满分10分。</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注；提供合同关键页复印件并加盖公章：合同首页、服务内容页、甲乙方盖章页、签订时间页</w:t>
                  </w:r>
                </w:p>
              </w:tc>
              <w:tc>
                <w:tcPr>
                  <w:tcW w:w="1052" w:type="dxa"/>
                  <w:noWrap w:val="0"/>
                  <w:vAlign w:val="center"/>
                </w:tcPr>
                <w:p>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合作方实力</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1.合作方具有经中国国家认证认可监督管理委员会认证机构颁发的有效的下列认证：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（1）质量管理体系认证的得 3 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（2）环境管理体系认证的得 3 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（3）职业健康安全管理体系认证的得3 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（4）食品安全管理体系认证的得3 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需提供有效期内的证书原件复印件及国家认证认可监督管理委员会官网查询截图。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注：体系认证证书需提供国家认证认可监督管理委员会官网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查询截图，且在有效期内； </w:t>
                  </w:r>
                </w:p>
              </w:tc>
              <w:tc>
                <w:tcPr>
                  <w:tcW w:w="1052" w:type="dxa"/>
                  <w:noWrap w:val="0"/>
                  <w:vAlign w:val="center"/>
                </w:tcPr>
                <w:p>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保险保障</w:t>
                  </w: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合作方自行承诺中标后为本项目超市（便利店）购买《食品安全责任险》或《公众责任险》的得 7分，否则不得分；合作人自行承诺，格式自拟，否则不得分。需提供承诺书原件。</w:t>
                  </w:r>
                </w:p>
              </w:tc>
              <w:tc>
                <w:tcPr>
                  <w:tcW w:w="1052" w:type="dxa"/>
                  <w:noWrap w:val="0"/>
                  <w:vAlign w:val="center"/>
                </w:tcPr>
                <w:p>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应急预</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案和投</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诉处理</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方案</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对合作方的超市应急机制、各种应急方案、食品安全应急预案、保障配送预案、消防安全、投诉处理方案、职工满意度保障体系等进行综合评比打分。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1.方案周密、科学、详尽、合理、可实施性强、保障措施强等，充分满足项目实施要求的得</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2.方案较周密、较科学、较合理、可实施性较强、保障措施较强等，满足项目实施要求的得</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3.方案基本可行，可实施性、保障措施、应急预案等部分存在不足的得</w:t>
                  </w:r>
                  <w:r>
                    <w:rPr>
                      <w:rFonts w:hint="eastAsia" w:ascii="宋体" w:hAnsi="宋体"/>
                      <w:color w:val="000000"/>
                      <w:spacing w:val="3"/>
                      <w:sz w:val="24"/>
                      <w:highlight w:val="none"/>
                    </w:rPr>
                    <w:t>1≤F＜</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4.方案不能满足项目实施要求或未提供的不得分。 </w:t>
                  </w:r>
                </w:p>
              </w:tc>
              <w:tc>
                <w:tcPr>
                  <w:tcW w:w="1052" w:type="dxa"/>
                  <w:noWrap w:val="0"/>
                  <w:vAlign w:val="center"/>
                </w:tcPr>
                <w:p>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8</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商店设计方案</w:t>
                  </w: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合作方制定合肥野生动物园便利店设计方案，设计方案包括店铺外部装饰设计方案，店铺室内设计方案，供评委进行综合评价。</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18</w:t>
                  </w:r>
                  <w:r>
                    <w:rPr>
                      <w:rFonts w:hint="eastAsia" w:ascii="宋体" w:hAnsi="宋体"/>
                      <w:color w:val="000000"/>
                      <w:spacing w:val="3"/>
                      <w:sz w:val="24"/>
                      <w:highlight w:val="none"/>
                    </w:rPr>
                    <w:t>分；综合评价为良的，得</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分；综合评价一般的，得1≤F＜</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分，未提供不得分</w:t>
                  </w:r>
                  <w:r>
                    <w:rPr>
                      <w:rFonts w:hint="eastAsia" w:ascii="宋体" w:hAnsi="宋体" w:eastAsia="宋体" w:cs="Times New Roman"/>
                      <w:color w:val="000000"/>
                      <w:spacing w:val="3"/>
                      <w:sz w:val="24"/>
                      <w:highlight w:val="none"/>
                      <w:lang w:val="en-US" w:eastAsia="zh-CN"/>
                    </w:rPr>
                    <w:t>。</w:t>
                  </w:r>
                </w:p>
              </w:tc>
              <w:tc>
                <w:tcPr>
                  <w:tcW w:w="1052" w:type="dxa"/>
                  <w:noWrap w:val="0"/>
                  <w:vAlign w:val="center"/>
                </w:tcPr>
                <w:p>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经营方</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案及技</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术措施</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等方案</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根据有关法规、政策以及景区超市管理的特点和要求，合作方要提出提高便利店管理服务水平的总体设想及策划方案，具体内容包括但不限于以下方面：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1.项目经营方案、超市经营品种；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2.超市管理方案及食品保存管理方案等；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3.各项规章制度健全，特别是超市食品安全保障制度、食品质量管理制度、卫生清洁管理制度、设施设备管理制度、人员管理制度、财务管理制度等；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4.食品安全管理及食品质量保证；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5.服务质量控制方案；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6.卫生管理控制方案；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由评标委员会根据投标文件以上内容进行综合评审：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①方案周密、科学、详尽、可实施性强、保障措施完善，充分满足项目实施需求的得10≤F≤15分。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②方案较周密、较科学、较合理、可实施性强、保障措施基本满足项目要求的得5≤F&lt;10分。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③方案基本可行,细微存在不足的，人员安排不充分得1≤F&lt;5分。 </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④方案不能满足项目实施要求或未提供的不得分。 </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（要求不少于43.09万元）</w:t>
                  </w: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应根据自身综合能力，对招商方年度能获得的保底分成额做出报价，报价需要不低于项目评估底价。以满足文件要求的有效最高保底报价作为基准价，得分10分，其他报价得分=（其他报价/基准价）×15%×100（保留至小数点后两位）。</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分成比例报价</w:t>
                  </w:r>
                  <w:r>
                    <w:rPr>
                      <w:rFonts w:hint="eastAsia" w:ascii="宋体" w:hAnsi="宋体" w:cs="宋体"/>
                      <w:color w:val="auto"/>
                      <w:sz w:val="24"/>
                      <w:szCs w:val="24"/>
                      <w:highlight w:val="none"/>
                      <w:lang w:val="en-US" w:eastAsia="zh-CN"/>
                    </w:rPr>
                    <w:t>（要求不少于32%）</w:t>
                  </w:r>
                </w:p>
              </w:tc>
              <w:tc>
                <w:tcPr>
                  <w:tcW w:w="67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招商方分成比例最低不得少于32%。以满足文件要求的有效最高招商方分成比例报价为基准价，得15分，其他报价得分=（其他报价/基准价）×15%×100（保留至小数点后两位）。</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r>
              <w:rPr>
                <w:rFonts w:hint="eastAsia"/>
                <w:highlight w:val="none"/>
                <w:lang w:eastAsia="zh-CN"/>
              </w:rPr>
              <w:t>若此次招商所有合作方综合得分均低于</w:t>
            </w:r>
            <w:r>
              <w:rPr>
                <w:rFonts w:hint="eastAsia"/>
                <w:highlight w:val="none"/>
                <w:lang w:val="en-US" w:eastAsia="zh-CN"/>
              </w:rPr>
              <w:t>60分，则本次招商无效。</w:t>
            </w:r>
          </w:p>
          <w:p>
            <w:pPr>
              <w:pStyle w:val="14"/>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68" w:type="dxa"/>
            <w:noWrap w:val="0"/>
            <w:vAlign w:val="top"/>
          </w:tcPr>
          <w:p>
            <w:pPr>
              <w:pStyle w:val="14"/>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投标方</w:t>
            </w:r>
            <w:r>
              <w:rPr>
                <w:rFonts w:hint="eastAsia" w:ascii="宋体" w:hAnsi="宋体" w:eastAsia="宋体" w:cs="宋体"/>
                <w:color w:val="000000"/>
                <w:sz w:val="24"/>
                <w:szCs w:val="24"/>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068" w:type="dxa"/>
            <w:noWrap w:val="0"/>
            <w:vAlign w:val="center"/>
          </w:tcPr>
          <w:p>
            <w:pPr>
              <w:pStyle w:val="14"/>
              <w:spacing w:before="2" w:line="310" w:lineRule="atLeast"/>
              <w:ind w:right="95"/>
              <w:jc w:val="left"/>
              <w:rPr>
                <w:rFonts w:hint="eastAsia"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http://www.zwzcgl.com/index/lists/008002</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完整填写信息，在公告期内（2024年</w:t>
            </w:r>
            <w:r>
              <w:rPr>
                <w:rFonts w:hint="eastAsia" w:cs="宋体"/>
                <w:b w:val="0"/>
                <w:bCs w:val="0"/>
                <w:color w:val="000000"/>
                <w:sz w:val="24"/>
                <w:szCs w:val="24"/>
                <w:highlight w:val="none"/>
                <w:lang w:val="en-US" w:eastAsia="zh-CN" w:bidi="zh-CN"/>
              </w:rPr>
              <w:t>12</w:t>
            </w:r>
            <w:r>
              <w:rPr>
                <w:rFonts w:hint="eastAsia" w:ascii="宋体" w:hAnsi="宋体" w:eastAsia="宋体" w:cs="宋体"/>
                <w:b w:val="0"/>
                <w:bCs w:val="0"/>
                <w:color w:val="000000"/>
                <w:sz w:val="24"/>
                <w:szCs w:val="24"/>
                <w:highlight w:val="none"/>
                <w:lang w:val="en-US" w:eastAsia="zh-CN" w:bidi="zh-CN"/>
              </w:rPr>
              <w:t>月</w:t>
            </w:r>
            <w:r>
              <w:rPr>
                <w:rFonts w:hint="eastAsia" w:cs="宋体"/>
                <w:b w:val="0"/>
                <w:bCs w:val="0"/>
                <w:color w:val="000000"/>
                <w:sz w:val="24"/>
                <w:szCs w:val="24"/>
                <w:highlight w:val="none"/>
                <w:lang w:val="en-US" w:eastAsia="zh-CN" w:bidi="zh-CN"/>
              </w:rPr>
              <w:t>20</w:t>
            </w:r>
            <w:r>
              <w:rPr>
                <w:rFonts w:hint="eastAsia" w:ascii="宋体" w:hAnsi="宋体" w:eastAsia="宋体" w:cs="宋体"/>
                <w:b w:val="0"/>
                <w:bCs w:val="0"/>
                <w:color w:val="000000"/>
                <w:sz w:val="24"/>
                <w:szCs w:val="24"/>
                <w:highlight w:val="none"/>
                <w:lang w:val="en-US" w:eastAsia="zh-CN" w:bidi="zh-CN"/>
              </w:rPr>
              <w:t>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ascii="宋体" w:hAnsi="宋体" w:eastAsia="宋体" w:cs="宋体"/>
                <w:b w:val="0"/>
                <w:bCs w:val="0"/>
                <w:color w:val="000000"/>
                <w:sz w:val="24"/>
                <w:szCs w:val="24"/>
                <w:highlight w:val="none"/>
                <w:u w:val="single"/>
                <w:lang w:val="en-US" w:eastAsia="zh-CN" w:bidi="zh-CN"/>
              </w:rPr>
              <w:t>2314992605@qq.com</w:t>
            </w:r>
          </w:p>
        </w:tc>
      </w:tr>
    </w:tbl>
    <w:tbl>
      <w:tblPr>
        <w:tblStyle w:val="13"/>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8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0068" w:type="dxa"/>
            <w:gridSpan w:val="2"/>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投标方</w:t>
            </w:r>
            <w:r>
              <w:rPr>
                <w:rFonts w:hint="eastAsia" w:ascii="宋体" w:hAnsi="宋体" w:eastAsia="宋体" w:cs="宋体"/>
                <w:color w:val="000000"/>
                <w:sz w:val="24"/>
                <w:szCs w:val="24"/>
                <w:highlight w:val="none"/>
                <w:lang w:val="en-US" w:eastAsia="zh-CN" w:bidi="zh-CN"/>
              </w:rPr>
              <w:t>需提供的材料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42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（一）合作方应提供的材料，包含但不限于以下内容：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（2）法定代表人或委托代理人身份证复印件及授权委托书；</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（3）合作方认为必要的其他证明资料，例如合作方信用承诺等。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2、业绩证明材料及各类设计方案或样品；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合肥野生动物园中心广场便利店</w:t>
            </w:r>
            <w:r>
              <w:rPr>
                <w:rFonts w:hint="eastAsia" w:ascii="宋体" w:hAnsi="宋体" w:cs="宋体"/>
                <w:color w:val="000000"/>
                <w:kern w:val="0"/>
                <w:sz w:val="24"/>
                <w:szCs w:val="24"/>
                <w:highlight w:val="none"/>
                <w:lang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高新区望江西路600号合肥野生动物园商业管理部，报送截止时间为：2024年12月23日14:30</w:t>
            </w:r>
          </w:p>
          <w:p>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10"/>
        <w:tblW w:w="10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5"/>
        <w:gridCol w:w="8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872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招商结束且无异常情况，合肥文旅博览集团野生动物园管理有限公司将在合肥文旅博览集团官网发布招商结果公告，公示期3个工作日。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872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中标</w:t>
            </w:r>
            <w:r>
              <w:rPr>
                <w:rFonts w:hint="eastAsia" w:ascii="宋体" w:hAnsi="宋体" w:cs="宋体"/>
                <w:i w:val="0"/>
                <w:iCs w:val="0"/>
                <w:caps w:val="0"/>
                <w:color w:val="000000"/>
                <w:spacing w:val="0"/>
                <w:sz w:val="24"/>
                <w:szCs w:val="24"/>
                <w:highlight w:val="none"/>
                <w:shd w:val="clear" w:color="auto" w:fill="FFFFFF"/>
                <w:lang w:val="en-US" w:eastAsia="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rPr>
              <w:t>请于招商结果公告期结束日起 7 个工作日内前来我司签订合作经营合同。公司地址：合肥市高新区望江西路600号合肥野生动物园。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872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有异议，可自</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发布</w:t>
            </w:r>
            <w:r>
              <w:rPr>
                <w:rFonts w:hint="eastAsia" w:cs="宋体"/>
                <w:i w:val="0"/>
                <w:iCs w:val="0"/>
                <w:caps w:val="0"/>
                <w:color w:val="000000"/>
                <w:spacing w:val="0"/>
                <w:sz w:val="24"/>
                <w:szCs w:val="24"/>
                <w:highlight w:val="none"/>
                <w:shd w:val="clear" w:color="auto" w:fill="FFFFFF"/>
                <w:lang w:val="en-US" w:eastAsia="zh-CN" w:bidi="zh-CN"/>
              </w:rPr>
              <w:t>之日</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起</w:t>
            </w:r>
            <w:r>
              <w:rPr>
                <w:rFonts w:hint="eastAsia" w:cs="宋体"/>
                <w:i w:val="0"/>
                <w:iCs w:val="0"/>
                <w:caps w:val="0"/>
                <w:color w:val="000000"/>
                <w:spacing w:val="0"/>
                <w:sz w:val="24"/>
                <w:szCs w:val="24"/>
                <w:highlight w:val="none"/>
                <w:shd w:val="clear" w:color="auto" w:fill="FFFFFF"/>
                <w:lang w:val="en-US" w:eastAsia="zh-CN" w:bidi="zh-CN"/>
              </w:rPr>
              <w:t>3</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1.异议人的名称/姓名、地址、有效联系方式；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异议事项含有主观猜测等内容且未提供有效线索、难以查证的。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r>
              <w:rPr>
                <w:rFonts w:hint="eastAsia" w:ascii="宋体" w:hAnsi="宋体" w:eastAsia="宋体" w:cs="宋体"/>
                <w:color w:val="000000"/>
                <w:sz w:val="24"/>
                <w:szCs w:val="24"/>
                <w:highlight w:val="none"/>
              </w:rPr>
              <w:t xml:space="preserve"> </w:t>
            </w:r>
          </w:p>
        </w:tc>
        <w:tc>
          <w:tcPr>
            <w:tcW w:w="872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合作方如需咨询，务必首先认真阅读本项目公告，并针对具体条款进行咨询。本公告为本项目唯一法定文书，一切解释以本公告为准。商家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pPr>
        <w:pStyle w:val="6"/>
        <w:snapToGrid w:val="0"/>
        <w:spacing w:line="360" w:lineRule="auto"/>
        <w:jc w:val="left"/>
        <w:rPr>
          <w:rFonts w:hint="eastAsia" w:ascii="宋体" w:hAnsi="宋体" w:eastAsia="宋体" w:cs="宋体"/>
          <w:color w:val="000000"/>
          <w:sz w:val="28"/>
          <w:szCs w:val="28"/>
          <w:highlight w:val="none"/>
        </w:rPr>
      </w:pPr>
      <w:r>
        <w:rPr>
          <w:rFonts w:hint="eastAsia" w:ascii="Arial" w:hAnsi="Arial" w:eastAsia="宋体" w:cs="Arial"/>
          <w:sz w:val="21"/>
          <w:szCs w:val="21"/>
          <w:highlight w:val="none"/>
          <w:lang w:eastAsia="zh-CN"/>
        </w:rPr>
        <w:br w:type="page"/>
      </w:r>
    </w:p>
    <w:p>
      <w:pPr>
        <w:pStyle w:val="3"/>
        <w:jc w:val="both"/>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eastAsia="zh-CN"/>
        </w:rPr>
        <w:t>附件一：</w:t>
      </w:r>
      <w:r>
        <w:rPr>
          <w:rFonts w:hint="eastAsia" w:ascii="方正小标宋简体" w:hAnsi="方正小标宋简体" w:eastAsia="方正小标宋简体" w:cs="方正小标宋简体"/>
          <w:b w:val="0"/>
          <w:bCs w:val="0"/>
          <w:sz w:val="32"/>
          <w:szCs w:val="32"/>
          <w:highlight w:val="none"/>
          <w:lang w:val="en-US" w:eastAsia="zh-CN"/>
        </w:rPr>
        <w:t xml:space="preserve">  </w:t>
      </w:r>
    </w:p>
    <w:p>
      <w:pPr>
        <w:pStyle w:val="3"/>
        <w:jc w:val="center"/>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lang w:eastAsia="zh-CN"/>
        </w:rPr>
        <w:t>授权书</w:t>
      </w:r>
    </w:p>
    <w:p>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本授权书声明</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公司授权</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授权代表姓名、职务，手机号码）代表本公司参加合肥文旅博览集团野生动物园管理有限公司</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none"/>
          <w:lang w:eastAsia="zh-CN"/>
        </w:rPr>
        <w:t>项目</w:t>
      </w:r>
      <w:r>
        <w:rPr>
          <w:rFonts w:hint="eastAsia" w:ascii="宋体" w:hAnsi="宋体" w:eastAsia="宋体" w:cs="宋体"/>
          <w:bCs/>
          <w:color w:val="000000"/>
          <w:sz w:val="24"/>
          <w:szCs w:val="28"/>
          <w:highlight w:val="none"/>
        </w:rPr>
        <w:t>招</w:t>
      </w:r>
      <w:r>
        <w:rPr>
          <w:rFonts w:hint="eastAsia" w:ascii="宋体" w:hAnsi="宋体" w:eastAsia="宋体" w:cs="宋体"/>
          <w:bCs/>
          <w:color w:val="000000"/>
          <w:sz w:val="24"/>
          <w:szCs w:val="28"/>
          <w:highlight w:val="none"/>
          <w:lang w:eastAsia="zh-CN"/>
        </w:rPr>
        <w:t>商</w:t>
      </w:r>
      <w:r>
        <w:rPr>
          <w:rFonts w:hint="eastAsia" w:ascii="宋体" w:hAnsi="宋体" w:eastAsia="宋体" w:cs="宋体"/>
          <w:color w:val="000000"/>
          <w:sz w:val="24"/>
          <w:szCs w:val="28"/>
          <w:highlight w:val="none"/>
        </w:rPr>
        <w:t>，全权代表本公司处理</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过程的一切事宜，包括但不限于：投标、参与开标、谈判、签约等。</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授权代表在</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过程中所签署的一切文件和处理与之有关的一切事务，本公司均予以认可并对此承担责任。</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授权代表无转委托权。特此授权。</w:t>
      </w:r>
    </w:p>
    <w:p>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本授权书自出具之日起生效。</w:t>
      </w:r>
    </w:p>
    <w:p>
      <w:pPr>
        <w:spacing w:line="360" w:lineRule="auto"/>
        <w:rPr>
          <w:rFonts w:hint="eastAsia" w:ascii="宋体" w:hAnsi="宋体" w:eastAsia="宋体" w:cs="宋体"/>
          <w:color w:val="000000"/>
          <w:sz w:val="24"/>
          <w:szCs w:val="28"/>
          <w:highlight w:val="none"/>
        </w:rPr>
      </w:pPr>
    </w:p>
    <w:p>
      <w:pPr>
        <w:spacing w:line="360" w:lineRule="auto"/>
        <w:ind w:firstLine="645"/>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1" name="组合 1"/>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NBiZF2QAAAAkBAAAPAAAAAAAAAAEAIAAAACIA&#10;AABkcnMvZG93bnJldi54bWxQSwECFAAUAAAACACHTuJAcePJyOwCAADJCAAADgAAAAAAAAABACAA&#10;AAAoAQAAZHJzL2Uyb0RvYy54bWxQSwUGAAAAAAYABgBZAQAAhgY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highlight w:val="none"/>
        </w:rPr>
        <w:t>特此声明。</w:t>
      </w:r>
    </w:p>
    <w:p>
      <w:pPr>
        <w:pStyle w:val="2"/>
        <w:rPr>
          <w:rFonts w:hint="eastAsia" w:ascii="宋体" w:hAnsi="宋体" w:eastAsia="宋体" w:cs="宋体"/>
          <w:color w:val="000000"/>
          <w:sz w:val="24"/>
          <w:szCs w:val="28"/>
          <w:highlight w:val="none"/>
        </w:rPr>
      </w:pPr>
    </w:p>
    <w:p>
      <w:pPr>
        <w:rPr>
          <w:rFonts w:hint="eastAsia" w:ascii="宋体" w:hAnsi="宋体" w:eastAsia="宋体" w:cs="宋体"/>
          <w:color w:val="000000"/>
          <w:sz w:val="24"/>
          <w:szCs w:val="28"/>
          <w:highlight w:val="none"/>
        </w:rPr>
      </w:pPr>
    </w:p>
    <w:p>
      <w:pPr>
        <w:pStyle w:val="2"/>
        <w:rPr>
          <w:rFonts w:hint="eastAsia" w:ascii="宋体" w:hAnsi="宋体" w:eastAsia="宋体" w:cs="宋体"/>
          <w:highlight w:val="none"/>
        </w:rPr>
      </w:pPr>
    </w:p>
    <w:p>
      <w:pPr>
        <w:pStyle w:val="2"/>
        <w:rPr>
          <w:rFonts w:hint="eastAsia" w:ascii="宋体" w:hAnsi="宋体" w:eastAsia="宋体" w:cs="宋体"/>
          <w:color w:val="000000"/>
          <w:sz w:val="24"/>
          <w:szCs w:val="28"/>
          <w:highlight w:val="none"/>
        </w:rPr>
      </w:pPr>
    </w:p>
    <w:p>
      <w:pPr>
        <w:rPr>
          <w:rFonts w:hint="eastAsia" w:ascii="宋体" w:hAnsi="宋体" w:eastAsia="宋体" w:cs="宋体"/>
          <w:highlight w:val="none"/>
        </w:rPr>
      </w:pPr>
    </w:p>
    <w:p>
      <w:pPr>
        <w:spacing w:line="360" w:lineRule="auto"/>
        <w:rPr>
          <w:rFonts w:hint="eastAsia" w:ascii="宋体" w:hAnsi="宋体" w:eastAsia="宋体" w:cs="宋体"/>
          <w:color w:val="000000"/>
          <w:sz w:val="24"/>
          <w:szCs w:val="28"/>
          <w:highlight w:val="none"/>
        </w:rPr>
      </w:pPr>
    </w:p>
    <w:p>
      <w:pPr>
        <w:spacing w:line="360" w:lineRule="auto"/>
        <w:rPr>
          <w:rFonts w:hint="eastAsia" w:ascii="宋体" w:hAnsi="宋体" w:eastAsia="宋体" w:cs="宋体"/>
          <w:color w:val="000000"/>
          <w:sz w:val="24"/>
          <w:szCs w:val="28"/>
          <w:highlight w:val="none"/>
        </w:rPr>
      </w:pPr>
    </w:p>
    <w:p>
      <w:pPr>
        <w:spacing w:line="360" w:lineRule="auto"/>
        <w:rPr>
          <w:rFonts w:hint="eastAsia" w:ascii="宋体" w:hAnsi="宋体" w:eastAsia="宋体" w:cs="宋体"/>
          <w:color w:val="000000"/>
          <w:sz w:val="24"/>
          <w:szCs w:val="28"/>
          <w:highlight w:val="none"/>
        </w:rPr>
      </w:pPr>
    </w:p>
    <w:p>
      <w:pPr>
        <w:spacing w:line="360" w:lineRule="auto"/>
        <w:rPr>
          <w:rFonts w:hint="eastAsia"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lang w:eastAsia="zh-CN"/>
        </w:rPr>
        <w:t>合作方</w:t>
      </w:r>
      <w:r>
        <w:rPr>
          <w:rFonts w:hint="eastAsia" w:ascii="宋体" w:hAnsi="宋体" w:eastAsia="宋体" w:cs="宋体"/>
          <w:b/>
          <w:bCs/>
          <w:color w:val="000000"/>
          <w:sz w:val="24"/>
          <w:szCs w:val="28"/>
          <w:highlight w:val="none"/>
        </w:rPr>
        <w:t>(公章)：</w:t>
      </w:r>
    </w:p>
    <w:p>
      <w:pPr>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日        期： </w:t>
      </w:r>
    </w:p>
    <w:p>
      <w:pPr>
        <w:rPr>
          <w:rFonts w:hint="eastAsia" w:ascii="宋体" w:hAnsi="宋体" w:eastAsia="宋体" w:cs="宋体"/>
          <w:color w:val="000000"/>
          <w:sz w:val="28"/>
          <w:szCs w:val="28"/>
          <w:highlight w:val="none"/>
        </w:rPr>
      </w:pPr>
    </w:p>
    <w:p>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注：</w:t>
      </w:r>
    </w:p>
    <w:p>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1.本项目只允许有唯一的</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授权代表，投标文件中提供授权代表身份证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szCs w:val="28"/>
          <w:highlight w:val="none"/>
        </w:rPr>
        <w:t>。</w:t>
      </w:r>
    </w:p>
    <w:p>
      <w:pPr>
        <w:pStyle w:val="6"/>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4"/>
          <w:szCs w:val="28"/>
          <w:highlight w:val="none"/>
        </w:rPr>
        <w:t>2.法定代表人参加投标的无需此件，</w:t>
      </w:r>
      <w:r>
        <w:rPr>
          <w:rFonts w:hint="eastAsia" w:ascii="宋体" w:hAnsi="宋体" w:eastAsia="宋体" w:cs="宋体"/>
          <w:color w:val="000000"/>
          <w:sz w:val="24"/>
          <w:highlight w:val="none"/>
        </w:rPr>
        <w:t>但投标文件中须提供身份证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highlight w:val="none"/>
        </w:rPr>
        <w:t>。</w:t>
      </w:r>
    </w:p>
    <w:p>
      <w:pPr>
        <w:pStyle w:val="3"/>
        <w:jc w:val="left"/>
        <w:rPr>
          <w:rFonts w:hint="eastAsia" w:ascii="宋体" w:hAnsi="宋体" w:eastAsia="宋体" w:cs="宋体"/>
          <w:color w:val="000000"/>
          <w:sz w:val="28"/>
          <w:szCs w:val="28"/>
          <w:highlight w:val="none"/>
        </w:rPr>
      </w:pPr>
      <w:r>
        <w:rPr>
          <w:rFonts w:hint="eastAsia" w:hAnsi="宋体" w:cs="宋体"/>
          <w:color w:val="000000"/>
          <w:sz w:val="28"/>
          <w:szCs w:val="28"/>
          <w:highlight w:val="none"/>
        </w:rPr>
        <w:br w:type="page"/>
      </w:r>
      <w:r>
        <w:rPr>
          <w:rFonts w:hint="eastAsia" w:ascii="宋体" w:hAnsi="宋体" w:eastAsia="宋体" w:cs="宋体"/>
          <w:color w:val="000000"/>
          <w:sz w:val="32"/>
          <w:szCs w:val="32"/>
          <w:highlight w:val="none"/>
          <w:lang w:eastAsia="zh-CN"/>
        </w:rPr>
        <w:t>附件</w:t>
      </w:r>
      <w:r>
        <w:rPr>
          <w:rFonts w:hint="eastAsia" w:hAnsi="宋体" w:eastAsia="宋体" w:cs="宋体"/>
          <w:color w:val="000000"/>
          <w:sz w:val="32"/>
          <w:szCs w:val="32"/>
          <w:highlight w:val="none"/>
          <w:lang w:eastAsia="zh-CN"/>
        </w:rPr>
        <w:t>二</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28"/>
          <w:szCs w:val="28"/>
          <w:highlight w:val="none"/>
          <w:lang w:val="en-US" w:eastAsia="zh-CN"/>
        </w:rPr>
        <w:t xml:space="preserve">                   </w:t>
      </w:r>
      <w:r>
        <w:rPr>
          <w:rFonts w:hint="eastAsia" w:hAnsi="宋体" w:eastAsia="宋体" w:cs="宋体"/>
          <w:color w:val="000000"/>
          <w:sz w:val="28"/>
          <w:szCs w:val="28"/>
          <w:highlight w:val="none"/>
          <w:lang w:eastAsia="zh-CN"/>
        </w:rPr>
        <w:t>合作方</w:t>
      </w:r>
      <w:r>
        <w:rPr>
          <w:rFonts w:hint="eastAsia" w:ascii="宋体" w:hAnsi="宋体" w:eastAsia="宋体" w:cs="宋体"/>
          <w:color w:val="000000"/>
          <w:sz w:val="28"/>
          <w:szCs w:val="28"/>
          <w:highlight w:val="none"/>
        </w:rPr>
        <w:t>信用承诺</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我公司申明，我公司无以下不良信用记录情形：</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1.公司被人民法院列入失信被执行人；</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2.公司、公司法定代表人被人民检察院列入行贿犯罪档案；</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3.公司被工商行政管理部门列入企业经营异常名录；</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4.公司被税务部门列入重大税收违法案件当事人名单的；</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参加本次投标活动前三年内，在服务活动中没有重大违法及安全事故记录。</w:t>
      </w:r>
    </w:p>
    <w:p>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eastAsia="宋体" w:cs="宋体"/>
          <w:b/>
          <w:color w:val="000000"/>
          <w:sz w:val="24"/>
          <w:szCs w:val="24"/>
          <w:highlight w:val="none"/>
        </w:rPr>
      </w:pPr>
    </w:p>
    <w:p>
      <w:pPr>
        <w:spacing w:line="360" w:lineRule="auto"/>
        <w:ind w:firstLine="63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合作方</w:t>
      </w:r>
      <w:r>
        <w:rPr>
          <w:rFonts w:hint="eastAsia" w:ascii="宋体" w:hAnsi="宋体" w:eastAsia="宋体" w:cs="宋体"/>
          <w:b/>
          <w:color w:val="000000"/>
          <w:sz w:val="24"/>
          <w:szCs w:val="24"/>
          <w:highlight w:val="none"/>
        </w:rPr>
        <w:t>（公章）：</w:t>
      </w:r>
    </w:p>
    <w:p>
      <w:pPr>
        <w:rPr>
          <w:rFonts w:hint="default" w:ascii="Arial" w:hAnsi="Arial" w:eastAsia="Arial" w:cs="Arial"/>
          <w:sz w:val="21"/>
          <w:szCs w:val="21"/>
          <w:highlight w:val="none"/>
          <w:lang w:val="en-US" w:eastAsia="zh-CN"/>
        </w:rPr>
      </w:pPr>
      <w:r>
        <w:rPr>
          <w:rFonts w:hint="default" w:ascii="Arial" w:hAnsi="Arial" w:eastAsia="Arial" w:cs="Arial"/>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highlight w:val="none"/>
          <w:lang w:val="en-US" w:eastAsia="zh-CN"/>
        </w:rPr>
      </w:pPr>
      <w:r>
        <w:rPr>
          <w:rFonts w:hint="eastAsia" w:ascii="宋体" w:hAnsi="宋体" w:eastAsia="宋体" w:cs="宋体"/>
          <w:b/>
          <w:bCs/>
          <w:color w:val="000000"/>
          <w:kern w:val="2"/>
          <w:sz w:val="32"/>
          <w:szCs w:val="32"/>
          <w:highlight w:val="none"/>
          <w:lang w:val="en-US" w:eastAsia="zh-CN" w:bidi="ar-SA"/>
        </w:rPr>
        <w:t xml:space="preserve">附件三： </w:t>
      </w:r>
      <w:r>
        <w:rPr>
          <w:rFonts w:hint="eastAsia" w:ascii="宋体" w:hAnsi="宋体" w:eastAsia="宋体" w:cs="宋体"/>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highlight w:val="none"/>
        </w:rPr>
      </w:pPr>
      <w:r>
        <w:rPr>
          <w:rFonts w:hint="eastAsia" w:ascii="黑体" w:hAnsi="黑体" w:eastAsia="黑体"/>
          <w:sz w:val="36"/>
          <w:szCs w:val="36"/>
          <w:highlight w:val="none"/>
        </w:rPr>
        <w:t>信用查询截图</w:t>
      </w:r>
    </w:p>
    <w:p>
      <w:pPr>
        <w:rPr>
          <w:rFonts w:hint="eastAsia"/>
          <w:highlight w:val="none"/>
        </w:rPr>
      </w:pPr>
      <w:r>
        <w:rPr>
          <w:rFonts w:hint="eastAsia"/>
          <w:highlight w:val="none"/>
        </w:rPr>
        <w:t>1</w:t>
      </w:r>
      <w:r>
        <w:rPr>
          <w:highlight w:val="none"/>
        </w:rPr>
        <w:t>.</w:t>
      </w:r>
      <w:r>
        <w:rPr>
          <w:rFonts w:hint="eastAsia"/>
          <w:highlight w:val="none"/>
        </w:rPr>
        <w:t xml:space="preserve"> 国家企业信用信息公示系统</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rPr>
          <w:rFonts w:hint="eastAsia"/>
          <w:highlight w:val="none"/>
        </w:rPr>
      </w:pPr>
    </w:p>
    <w:p>
      <w:pPr>
        <w:rPr>
          <w:highlight w:val="none"/>
        </w:rPr>
      </w:pPr>
    </w:p>
    <w:p>
      <w:pPr>
        <w:rPr>
          <w:highlight w:val="none"/>
        </w:rPr>
      </w:pPr>
    </w:p>
    <w:p>
      <w:pPr>
        <w:rPr>
          <w:highlight w:val="none"/>
        </w:rPr>
      </w:pPr>
    </w:p>
    <w:p>
      <w:pPr>
        <w:rPr>
          <w:rFonts w:hint="eastAsia"/>
          <w:highlight w:val="none"/>
        </w:rPr>
      </w:pPr>
      <w:r>
        <w:rPr>
          <w:rFonts w:hint="eastAsia"/>
          <w:highlight w:val="none"/>
        </w:rPr>
        <w:t>2</w:t>
      </w:r>
      <w:r>
        <w:rPr>
          <w:highlight w:val="none"/>
        </w:rPr>
        <w:t>.</w:t>
      </w:r>
      <w:r>
        <w:rPr>
          <w:rFonts w:hint="eastAsia"/>
          <w:highlight w:val="none"/>
        </w:rPr>
        <w:t xml:space="preserve"> 信用中国</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keepLines/>
        <w:spacing w:before="260" w:after="260" w:line="416" w:lineRule="auto"/>
        <w:ind w:firstLine="420" w:firstLineChars="200"/>
        <w:jc w:val="both"/>
        <w:outlineLvl w:val="2"/>
        <w:rPr>
          <w:rFonts w:hint="eastAsia" w:ascii="宋体" w:hAnsi="宋体" w:eastAsia="宋体" w:cs="宋体"/>
          <w:b/>
          <w:bCs/>
          <w:color w:val="000000"/>
          <w:sz w:val="28"/>
          <w:szCs w:val="28"/>
          <w:highlight w:val="none"/>
        </w:rPr>
      </w:pPr>
      <w:r>
        <w:rPr>
          <w:rFonts w:hint="default" w:ascii="Arial" w:hAnsi="Arial" w:eastAsia="Arial" w:cs="Arial"/>
          <w:sz w:val="21"/>
          <w:szCs w:val="21"/>
          <w:highlight w:val="none"/>
          <w:lang w:val="en-US" w:eastAsia="zh-CN"/>
        </w:rPr>
        <w:br w:type="page"/>
      </w:r>
      <w:r>
        <w:rPr>
          <w:rFonts w:hint="eastAsia" w:ascii="宋体" w:hAnsi="宋体" w:eastAsia="宋体" w:cs="宋体"/>
          <w:b/>
          <w:bCs/>
          <w:sz w:val="32"/>
          <w:szCs w:val="32"/>
          <w:highlight w:val="none"/>
          <w:lang w:val="en-US" w:eastAsia="zh-CN"/>
        </w:rPr>
        <w:t xml:space="preserve">附件四：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color w:val="000000"/>
          <w:sz w:val="28"/>
          <w:szCs w:val="28"/>
          <w:highlight w:val="none"/>
          <w:lang w:eastAsia="zh-CN"/>
        </w:rPr>
        <w:t>报价</w:t>
      </w:r>
      <w:r>
        <w:rPr>
          <w:rFonts w:hint="eastAsia" w:ascii="宋体" w:hAnsi="宋体" w:eastAsia="宋体" w:cs="宋体"/>
          <w:b/>
          <w:bCs/>
          <w:color w:val="000000"/>
          <w:sz w:val="28"/>
          <w:szCs w:val="28"/>
          <w:highlight w:val="none"/>
        </w:rPr>
        <w:t>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center"/>
              <w:rPr>
                <w:rFonts w:hint="eastAsia" w:ascii="宋体" w:hAnsi="宋体" w:eastAsia="宋体" w:cs="宋体"/>
                <w:bCs/>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全称</w:t>
            </w:r>
          </w:p>
        </w:tc>
        <w:tc>
          <w:tcPr>
            <w:tcW w:w="6876" w:type="dxa"/>
            <w:tcBorders>
              <w:top w:val="nil"/>
            </w:tcBorders>
            <w:noWrap w:val="0"/>
            <w:vAlign w:val="center"/>
          </w:tcPr>
          <w:p>
            <w:pPr>
              <w:spacing w:line="360" w:lineRule="auto"/>
              <w:ind w:firstLine="480" w:firstLineChars="200"/>
              <w:rPr>
                <w:rFonts w:hint="eastAsia" w:ascii="宋体" w:hAnsi="宋体" w:eastAsia="宋体" w:cs="宋体"/>
                <w:color w:val="00000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保底</w:t>
            </w:r>
            <w:r>
              <w:rPr>
                <w:rFonts w:hint="eastAsia" w:ascii="宋体" w:hAnsi="宋体" w:eastAsia="宋体" w:cs="宋体"/>
                <w:b/>
                <w:color w:val="000000"/>
                <w:sz w:val="24"/>
                <w:szCs w:val="22"/>
                <w:highlight w:val="none"/>
                <w:lang w:val="en-US" w:eastAsia="zh-CN"/>
              </w:rPr>
              <w:t>报</w:t>
            </w:r>
            <w:r>
              <w:rPr>
                <w:rFonts w:hint="eastAsia" w:ascii="宋体" w:hAnsi="宋体" w:eastAsia="宋体" w:cs="宋体"/>
                <w:b/>
                <w:color w:val="000000"/>
                <w:sz w:val="24"/>
                <w:szCs w:val="22"/>
                <w:highlight w:val="none"/>
                <w:lang w:eastAsia="zh-CN"/>
              </w:rPr>
              <w:t>价</w:t>
            </w:r>
          </w:p>
        </w:tc>
        <w:tc>
          <w:tcPr>
            <w:tcW w:w="6876" w:type="dxa"/>
            <w:tcBorders>
              <w:top w:val="nil"/>
            </w:tcBorders>
            <w:noWrap w:val="0"/>
            <w:vAlign w:val="center"/>
          </w:tcPr>
          <w:p>
            <w:pPr>
              <w:spacing w:line="360" w:lineRule="auto"/>
              <w:ind w:right="-670" w:firstLine="480" w:firstLineChars="200"/>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u w:val="none"/>
              </w:rPr>
              <w:t xml:space="preserve"> </w:t>
            </w:r>
            <w:r>
              <w:rPr>
                <w:rFonts w:hint="eastAsia" w:ascii="宋体" w:hAnsi="宋体" w:eastAsia="宋体" w:cs="宋体"/>
                <w:color w:val="000000"/>
                <w:sz w:val="24"/>
                <w:szCs w:val="22"/>
                <w:highlight w:val="none"/>
                <w:u w:val="none"/>
                <w:lang w:val="en-US" w:eastAsia="zh-CN"/>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pPr>
              <w:spacing w:line="360" w:lineRule="auto"/>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分成比例</w:t>
            </w:r>
          </w:p>
        </w:tc>
        <w:tc>
          <w:tcPr>
            <w:tcW w:w="6876" w:type="dxa"/>
            <w:tcBorders>
              <w:top w:val="nil"/>
            </w:tcBorders>
            <w:noWrap w:val="0"/>
            <w:vAlign w:val="center"/>
          </w:tcPr>
          <w:p>
            <w:pPr>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含税销售额的</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w:t>
            </w:r>
          </w:p>
        </w:tc>
      </w:tr>
    </w:tbl>
    <w:p>
      <w:pPr>
        <w:spacing w:before="100" w:beforeAutospacing="1" w:after="100" w:afterAutospacing="1" w:line="360" w:lineRule="auto"/>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 xml:space="preserve">(公章)：                                  </w:t>
      </w:r>
    </w:p>
    <w:p>
      <w:pP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br w:type="page"/>
      </w:r>
    </w:p>
    <w:p>
      <w:pPr>
        <w:spacing w:before="100" w:beforeAutospacing="1" w:after="100" w:afterAutospacing="1" w:line="360" w:lineRule="auto"/>
        <w:ind w:firstLine="643" w:firstLineChars="200"/>
        <w:rPr>
          <w:rFonts w:hint="eastAsia" w:ascii="宋体" w:hAnsi="宋体" w:eastAsia="宋体" w:cs="宋体"/>
          <w:b/>
          <w:color w:val="000000"/>
          <w:sz w:val="24"/>
          <w:szCs w:val="22"/>
          <w:highlight w:val="none"/>
        </w:rPr>
      </w:pPr>
      <w:r>
        <w:rPr>
          <w:rFonts w:hint="eastAsia" w:ascii="宋体" w:hAnsi="宋体" w:eastAsia="宋体" w:cs="宋体"/>
          <w:b/>
          <w:bCs/>
          <w:sz w:val="32"/>
          <w:szCs w:val="32"/>
          <w:highlight w:val="none"/>
          <w:lang w:val="en-US" w:eastAsia="zh-CN"/>
        </w:rPr>
        <w:t>附件五：</w:t>
      </w:r>
      <w:r>
        <w:rPr>
          <w:rFonts w:hint="eastAsia" w:ascii="宋体" w:hAnsi="宋体" w:eastAsia="宋体" w:cs="宋体"/>
          <w:b/>
          <w:color w:val="000000"/>
          <w:sz w:val="32"/>
          <w:szCs w:val="28"/>
          <w:highlight w:val="none"/>
        </w:rPr>
        <w:t xml:space="preserve">   </w:t>
      </w:r>
      <w:r>
        <w:rPr>
          <w:rFonts w:hint="eastAsia" w:ascii="宋体" w:hAnsi="宋体" w:eastAsia="宋体" w:cs="宋体"/>
          <w:b/>
          <w:color w:val="000000"/>
          <w:sz w:val="24"/>
          <w:szCs w:val="22"/>
          <w:highlight w:val="none"/>
        </w:rPr>
        <w:t xml:space="preserve">   </w:t>
      </w:r>
    </w:p>
    <w:p>
      <w:pPr>
        <w:keepNext/>
        <w:keepLines/>
        <w:spacing w:before="260" w:after="260" w:line="416" w:lineRule="auto"/>
        <w:ind w:firstLine="562" w:firstLineChars="200"/>
        <w:jc w:val="center"/>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其他相关证明材料</w:t>
      </w:r>
    </w:p>
    <w:p>
      <w:pPr>
        <w:rPr>
          <w:highlight w:val="none"/>
          <w:lang w:val="en-US" w:eastAsia="zh-CN"/>
        </w:rPr>
      </w:pPr>
    </w:p>
    <w:p>
      <w:pPr>
        <w:rPr>
          <w:highlight w:val="none"/>
          <w:lang w:val="en-US" w:eastAsia="zh-CN"/>
        </w:rPr>
      </w:pPr>
      <w:r>
        <w:rPr>
          <w:highlight w:val="none"/>
          <w:lang w:val="en-US" w:eastAsia="zh-CN"/>
        </w:rPr>
        <w:br w:type="page"/>
      </w:r>
    </w:p>
    <w:p>
      <w:pPr>
        <w:jc w:val="cente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合肥野生动物园中心广场</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便利店</w:t>
      </w: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合作</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经营合同</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合肥文旅博览集团野生动物园管理有限公司</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w:t>
      </w:r>
    </w:p>
    <w:p>
      <w:pPr>
        <w:keepNext w:val="0"/>
        <w:keepLines w:val="0"/>
        <w:pageBreakBefore w:val="0"/>
        <w:numPr>
          <w:ilvl w:val="0"/>
          <w:numId w:val="5"/>
        </w:numPr>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合肥野生动物园内中心广场五号点位合作经营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达成本合同。</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一、基本合作内容</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名称：合肥野生动物园中心广场便利店</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2、经营范围：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便利店（商品零售）</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所在位置以及</w:t>
      </w:r>
      <w:r>
        <w:rPr>
          <w:rFonts w:hint="eastAsia" w:ascii="仿宋_GB2312" w:hAnsi="仿宋_GB2312" w:eastAsia="仿宋_GB2312" w:cs="仿宋_GB2312"/>
          <w:sz w:val="28"/>
          <w:szCs w:val="28"/>
          <w:highlight w:val="none"/>
          <w:lang w:eastAsia="zh-CN"/>
        </w:rPr>
        <w:t>房屋</w:t>
      </w:r>
      <w:r>
        <w:rPr>
          <w:rFonts w:hint="eastAsia" w:ascii="仿宋_GB2312" w:hAnsi="仿宋_GB2312" w:eastAsia="仿宋_GB2312" w:cs="仿宋_GB2312"/>
          <w:sz w:val="28"/>
          <w:szCs w:val="28"/>
          <w:highlight w:val="none"/>
        </w:rPr>
        <w:t>基本信息：合肥市高新区望江西路600号合肥野生动物园</w:t>
      </w:r>
      <w:r>
        <w:rPr>
          <w:rFonts w:hint="eastAsia" w:ascii="仿宋_GB2312" w:hAnsi="仿宋_GB2312" w:eastAsia="仿宋_GB2312" w:cs="仿宋_GB2312"/>
          <w:sz w:val="28"/>
          <w:szCs w:val="28"/>
          <w:highlight w:val="none"/>
          <w:lang w:eastAsia="zh-CN"/>
        </w:rPr>
        <w:t>内中心广场五号点位</w:t>
      </w:r>
      <w:r>
        <w:rPr>
          <w:rFonts w:hint="eastAsia" w:ascii="仿宋_GB2312" w:hAnsi="仿宋_GB2312" w:eastAsia="仿宋_GB2312" w:cs="仿宋_GB2312"/>
          <w:sz w:val="28"/>
          <w:szCs w:val="28"/>
          <w:highlight w:val="none"/>
        </w:rPr>
        <w:t>，面积约</w:t>
      </w:r>
      <w:r>
        <w:rPr>
          <w:rFonts w:hint="eastAsia" w:ascii="仿宋_GB2312" w:hAnsi="仿宋_GB2312" w:eastAsia="仿宋_GB2312" w:cs="仿宋_GB2312"/>
          <w:sz w:val="28"/>
          <w:szCs w:val="28"/>
          <w:highlight w:val="none"/>
          <w:lang w:val="en-US" w:eastAsia="zh-CN"/>
        </w:rPr>
        <w:t>119.7</w:t>
      </w:r>
      <w:r>
        <w:rPr>
          <w:rFonts w:hint="eastAsia" w:ascii="仿宋_GB2312" w:hAnsi="仿宋_GB2312" w:eastAsia="仿宋_GB2312" w:cs="仿宋_GB2312"/>
          <w:sz w:val="28"/>
          <w:szCs w:val="28"/>
          <w:highlight w:val="none"/>
        </w:rPr>
        <w:t>平方米</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4、合作期限：</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，共</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年。（其中：</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 xml:space="preserve">   年  月  日-    年  月  日共计20天为项目装修期</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），每年在合作的第10个月对前9个月收益分成进行汇总结算，甲方前9个月的分成款超过保底价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元时，则按分成款结算，若不足则按保底价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陆万肆仟陆佰元整 （¥ 64600元）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二、甲方权利义务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1、甲方对乙方进行运营管理。甲方有权对乙方的运营管理情况进行监督和了解。</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甲方负责</w:t>
      </w:r>
      <w:r>
        <w:rPr>
          <w:rFonts w:hint="eastAsia" w:ascii="仿宋_GB2312" w:hAnsi="仿宋_GB2312" w:eastAsia="仿宋_GB2312" w:cs="仿宋_GB2312"/>
          <w:sz w:val="28"/>
          <w:szCs w:val="28"/>
          <w:highlight w:val="none"/>
          <w:lang w:eastAsia="zh-CN"/>
        </w:rPr>
        <w:t>提供合作经营的房屋</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自行采购的收银系统需与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w:t>
      </w:r>
      <w:r>
        <w:rPr>
          <w:rFonts w:hint="eastAsia" w:ascii="仿宋_GB2312" w:hAnsi="仿宋_GB2312" w:eastAsia="仿宋_GB2312" w:cs="仿宋_GB2312"/>
          <w:color w:val="000000" w:themeColor="text1"/>
          <w:sz w:val="28"/>
          <w:szCs w:val="28"/>
          <w:highlight w:val="none"/>
          <w14:textFill>
            <w14:solidFill>
              <w14:schemeClr w14:val="tx1"/>
            </w14:solidFill>
          </w14:textFill>
        </w:rPr>
        <w:t>方要求的保持一致，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highlight w:val="none"/>
          <w14:textFill>
            <w14:solidFill>
              <w14:schemeClr w14:val="tx1"/>
            </w14:solidFill>
          </w14:textFill>
        </w:rPr>
        <w:t>营收款项统一进入甲方指定的账户。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正常经营。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highlight w:val="none"/>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6、如遇园区后期有新的商业规划在点位附近设置新的业态，乙方不得以此为由要求减免保底价及分成</w:t>
      </w:r>
      <w:r>
        <w:rPr>
          <w:rFonts w:hint="eastAsia"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textAlignment w:val="baseline"/>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 、</w:t>
      </w:r>
      <w:r>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经营与日常管理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已经发生的损害双方合作基础、甲方权益、公共利益以及违法违规行为进行制止和要求纠正。</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卫生和</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安全保卫工作，乙方存放在该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内的财产安全。</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乙方需结合甲方统一商业规划要求，对房屋自行装修、装潢时，装修、装潢方案须经甲方同意后方可实行。房屋的装修、装潢费用及合同期内房屋的维修费用全部由乙方自行承担，未经甲方允许，不得在房屋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及周边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私搭乱建，不得破坏周边绿化。</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的消防安全工作，同时自行承担因消防问题引起的一切不利后果。</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、乙方应配合甲方做好公共部位、公共场所的消防、安全和环境秩序工作。</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留宿，室内不得使用明火</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、乙方应当承担对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highlight w:val="none"/>
          <w14:textFill>
            <w14:solidFill>
              <w14:schemeClr w14:val="tx1"/>
            </w14:solidFill>
          </w14:textFill>
        </w:rPr>
        <w:t>、客户、店员）的安全保障义务，并自行承担相应法律责任。</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highlight w:val="none"/>
          <w14:textFill>
            <w14:solidFill>
              <w14:schemeClr w14:val="tx1"/>
            </w14:solidFill>
          </w14:textFill>
        </w:rPr>
        <w:t>所提供的服务，应负责起售后或善后工作。</w:t>
      </w:r>
    </w:p>
    <w:p>
      <w:pPr>
        <w:keepNext w:val="0"/>
        <w:keepLines w:val="0"/>
        <w:pageBreakBefore w:val="0"/>
        <w:kinsoku/>
        <w:wordWrap/>
        <w:overflowPunct/>
        <w:topLinePunct w:val="0"/>
        <w:autoSpaceDE/>
        <w:autoSpaceDN/>
        <w:bidi w:val="0"/>
        <w:adjustRightInd/>
        <w:snapToGrid/>
        <w:spacing w:line="500" w:lineRule="exact"/>
        <w:ind w:firstLine="435"/>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、对于在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合作</w:t>
      </w:r>
      <w:r>
        <w:rPr>
          <w:rFonts w:hint="eastAsia" w:ascii="仿宋_GB2312" w:hAnsi="仿宋_GB2312" w:eastAsia="仿宋_GB2312" w:cs="仿宋_GB2312"/>
          <w:color w:val="auto"/>
          <w:sz w:val="28"/>
          <w:szCs w:val="28"/>
          <w:highlight w:val="none"/>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14364元/年（10元/m²/月），在合同签订后4个月内支付。</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、乙方不得绕过甲方直接对外收取销售款。</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合作经营房屋</w:t>
      </w:r>
      <w:r>
        <w:rPr>
          <w:rFonts w:hint="eastAsia" w:ascii="仿宋_GB2312" w:hAnsi="仿宋_GB2312" w:eastAsia="仿宋_GB2312" w:cs="仿宋_GB2312"/>
          <w:color w:val="auto"/>
          <w:sz w:val="28"/>
          <w:szCs w:val="28"/>
          <w:highlight w:val="none"/>
        </w:rPr>
        <w:t>的收银手续费由乙方承担。</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月底统一将现金销售款的金额打款至甲方指定账户。</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场地正式营业前乙方自行安装监控并共享给甲方，以便甲方对乙方的经营行为进行监督，监控设备需配备内存卡，影像需可回放一周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日常维护管理、安全、消防等事项并承担产生的相应费用。</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t>18、乙方需无条件代售甲方和合肥文旅博览集团及旗下子公司各类文创产品（货品具体摆放位置由甲方指定）。</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乙方每季度有效投诉不得超过1起，超过的每起有效投诉乙方需支付违约金500元，造成舆情的，不论原因每起舆情乙方需支付违约金3000元（以收到政府相关部门舆情提示单为准），所有违约金从该季度分成款中扣除。</w:t>
      </w:r>
    </w:p>
    <w:p>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的装修</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的装饰装修工作由乙方负责，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因屋顶有基站，装修必须保证屋顶及基站的完好。</w:t>
      </w:r>
      <w:r>
        <w:rPr>
          <w:rFonts w:hint="eastAsia" w:ascii="仿宋_GB2312" w:hAnsi="仿宋_GB2312" w:eastAsia="仿宋_GB2312" w:cs="仿宋_GB2312"/>
          <w:color w:val="000000" w:themeColor="text1"/>
          <w:sz w:val="28"/>
          <w:szCs w:val="28"/>
          <w:highlight w:val="none"/>
          <w14:textFill>
            <w14:solidFill>
              <w14:schemeClr w14:val="tx1"/>
            </w14:solidFill>
          </w14:textFill>
        </w:rPr>
        <w:t>与装饰装修相关的审批、申请、验收等手续由乙方负责，费用由乙方承担。</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sz w:val="28"/>
          <w:szCs w:val="28"/>
          <w:highlight w:val="none"/>
        </w:rPr>
        <w:t>投入的装修、装潢部分应在合作期限结束后无偿地移交给甲方。</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的装修改造工程必须符合相关法律法规，乙方装修改造工程依法需要报建的，乙方还应当自行办理规定的报建手续。</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6、因乙方的装修改造行为使甲方陷入与第三方纠纷或者使甲方被第三方索赔，或者使甲方遭受行政处罚的，甲方有权向乙方追偿所遭受的全部损失。</w:t>
      </w:r>
    </w:p>
    <w:p>
      <w:pPr>
        <w:keepNext w:val="0"/>
        <w:keepLines w:val="0"/>
        <w:pageBreakBefore w:val="0"/>
        <w:kinsoku/>
        <w:wordWrap/>
        <w:overflowPunct/>
        <w:topLinePunct w:val="0"/>
        <w:autoSpaceDE/>
        <w:autoSpaceDN/>
        <w:bidi w:val="0"/>
        <w:adjustRightInd/>
        <w:snapToGrid/>
        <w:spacing w:line="500" w:lineRule="exact"/>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房屋</w:t>
      </w:r>
      <w:r>
        <w:rPr>
          <w:rFonts w:hint="eastAsia" w:ascii="仿宋_GB2312" w:hAnsi="仿宋_GB2312" w:eastAsia="仿宋_GB2312" w:cs="仿宋_GB2312"/>
          <w:b/>
          <w:bCs/>
          <w:sz w:val="28"/>
          <w:szCs w:val="28"/>
          <w:highlight w:val="none"/>
        </w:rPr>
        <w:t>的维护维修</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后投入的设施设备以及装饰装修由乙方负责维护维修。</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六、收益和分成</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%收取收益分成。</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销售款项由甲方先行代收，按</w:t>
      </w:r>
      <w:bookmarkStart w:id="0" w:name="_GoBack"/>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w:t>
      </w:r>
      <w:bookmarkEnd w:id="0"/>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每个合同月甲乙双方进行对账并</w:t>
      </w:r>
      <w:r>
        <w:rPr>
          <w:rFonts w:hint="eastAsia" w:ascii="仿宋_GB2312" w:hAnsi="仿宋_GB2312" w:eastAsia="仿宋_GB2312" w:cs="仿宋_GB2312"/>
          <w:color w:val="000000" w:themeColor="text1"/>
          <w:sz w:val="28"/>
          <w:szCs w:val="28"/>
          <w:highlight w:val="none"/>
          <w14:textFill>
            <w14:solidFill>
              <w14:schemeClr w14:val="tx1"/>
            </w14:solidFill>
          </w14:textFill>
        </w:rPr>
        <w:t>形成确认单。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sz w:val="28"/>
          <w:szCs w:val="28"/>
          <w:highlight w:val="none"/>
          <w:u w:val="single" w:color="FFFFFF"/>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一次性支付至乙方指定账号。合同期内最后一次打款需在甲乙双方对账无误后十五个工作日内完成。每年在合作的第10个月对前9个月收益分成进行汇总结算，甲方前9个月的分成款超过保底价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元时，则按分成款结算，若不足则按保底价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甲方付款前，乙方应当向甲方提供足额的收据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（或乙方收到甲方转账后开具确认函）</w:t>
      </w:r>
      <w:r>
        <w:rPr>
          <w:rFonts w:hint="eastAsia" w:ascii="仿宋_GB2312" w:hAnsi="仿宋_GB2312" w:eastAsia="仿宋_GB2312" w:cs="仿宋_GB2312"/>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5、甲方收款账户及开票信息:</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6、乙方收款账户及开票信息：</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开户行账号：</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七、合同终止</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1、本合同到期终止，未到期之前，双方当事人不得随意提前解除合同。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2、乙方有下列情形之一的，甲方有权解除合同且不承担违约责任：</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对房屋进行装修、装潢或</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全部或部分予以转让或变相转让、转借他人或调换使用，或交与第三方承包经营、合作经营或联合经营的；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（3）因违法违章行为被相关政府职能部门处以停业整顿、吊销许可证或营业执照等行政处罚的；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（4）未经甲方书面同意，擅自停止营业连续超过7天或一年内累计停止营业超过15天的；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（5）因乙方行为，甲方陷入与第三方纠纷或者使甲方被第三方索赔，或者使甲方遭受行政处罚，或者其他违约行为使甲方遭受重大损失的；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eastAsia="仿宋_GB2312"/>
          <w:highlight w:val="none"/>
          <w:lang w:eastAsia="zh-CN"/>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）乙方不遵守合同前述其他条款的；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因乙方原因导致本合同解除的，乙方应当赔偿甲方因此遭受的损失。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3、甲方有下列情形之一的，乙方有权解除合同且不承担违约责任：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达</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因甲方原因导致本合同解除的，甲方应当赔偿乙方遭受的损失。</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4、有下列情形之一的，甲乙双方均有权单方面解除本合同，且互不承担违约责任：</w:t>
      </w:r>
    </w:p>
    <w:p>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城市建设需要被依法动迁或因甲方改造提升需要进行拆迁的；</w:t>
      </w:r>
    </w:p>
    <w:p>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因社会公共利益的需要被依法征用的；</w:t>
      </w:r>
    </w:p>
    <w:p>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（3）因不可抗力致使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及附属设施毁损、灭失或造成其他损失的；</w:t>
      </w:r>
    </w:p>
    <w:p>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（4）因不可抗力导致本合同无法履行的。</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w:t>
      </w:r>
      <w:r>
        <w:rPr>
          <w:rFonts w:hint="eastAsia" w:ascii="仿宋_GB2312" w:hAnsi="仿宋_GB2312" w:eastAsia="仿宋_GB2312" w:cs="仿宋_GB2312"/>
          <w:sz w:val="28"/>
          <w:szCs w:val="28"/>
          <w:highlight w:val="none"/>
        </w:rPr>
        <w:t>乙方物品以及乙方投入的未形成附合物的设施设备应当在上述期限内全部从</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内搬离</w:t>
      </w:r>
      <w:r>
        <w:rPr>
          <w:rFonts w:hint="eastAsia" w:ascii="仿宋_GB2312" w:hAnsi="仿宋_GB2312" w:eastAsia="仿宋_GB2312" w:cs="仿宋_GB2312"/>
          <w:sz w:val="28"/>
          <w:szCs w:val="28"/>
          <w:highlight w:val="none"/>
          <w:lang w:eastAsia="zh-CN"/>
        </w:rPr>
        <w:t>并将房屋恢复原状</w:t>
      </w:r>
      <w:r>
        <w:rPr>
          <w:rFonts w:hint="eastAsia" w:ascii="仿宋_GB2312" w:hAnsi="仿宋_GB2312" w:eastAsia="仿宋_GB2312" w:cs="仿宋_GB2312"/>
          <w:sz w:val="28"/>
          <w:szCs w:val="28"/>
          <w:highlight w:val="none"/>
        </w:rPr>
        <w:t>，乙方逾期未搬离的，甲方视为乙方遗弃上述物品和装饰装修物，甲方有权自行处置，所获得的款项归甲方所有。对于</w:t>
      </w:r>
      <w:r>
        <w:rPr>
          <w:rFonts w:hint="eastAsia" w:ascii="仿宋_GB2312" w:hAnsi="仿宋_GB2312" w:eastAsia="仿宋_GB2312" w:cs="仿宋_GB2312"/>
          <w:sz w:val="28"/>
          <w:szCs w:val="28"/>
          <w:highlight w:val="none"/>
          <w:lang w:eastAsia="zh-CN"/>
        </w:rPr>
        <w:t>装修装潢部分</w:t>
      </w:r>
      <w:r>
        <w:rPr>
          <w:rFonts w:hint="eastAsia" w:ascii="仿宋_GB2312" w:hAnsi="仿宋_GB2312" w:eastAsia="仿宋_GB2312" w:cs="仿宋_GB2312"/>
          <w:sz w:val="28"/>
          <w:szCs w:val="28"/>
          <w:highlight w:val="none"/>
        </w:rPr>
        <w:t>及其他物品，乙方无偿移交给甲方。</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6、合作期间，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提前解除或者到期终止的，甲乙双方应在解除前完成全部费用的清算。</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八、违约责任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highlight w:val="none"/>
          <w:lang w:val="en-US" w:eastAsia="zh-CN"/>
        </w:rPr>
        <w:t>甲方有权直接</w:t>
      </w:r>
      <w:r>
        <w:rPr>
          <w:rFonts w:hint="eastAsia" w:ascii="仿宋_GB2312" w:hAnsi="仿宋_GB2312" w:eastAsia="仿宋_GB2312" w:cs="仿宋_GB2312"/>
          <w:sz w:val="28"/>
          <w:szCs w:val="28"/>
          <w:highlight w:val="none"/>
          <w:lang w:eastAsia="zh-CN"/>
        </w:rPr>
        <w:t>解除合同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不足以弥补甲方损失的，乙方应当继续赔偿甲方损失。</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清空并将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元/日向甲方支付违约金。</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九、合同生效</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1、本合同自甲、乙双方签字盖章之日生效。</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2、本合同一式</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3、本合同的附件与本合同具有同等法律效力。</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十、争议解决</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所在地有管辖权的人民法院提起诉讼。</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合肥文旅博览集团野生动物园管理有限公司</w:t>
      </w:r>
    </w:p>
    <w:p>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pPr>
        <w:rPr>
          <w:highlight w:val="none"/>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3D898E1D"/>
    <w:multiLevelType w:val="singleLevel"/>
    <w:tmpl w:val="3D898E1D"/>
    <w:lvl w:ilvl="0" w:tentative="0">
      <w:start w:val="2"/>
      <w:numFmt w:val="chineseCounting"/>
      <w:suff w:val="nothing"/>
      <w:lvlText w:val="%1、"/>
      <w:lvlJc w:val="left"/>
      <w:rPr>
        <w:rFonts w:hint="eastAsia"/>
      </w:rPr>
    </w:lvl>
  </w:abstractNum>
  <w:abstractNum w:abstractNumId="3">
    <w:nsid w:val="3FF742C0"/>
    <w:multiLevelType w:val="singleLevel"/>
    <w:tmpl w:val="3FF742C0"/>
    <w:lvl w:ilvl="0" w:tentative="0">
      <w:start w:val="1"/>
      <w:numFmt w:val="decimal"/>
      <w:lvlText w:val="%1."/>
      <w:lvlJc w:val="left"/>
      <w:pPr>
        <w:tabs>
          <w:tab w:val="left" w:pos="312"/>
        </w:tabs>
      </w:pPr>
    </w:lvl>
  </w:abstractNum>
  <w:abstractNum w:abstractNumId="4">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jczOWFiOWZjZDIzYmZiZTk2ODNkNWQ3NWVjNjgifQ=="/>
  </w:docVars>
  <w:rsids>
    <w:rsidRoot w:val="00000000"/>
    <w:rsid w:val="003E22BB"/>
    <w:rsid w:val="00583768"/>
    <w:rsid w:val="00A83AD0"/>
    <w:rsid w:val="00D9637F"/>
    <w:rsid w:val="014756EF"/>
    <w:rsid w:val="0162532A"/>
    <w:rsid w:val="018379C7"/>
    <w:rsid w:val="01EC37B9"/>
    <w:rsid w:val="020243FF"/>
    <w:rsid w:val="021202B7"/>
    <w:rsid w:val="023757A2"/>
    <w:rsid w:val="02F93376"/>
    <w:rsid w:val="044B4B70"/>
    <w:rsid w:val="049F168E"/>
    <w:rsid w:val="04AE418F"/>
    <w:rsid w:val="04EC6201"/>
    <w:rsid w:val="05105B0A"/>
    <w:rsid w:val="056211A0"/>
    <w:rsid w:val="06EF6388"/>
    <w:rsid w:val="06FF08C7"/>
    <w:rsid w:val="072645F8"/>
    <w:rsid w:val="074D53D1"/>
    <w:rsid w:val="078354CD"/>
    <w:rsid w:val="07E5385B"/>
    <w:rsid w:val="07FE030A"/>
    <w:rsid w:val="081D4246"/>
    <w:rsid w:val="084A2A34"/>
    <w:rsid w:val="08796D60"/>
    <w:rsid w:val="094840A2"/>
    <w:rsid w:val="095D38E2"/>
    <w:rsid w:val="09AB5FE4"/>
    <w:rsid w:val="09BB6AB2"/>
    <w:rsid w:val="0A320E90"/>
    <w:rsid w:val="0AE826D1"/>
    <w:rsid w:val="0B24469B"/>
    <w:rsid w:val="0B567CE2"/>
    <w:rsid w:val="0B70168E"/>
    <w:rsid w:val="0C684EB8"/>
    <w:rsid w:val="0C811298"/>
    <w:rsid w:val="0CEA2865"/>
    <w:rsid w:val="0CFF74B3"/>
    <w:rsid w:val="0D1042C9"/>
    <w:rsid w:val="0D887163"/>
    <w:rsid w:val="0DA1742E"/>
    <w:rsid w:val="0DB1255B"/>
    <w:rsid w:val="0E222ECF"/>
    <w:rsid w:val="0E3A5F93"/>
    <w:rsid w:val="0E4B47DC"/>
    <w:rsid w:val="0E7D7A4F"/>
    <w:rsid w:val="0EE64222"/>
    <w:rsid w:val="0F6C3380"/>
    <w:rsid w:val="1010172C"/>
    <w:rsid w:val="105F788D"/>
    <w:rsid w:val="10AA5642"/>
    <w:rsid w:val="11292746"/>
    <w:rsid w:val="12104EB8"/>
    <w:rsid w:val="127E0235"/>
    <w:rsid w:val="12941C29"/>
    <w:rsid w:val="1350413D"/>
    <w:rsid w:val="13FB7424"/>
    <w:rsid w:val="141C0605"/>
    <w:rsid w:val="14255AAC"/>
    <w:rsid w:val="156A35F2"/>
    <w:rsid w:val="15B42ABF"/>
    <w:rsid w:val="15CA578C"/>
    <w:rsid w:val="166B67EA"/>
    <w:rsid w:val="16C531D6"/>
    <w:rsid w:val="16ED20B8"/>
    <w:rsid w:val="176A29DE"/>
    <w:rsid w:val="176C6A6D"/>
    <w:rsid w:val="17B86896"/>
    <w:rsid w:val="191166C5"/>
    <w:rsid w:val="1A3A1272"/>
    <w:rsid w:val="1A6938AB"/>
    <w:rsid w:val="1AE62C1F"/>
    <w:rsid w:val="1B316F0C"/>
    <w:rsid w:val="1B4671D7"/>
    <w:rsid w:val="1BA62EAA"/>
    <w:rsid w:val="1C3A1F70"/>
    <w:rsid w:val="1C93375D"/>
    <w:rsid w:val="1CB73AE0"/>
    <w:rsid w:val="1D14431E"/>
    <w:rsid w:val="1D2329C7"/>
    <w:rsid w:val="1D78539C"/>
    <w:rsid w:val="1DB14C0D"/>
    <w:rsid w:val="1DB46A19"/>
    <w:rsid w:val="1E4E3AB1"/>
    <w:rsid w:val="1E502F17"/>
    <w:rsid w:val="1EA66032"/>
    <w:rsid w:val="1ECD620C"/>
    <w:rsid w:val="1ED52782"/>
    <w:rsid w:val="1FC77A98"/>
    <w:rsid w:val="1FCA39DF"/>
    <w:rsid w:val="22AA6AAC"/>
    <w:rsid w:val="22C61B62"/>
    <w:rsid w:val="22D402FC"/>
    <w:rsid w:val="23157672"/>
    <w:rsid w:val="23687A86"/>
    <w:rsid w:val="24801192"/>
    <w:rsid w:val="24F37160"/>
    <w:rsid w:val="25005A1B"/>
    <w:rsid w:val="253A197D"/>
    <w:rsid w:val="25BF54C8"/>
    <w:rsid w:val="25E46AA9"/>
    <w:rsid w:val="261455E0"/>
    <w:rsid w:val="267E6EFD"/>
    <w:rsid w:val="26A60202"/>
    <w:rsid w:val="26B96187"/>
    <w:rsid w:val="27A22094"/>
    <w:rsid w:val="27AA3110"/>
    <w:rsid w:val="28001E2F"/>
    <w:rsid w:val="280F17AD"/>
    <w:rsid w:val="284F024E"/>
    <w:rsid w:val="28515F1D"/>
    <w:rsid w:val="28FB1A86"/>
    <w:rsid w:val="299E1A89"/>
    <w:rsid w:val="29C94933"/>
    <w:rsid w:val="2A4A36B6"/>
    <w:rsid w:val="2A9578E2"/>
    <w:rsid w:val="2ADA4F38"/>
    <w:rsid w:val="2BF00DE1"/>
    <w:rsid w:val="2C8C4073"/>
    <w:rsid w:val="2CCD683A"/>
    <w:rsid w:val="2D1B1A54"/>
    <w:rsid w:val="2D6938D9"/>
    <w:rsid w:val="2D844651"/>
    <w:rsid w:val="2D8C0368"/>
    <w:rsid w:val="2DD938D5"/>
    <w:rsid w:val="2FCC7A26"/>
    <w:rsid w:val="31016FA3"/>
    <w:rsid w:val="31107B47"/>
    <w:rsid w:val="31C5649B"/>
    <w:rsid w:val="32923D3F"/>
    <w:rsid w:val="329F26D5"/>
    <w:rsid w:val="33095DA0"/>
    <w:rsid w:val="332C6031"/>
    <w:rsid w:val="3421711A"/>
    <w:rsid w:val="34364674"/>
    <w:rsid w:val="34A91D2A"/>
    <w:rsid w:val="34B425AD"/>
    <w:rsid w:val="366B4E64"/>
    <w:rsid w:val="36CF0758"/>
    <w:rsid w:val="36E94AFA"/>
    <w:rsid w:val="37296B05"/>
    <w:rsid w:val="379E6A5D"/>
    <w:rsid w:val="37A533D9"/>
    <w:rsid w:val="380A05F1"/>
    <w:rsid w:val="38A709A4"/>
    <w:rsid w:val="38CF35E8"/>
    <w:rsid w:val="3925145A"/>
    <w:rsid w:val="39893D59"/>
    <w:rsid w:val="3A8D0FAB"/>
    <w:rsid w:val="3AA54601"/>
    <w:rsid w:val="3BC767F9"/>
    <w:rsid w:val="3C342CD5"/>
    <w:rsid w:val="3C357C06"/>
    <w:rsid w:val="3C376E41"/>
    <w:rsid w:val="3C8E5AF7"/>
    <w:rsid w:val="3C9B1B7E"/>
    <w:rsid w:val="3D1629E5"/>
    <w:rsid w:val="3D346F52"/>
    <w:rsid w:val="3D687B67"/>
    <w:rsid w:val="3D984E54"/>
    <w:rsid w:val="3DB82C7B"/>
    <w:rsid w:val="3DBD1D98"/>
    <w:rsid w:val="3DE32483"/>
    <w:rsid w:val="3E710014"/>
    <w:rsid w:val="3EEA2F2A"/>
    <w:rsid w:val="3F870779"/>
    <w:rsid w:val="3F8844F1"/>
    <w:rsid w:val="402C4889"/>
    <w:rsid w:val="40387CC5"/>
    <w:rsid w:val="40672358"/>
    <w:rsid w:val="40AF0059"/>
    <w:rsid w:val="40F24FB0"/>
    <w:rsid w:val="41006A35"/>
    <w:rsid w:val="412941B0"/>
    <w:rsid w:val="41792401"/>
    <w:rsid w:val="41822FD8"/>
    <w:rsid w:val="41B27C0F"/>
    <w:rsid w:val="423050F8"/>
    <w:rsid w:val="42C03CBA"/>
    <w:rsid w:val="446525AE"/>
    <w:rsid w:val="44BC7291"/>
    <w:rsid w:val="44E16B7D"/>
    <w:rsid w:val="45216F7A"/>
    <w:rsid w:val="454115CB"/>
    <w:rsid w:val="459272E1"/>
    <w:rsid w:val="45B63E7B"/>
    <w:rsid w:val="45D74A41"/>
    <w:rsid w:val="46104A6D"/>
    <w:rsid w:val="47A67C0A"/>
    <w:rsid w:val="47CD2257"/>
    <w:rsid w:val="48114DBB"/>
    <w:rsid w:val="489839F7"/>
    <w:rsid w:val="49067A1A"/>
    <w:rsid w:val="497208EB"/>
    <w:rsid w:val="4A4200BE"/>
    <w:rsid w:val="4A9E2F91"/>
    <w:rsid w:val="4BB072A9"/>
    <w:rsid w:val="4BF62A99"/>
    <w:rsid w:val="4C431ECB"/>
    <w:rsid w:val="4CD93612"/>
    <w:rsid w:val="4CF6538A"/>
    <w:rsid w:val="4D20220D"/>
    <w:rsid w:val="4D694884"/>
    <w:rsid w:val="4DCD5EF0"/>
    <w:rsid w:val="4DDE0FB6"/>
    <w:rsid w:val="4DEB1114"/>
    <w:rsid w:val="4DEF0B37"/>
    <w:rsid w:val="4DFD286B"/>
    <w:rsid w:val="4E263E4D"/>
    <w:rsid w:val="4E5B2FC7"/>
    <w:rsid w:val="4E656D12"/>
    <w:rsid w:val="4ED137BE"/>
    <w:rsid w:val="4EF25C39"/>
    <w:rsid w:val="4F7D56F4"/>
    <w:rsid w:val="4F951EC7"/>
    <w:rsid w:val="4FE42991"/>
    <w:rsid w:val="50644151"/>
    <w:rsid w:val="50701320"/>
    <w:rsid w:val="51402E7D"/>
    <w:rsid w:val="51705511"/>
    <w:rsid w:val="51813BD6"/>
    <w:rsid w:val="51F97C7B"/>
    <w:rsid w:val="521560B8"/>
    <w:rsid w:val="525E35BB"/>
    <w:rsid w:val="525F7333"/>
    <w:rsid w:val="52716E4D"/>
    <w:rsid w:val="52996302"/>
    <w:rsid w:val="52A041F2"/>
    <w:rsid w:val="536F55EA"/>
    <w:rsid w:val="53B250FE"/>
    <w:rsid w:val="5409022C"/>
    <w:rsid w:val="541C372E"/>
    <w:rsid w:val="545F0D14"/>
    <w:rsid w:val="548D63DA"/>
    <w:rsid w:val="549F0033"/>
    <w:rsid w:val="55284354"/>
    <w:rsid w:val="55385E9D"/>
    <w:rsid w:val="55BB516A"/>
    <w:rsid w:val="55CE4284"/>
    <w:rsid w:val="565E796F"/>
    <w:rsid w:val="56622EE6"/>
    <w:rsid w:val="569029BC"/>
    <w:rsid w:val="5732642F"/>
    <w:rsid w:val="57A27139"/>
    <w:rsid w:val="57D45BDD"/>
    <w:rsid w:val="591A2206"/>
    <w:rsid w:val="598F05C5"/>
    <w:rsid w:val="59F667CF"/>
    <w:rsid w:val="5A974541"/>
    <w:rsid w:val="5AFA5E4B"/>
    <w:rsid w:val="5B914A01"/>
    <w:rsid w:val="5BC51D12"/>
    <w:rsid w:val="5BDF51E5"/>
    <w:rsid w:val="5CF43483"/>
    <w:rsid w:val="5D1B5A98"/>
    <w:rsid w:val="5D900CE9"/>
    <w:rsid w:val="5DAE2216"/>
    <w:rsid w:val="5E2D441E"/>
    <w:rsid w:val="5E504046"/>
    <w:rsid w:val="5E7D126D"/>
    <w:rsid w:val="5F410A39"/>
    <w:rsid w:val="5F594CFF"/>
    <w:rsid w:val="5FF137C1"/>
    <w:rsid w:val="60260BC1"/>
    <w:rsid w:val="60BF3DBF"/>
    <w:rsid w:val="60F4333C"/>
    <w:rsid w:val="610B0F2F"/>
    <w:rsid w:val="621974FF"/>
    <w:rsid w:val="624765A0"/>
    <w:rsid w:val="62B3157B"/>
    <w:rsid w:val="63F76ACF"/>
    <w:rsid w:val="640B6DBE"/>
    <w:rsid w:val="6439584C"/>
    <w:rsid w:val="644A1BF1"/>
    <w:rsid w:val="645C36D2"/>
    <w:rsid w:val="646031C3"/>
    <w:rsid w:val="64E85F4C"/>
    <w:rsid w:val="655679FB"/>
    <w:rsid w:val="65E9543A"/>
    <w:rsid w:val="66507267"/>
    <w:rsid w:val="66882EA5"/>
    <w:rsid w:val="66AF38F3"/>
    <w:rsid w:val="66C20E08"/>
    <w:rsid w:val="676B54B2"/>
    <w:rsid w:val="67834E89"/>
    <w:rsid w:val="678C1DD8"/>
    <w:rsid w:val="67A21D44"/>
    <w:rsid w:val="67C577E1"/>
    <w:rsid w:val="67E1643F"/>
    <w:rsid w:val="68084075"/>
    <w:rsid w:val="688915DD"/>
    <w:rsid w:val="688D23A8"/>
    <w:rsid w:val="68AB2673"/>
    <w:rsid w:val="690600B1"/>
    <w:rsid w:val="69083E29"/>
    <w:rsid w:val="695157D0"/>
    <w:rsid w:val="69992BB4"/>
    <w:rsid w:val="6AD56B25"/>
    <w:rsid w:val="6BAF4A30"/>
    <w:rsid w:val="6BF5102E"/>
    <w:rsid w:val="6D81480B"/>
    <w:rsid w:val="6DCC39BB"/>
    <w:rsid w:val="6E0D7A37"/>
    <w:rsid w:val="6E8F2AB8"/>
    <w:rsid w:val="6EAD34A8"/>
    <w:rsid w:val="6ED3037C"/>
    <w:rsid w:val="6F5A0777"/>
    <w:rsid w:val="6F9A0492"/>
    <w:rsid w:val="700F10FE"/>
    <w:rsid w:val="70A950CE"/>
    <w:rsid w:val="70BC5C25"/>
    <w:rsid w:val="70D647FB"/>
    <w:rsid w:val="72215C43"/>
    <w:rsid w:val="72624E83"/>
    <w:rsid w:val="72CE7E91"/>
    <w:rsid w:val="72DB2E43"/>
    <w:rsid w:val="733410F8"/>
    <w:rsid w:val="7375655F"/>
    <w:rsid w:val="739A500D"/>
    <w:rsid w:val="739C1D3D"/>
    <w:rsid w:val="73B811A6"/>
    <w:rsid w:val="740334B9"/>
    <w:rsid w:val="741033A8"/>
    <w:rsid w:val="7418231F"/>
    <w:rsid w:val="741E2955"/>
    <w:rsid w:val="74224491"/>
    <w:rsid w:val="74A36C7B"/>
    <w:rsid w:val="751A65D0"/>
    <w:rsid w:val="75F15D9E"/>
    <w:rsid w:val="76761FBD"/>
    <w:rsid w:val="76976D91"/>
    <w:rsid w:val="76A4354A"/>
    <w:rsid w:val="76BC01B9"/>
    <w:rsid w:val="76F9562B"/>
    <w:rsid w:val="770B3462"/>
    <w:rsid w:val="778375A9"/>
    <w:rsid w:val="77895CD1"/>
    <w:rsid w:val="77DB4CAF"/>
    <w:rsid w:val="78406F27"/>
    <w:rsid w:val="78426D38"/>
    <w:rsid w:val="784B08F9"/>
    <w:rsid w:val="78967EE6"/>
    <w:rsid w:val="794800DA"/>
    <w:rsid w:val="7A707A80"/>
    <w:rsid w:val="7A92187A"/>
    <w:rsid w:val="7AB71463"/>
    <w:rsid w:val="7AD54A83"/>
    <w:rsid w:val="7B1E128A"/>
    <w:rsid w:val="7BF03718"/>
    <w:rsid w:val="7C634321"/>
    <w:rsid w:val="7D3F2465"/>
    <w:rsid w:val="7D58415F"/>
    <w:rsid w:val="7D6D2002"/>
    <w:rsid w:val="7D8762A4"/>
    <w:rsid w:val="7DE8674C"/>
    <w:rsid w:val="7E01111B"/>
    <w:rsid w:val="7E1779E1"/>
    <w:rsid w:val="7E301A00"/>
    <w:rsid w:val="7E732430"/>
    <w:rsid w:val="7EA002A1"/>
    <w:rsid w:val="7EE236F9"/>
    <w:rsid w:val="7F17770C"/>
    <w:rsid w:val="7FE40652"/>
    <w:rsid w:val="7FF15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10456</Words>
  <Characters>10869</Characters>
  <Lines>0</Lines>
  <Paragraphs>0</Paragraphs>
  <TotalTime>32</TotalTime>
  <ScaleCrop>false</ScaleCrop>
  <LinksUpToDate>false</LinksUpToDate>
  <CharactersWithSpaces>11191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2024-12-12T00:41:00Z</cp:lastPrinted>
  <dcterms:modified xsi:type="dcterms:W3CDTF">2024-12-12T02:52:13Z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CE080836B19949D999518E7153770B9C_13</vt:lpwstr>
  </property>
</Properties>
</file>