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imes New Roman" w:hAnsi="Times New Roman" w:eastAsia="黑体"/>
          <w:color w:val="auto"/>
          <w:kern w:val="0"/>
          <w:sz w:val="28"/>
          <w:szCs w:val="20"/>
          <w:highlight w:val="none"/>
          <w:lang w:val="en-US" w:eastAsia="zh-CN"/>
        </w:rPr>
      </w:pPr>
      <w:r>
        <w:rPr>
          <w:rFonts w:hint="eastAsia" w:ascii="Times New Roman" w:hAnsi="Times New Roman" w:eastAsia="黑体"/>
          <w:color w:val="auto"/>
          <w:kern w:val="0"/>
          <w:sz w:val="28"/>
          <w:szCs w:val="20"/>
          <w:highlight w:val="none"/>
          <w:lang w:val="en-US" w:eastAsia="zh-CN"/>
        </w:rPr>
        <w:t>1</w:t>
      </w:r>
    </w:p>
    <w:p>
      <w:pPr>
        <w:jc w:val="center"/>
        <w:rPr>
          <w:rFonts w:ascii="Times New Roman" w:hAnsi="Times New Roman" w:eastAsia="黑体"/>
          <w:color w:val="auto"/>
          <w:kern w:val="0"/>
          <w:sz w:val="28"/>
          <w:szCs w:val="20"/>
          <w:highlight w:val="none"/>
          <w:lang w:val="zh-CN"/>
        </w:rPr>
      </w:pPr>
    </w:p>
    <w:p>
      <w:pPr>
        <w:jc w:val="center"/>
        <w:rPr>
          <w:rFonts w:ascii="Times New Roman" w:hAnsi="Times New Roman"/>
          <w:b/>
          <w:color w:val="auto"/>
          <w:sz w:val="36"/>
          <w:highlight w:val="none"/>
        </w:rPr>
      </w:pPr>
      <w:r>
        <w:rPr>
          <w:rFonts w:ascii="Times New Roman" w:hAnsi="Times New Roman" w:eastAsia="黑体"/>
          <w:color w:val="auto"/>
          <w:kern w:val="0"/>
          <w:sz w:val="28"/>
          <w:szCs w:val="20"/>
          <w:highlight w:val="none"/>
          <w:lang w:val="zh-CN"/>
        </w:rPr>
        <w:t xml:space="preserve">     </w:t>
      </w:r>
    </w:p>
    <w:p>
      <w:pPr>
        <w:rPr>
          <w:rFonts w:ascii="Times New Roman" w:hAnsi="Times New Roman"/>
          <w:color w:val="auto"/>
          <w:highlight w:val="none"/>
        </w:rPr>
      </w:pPr>
    </w:p>
    <w:p>
      <w:pPr>
        <w:rPr>
          <w:rFonts w:ascii="Times New Roman" w:hAnsi="Times New Roman"/>
          <w:color w:val="auto"/>
          <w:highlight w:val="none"/>
        </w:rPr>
      </w:pPr>
    </w:p>
    <w:p>
      <w:pPr>
        <w:tabs>
          <w:tab w:val="left" w:pos="420"/>
        </w:tabs>
        <w:spacing w:line="360" w:lineRule="auto"/>
        <w:jc w:val="center"/>
        <w:rPr>
          <w:rFonts w:ascii="Times New Roman" w:hAnsi="Times New Roman"/>
          <w:b/>
          <w:bCs/>
          <w:color w:val="auto"/>
          <w:sz w:val="52"/>
          <w:szCs w:val="52"/>
          <w:highlight w:val="none"/>
        </w:rPr>
      </w:pPr>
      <w:r>
        <w:rPr>
          <w:rFonts w:ascii="Times New Roman" w:hAnsi="Times New Roman"/>
          <w:b/>
          <w:bCs/>
          <w:color w:val="auto"/>
          <w:sz w:val="52"/>
          <w:szCs w:val="52"/>
          <w:highlight w:val="none"/>
        </w:rPr>
        <w:t>服务类标准招标文件</w:t>
      </w:r>
    </w:p>
    <w:p>
      <w:pPr>
        <w:spacing w:line="360" w:lineRule="auto"/>
        <w:jc w:val="center"/>
        <w:rPr>
          <w:rFonts w:hint="eastAsia"/>
          <w:b/>
          <w:bCs/>
          <w:color w:val="auto"/>
          <w:sz w:val="40"/>
          <w:szCs w:val="48"/>
          <w:highlight w:val="none"/>
        </w:rPr>
      </w:pPr>
      <w:bookmarkStart w:id="0" w:name="_Toc29428"/>
      <w:r>
        <w:rPr>
          <w:rFonts w:hint="eastAsia"/>
          <w:b/>
          <w:bCs/>
          <w:color w:val="auto"/>
          <w:sz w:val="40"/>
          <w:szCs w:val="48"/>
          <w:highlight w:val="none"/>
        </w:rPr>
        <w:t>（公开招标）</w:t>
      </w:r>
      <w:bookmarkEnd w:id="0"/>
    </w:p>
    <w:p>
      <w:pPr>
        <w:spacing w:line="360" w:lineRule="auto"/>
        <w:jc w:val="center"/>
        <w:rPr>
          <w:rFonts w:ascii="Times New Roman" w:hAnsi="Times New Roman"/>
          <w:color w:val="auto"/>
          <w:highlight w:val="none"/>
        </w:rPr>
      </w:pPr>
    </w:p>
    <w:p>
      <w:pPr>
        <w:spacing w:line="500" w:lineRule="exact"/>
        <w:rPr>
          <w:rFonts w:ascii="Times New Roman" w:hAnsi="Times New Roman"/>
          <w:color w:val="auto"/>
          <w:highlight w:val="none"/>
        </w:rPr>
      </w:pPr>
    </w:p>
    <w:p>
      <w:pPr>
        <w:spacing w:line="500" w:lineRule="exact"/>
        <w:jc w:val="center"/>
        <w:rPr>
          <w:rFonts w:ascii="Times New Roman" w:hAnsi="Times New Roman"/>
          <w:color w:val="auto"/>
          <w:highlight w:val="none"/>
        </w:rPr>
      </w:pPr>
    </w:p>
    <w:p>
      <w:pPr>
        <w:keepNext/>
        <w:keepLines/>
        <w:spacing w:line="360" w:lineRule="auto"/>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1565910" cy="1511935"/>
            <wp:effectExtent l="0" t="0" r="15240" b="1206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line="500" w:lineRule="exact"/>
        <w:ind w:right="267" w:rightChars="127"/>
        <w:jc w:val="center"/>
        <w:rPr>
          <w:rFonts w:ascii="Times New Roman" w:hAnsi="Times New Roman"/>
          <w:b/>
          <w:bCs/>
          <w:color w:val="auto"/>
          <w:sz w:val="44"/>
          <w:szCs w:val="44"/>
          <w:highlight w:val="none"/>
        </w:rPr>
      </w:pPr>
    </w:p>
    <w:p>
      <w:pPr>
        <w:rPr>
          <w:color w:val="auto"/>
          <w:highlight w:val="none"/>
        </w:rPr>
      </w:pPr>
    </w:p>
    <w:p>
      <w:pPr>
        <w:tabs>
          <w:tab w:val="left" w:pos="315"/>
          <w:tab w:val="left" w:pos="8820"/>
        </w:tabs>
        <w:spacing w:line="500" w:lineRule="exact"/>
        <w:ind w:right="267" w:rightChars="127"/>
        <w:jc w:val="center"/>
        <w:rPr>
          <w:rFonts w:ascii="Times New Roman" w:hAnsi="Times New Roman"/>
          <w:b/>
          <w:bCs/>
          <w:color w:val="auto"/>
          <w:sz w:val="44"/>
          <w:szCs w:val="44"/>
          <w:highlight w:val="none"/>
        </w:rPr>
      </w:pPr>
    </w:p>
    <w:p>
      <w:pPr>
        <w:keepNext/>
        <w:keepLines/>
        <w:spacing w:line="500" w:lineRule="exact"/>
        <w:jc w:val="center"/>
        <w:rPr>
          <w:rFonts w:ascii="Times New Roman" w:hAnsi="Times New Roman"/>
          <w:b/>
          <w:color w:val="auto"/>
          <w:spacing w:val="20"/>
          <w:sz w:val="32"/>
          <w:szCs w:val="32"/>
          <w:highlight w:val="none"/>
        </w:rPr>
      </w:pPr>
    </w:p>
    <w:p>
      <w:pPr>
        <w:keepNext/>
        <w:keepLines/>
        <w:spacing w:line="500" w:lineRule="exact"/>
        <w:ind w:left="2529" w:hanging="2529" w:hangingChars="700"/>
        <w:jc w:val="left"/>
        <w:rPr>
          <w:rFonts w:hint="default" w:ascii="仿宋_GB2312" w:hAnsi="仿宋_GB2312" w:eastAsia="仿宋_GB2312" w:cs="仿宋_GB2312"/>
          <w:b/>
          <w:color w:val="auto"/>
          <w:spacing w:val="20"/>
          <w:sz w:val="32"/>
          <w:szCs w:val="32"/>
          <w:highlight w:val="none"/>
          <w:u w:val="none"/>
          <w:lang w:val="en-US" w:eastAsia="zh-CN"/>
        </w:rPr>
      </w:pPr>
      <w:bookmarkStart w:id="1" w:name="_Toc32340"/>
      <w:r>
        <w:rPr>
          <w:rFonts w:hint="eastAsia" w:ascii="仿宋_GB2312" w:hAnsi="仿宋_GB2312" w:eastAsia="仿宋_GB2312" w:cs="仿宋_GB2312"/>
          <w:b/>
          <w:color w:val="auto"/>
          <w:spacing w:val="20"/>
          <w:sz w:val="32"/>
          <w:szCs w:val="32"/>
          <w:highlight w:val="none"/>
          <w:u w:val="none"/>
        </w:rPr>
        <w:t>招标项目名称：</w:t>
      </w:r>
      <w:r>
        <w:rPr>
          <w:rFonts w:hint="eastAsia" w:ascii="仿宋_GB2312" w:hAnsi="仿宋_GB2312" w:eastAsia="仿宋_GB2312" w:cs="仿宋_GB2312"/>
          <w:b/>
          <w:color w:val="auto"/>
          <w:spacing w:val="20"/>
          <w:sz w:val="32"/>
          <w:szCs w:val="32"/>
          <w:highlight w:val="none"/>
          <w:u w:val="none"/>
          <w:lang w:val="en-US" w:eastAsia="zh-CN"/>
        </w:rPr>
        <w:t>2025年度体育赛事综合宣传服务项目</w:t>
      </w:r>
      <w:bookmarkEnd w:id="1"/>
    </w:p>
    <w:p>
      <w:pPr>
        <w:keepNext/>
        <w:keepLines/>
        <w:spacing w:line="500" w:lineRule="exact"/>
        <w:ind w:left="2529" w:hanging="2529" w:hangingChars="700"/>
        <w:jc w:val="left"/>
        <w:rPr>
          <w:rFonts w:hint="eastAsia" w:ascii="仿宋_GB2312" w:hAnsi="仿宋_GB2312" w:eastAsia="仿宋_GB2312" w:cs="仿宋_GB2312"/>
          <w:b/>
          <w:color w:val="auto"/>
          <w:spacing w:val="20"/>
          <w:sz w:val="32"/>
          <w:szCs w:val="32"/>
          <w:highlight w:val="none"/>
          <w:u w:val="none"/>
          <w:lang w:val="en-US" w:eastAsia="zh-CN"/>
        </w:rPr>
      </w:pPr>
      <w:r>
        <w:rPr>
          <w:rFonts w:hint="eastAsia" w:ascii="仿宋_GB2312" w:hAnsi="仿宋_GB2312" w:eastAsia="仿宋_GB2312" w:cs="仿宋_GB2312"/>
          <w:b/>
          <w:color w:val="auto"/>
          <w:spacing w:val="20"/>
          <w:sz w:val="32"/>
          <w:szCs w:val="32"/>
          <w:highlight w:val="none"/>
          <w:u w:val="none"/>
        </w:rPr>
        <w:t>招标项目编号：</w:t>
      </w:r>
      <w:r>
        <w:rPr>
          <w:rFonts w:hint="eastAsia" w:ascii="仿宋_GB2312" w:hAnsi="仿宋_GB2312" w:eastAsia="仿宋_GB2312" w:cs="仿宋_GB2312"/>
          <w:b/>
          <w:color w:val="auto"/>
          <w:spacing w:val="20"/>
          <w:sz w:val="32"/>
          <w:szCs w:val="32"/>
          <w:highlight w:val="none"/>
          <w:u w:val="none"/>
          <w:lang w:val="en-US" w:eastAsia="zh-CN"/>
        </w:rPr>
        <w:t xml:space="preserve">2024TYGSCG53  </w:t>
      </w:r>
      <w:r>
        <w:rPr>
          <w:rFonts w:hint="eastAsia" w:ascii="仿宋_GB2312" w:hAnsi="仿宋_GB2312" w:eastAsia="仿宋_GB2312" w:cs="仿宋_GB2312"/>
          <w:b/>
          <w:color w:val="0000FF"/>
          <w:spacing w:val="20"/>
          <w:sz w:val="32"/>
          <w:szCs w:val="32"/>
          <w:highlight w:val="none"/>
          <w:u w:val="none"/>
          <w:lang w:val="en-US" w:eastAsia="zh-CN"/>
        </w:rPr>
        <w:t xml:space="preserve">    </w:t>
      </w:r>
      <w:r>
        <w:rPr>
          <w:rFonts w:hint="eastAsia" w:ascii="仿宋_GB2312" w:hAnsi="仿宋_GB2312" w:eastAsia="仿宋_GB2312" w:cs="仿宋_GB2312"/>
          <w:b/>
          <w:color w:val="auto"/>
          <w:spacing w:val="20"/>
          <w:sz w:val="32"/>
          <w:szCs w:val="32"/>
          <w:highlight w:val="none"/>
          <w:u w:val="none"/>
          <w:lang w:val="en-US" w:eastAsia="zh-CN"/>
        </w:rPr>
        <w:t xml:space="preserve">       </w:t>
      </w:r>
    </w:p>
    <w:p>
      <w:pPr>
        <w:keepNext/>
        <w:keepLines/>
        <w:spacing w:line="500" w:lineRule="exact"/>
        <w:ind w:left="2529" w:hanging="2529" w:hangingChars="700"/>
        <w:jc w:val="left"/>
        <w:rPr>
          <w:rFonts w:hint="eastAsia" w:ascii="仿宋_GB2312" w:hAnsi="仿宋_GB2312" w:eastAsia="仿宋_GB2312" w:cs="仿宋_GB2312"/>
          <w:b/>
          <w:color w:val="auto"/>
          <w:spacing w:val="20"/>
          <w:sz w:val="32"/>
          <w:szCs w:val="32"/>
          <w:highlight w:val="none"/>
          <w:u w:val="none"/>
          <w:lang w:eastAsia="zh-CN"/>
        </w:rPr>
      </w:pPr>
      <w:bookmarkStart w:id="2" w:name="_Toc30753"/>
      <w:r>
        <w:rPr>
          <w:rFonts w:hint="eastAsia" w:ascii="仿宋_GB2312" w:hAnsi="仿宋_GB2312" w:eastAsia="仿宋_GB2312" w:cs="仿宋_GB2312"/>
          <w:b/>
          <w:color w:val="auto"/>
          <w:spacing w:val="20"/>
          <w:sz w:val="32"/>
          <w:szCs w:val="32"/>
          <w:highlight w:val="none"/>
          <w:u w:val="none"/>
        </w:rPr>
        <w:t>招</w:t>
      </w:r>
      <w:r>
        <w:rPr>
          <w:rFonts w:hint="eastAsia" w:ascii="仿宋_GB2312" w:hAnsi="仿宋_GB2312" w:eastAsia="仿宋_GB2312" w:cs="仿宋_GB2312"/>
          <w:b/>
          <w:color w:val="auto"/>
          <w:spacing w:val="20"/>
          <w:sz w:val="32"/>
          <w:szCs w:val="32"/>
          <w:highlight w:val="none"/>
          <w:u w:val="none"/>
          <w:lang w:val="en-US" w:eastAsia="zh-CN"/>
        </w:rPr>
        <w:t xml:space="preserve">   </w:t>
      </w:r>
      <w:r>
        <w:rPr>
          <w:rFonts w:hint="eastAsia" w:ascii="仿宋_GB2312" w:hAnsi="仿宋_GB2312" w:eastAsia="仿宋_GB2312" w:cs="仿宋_GB2312"/>
          <w:b/>
          <w:color w:val="auto"/>
          <w:spacing w:val="20"/>
          <w:sz w:val="32"/>
          <w:szCs w:val="32"/>
          <w:highlight w:val="none"/>
          <w:u w:val="none"/>
        </w:rPr>
        <w:t>标</w:t>
      </w:r>
      <w:r>
        <w:rPr>
          <w:rFonts w:hint="eastAsia" w:ascii="仿宋_GB2312" w:hAnsi="仿宋_GB2312" w:eastAsia="仿宋_GB2312" w:cs="仿宋_GB2312"/>
          <w:b/>
          <w:color w:val="auto"/>
          <w:spacing w:val="20"/>
          <w:sz w:val="32"/>
          <w:szCs w:val="32"/>
          <w:highlight w:val="none"/>
          <w:u w:val="none"/>
          <w:lang w:val="en-US" w:eastAsia="zh-CN"/>
        </w:rPr>
        <w:t xml:space="preserve">   </w:t>
      </w:r>
      <w:r>
        <w:rPr>
          <w:rFonts w:hint="eastAsia" w:ascii="仿宋_GB2312" w:hAnsi="仿宋_GB2312" w:eastAsia="仿宋_GB2312" w:cs="仿宋_GB2312"/>
          <w:b/>
          <w:color w:val="auto"/>
          <w:spacing w:val="20"/>
          <w:sz w:val="32"/>
          <w:szCs w:val="32"/>
          <w:highlight w:val="none"/>
          <w:u w:val="none"/>
        </w:rPr>
        <w:t>人：</w:t>
      </w:r>
      <w:r>
        <w:rPr>
          <w:rFonts w:hint="eastAsia" w:ascii="仿宋_GB2312" w:hAnsi="仿宋_GB2312" w:eastAsia="仿宋_GB2312" w:cs="仿宋_GB2312"/>
          <w:b/>
          <w:color w:val="auto"/>
          <w:spacing w:val="20"/>
          <w:sz w:val="32"/>
          <w:szCs w:val="32"/>
          <w:highlight w:val="none"/>
          <w:u w:val="none"/>
          <w:lang w:val="en-US" w:eastAsia="zh-CN"/>
        </w:rPr>
        <w:t>合肥体育产业投资有限公司</w:t>
      </w:r>
      <w:bookmarkEnd w:id="2"/>
    </w:p>
    <w:p>
      <w:pPr>
        <w:pStyle w:val="42"/>
        <w:ind w:firstLine="0" w:firstLineChars="0"/>
        <w:jc w:val="center"/>
        <w:rPr>
          <w:rFonts w:hint="eastAsia" w:ascii="仿宋_GB2312" w:hAnsi="仿宋_GB2312" w:eastAsia="仿宋_GB2312" w:cs="仿宋_GB2312"/>
          <w:b/>
          <w:color w:val="auto"/>
          <w:sz w:val="32"/>
          <w:szCs w:val="32"/>
          <w:highlight w:val="none"/>
          <w:u w:val="single"/>
        </w:rPr>
      </w:pPr>
    </w:p>
    <w:p>
      <w:pPr>
        <w:pStyle w:val="42"/>
        <w:ind w:firstLine="0" w:firstLineChars="0"/>
        <w:jc w:val="center"/>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2025</w:t>
      </w:r>
      <w:r>
        <w:rPr>
          <w:rFonts w:hint="eastAsia" w:ascii="仿宋_GB2312" w:hAnsi="仿宋_GB2312" w:eastAsia="仿宋_GB2312" w:cs="仿宋_GB2312"/>
          <w:b/>
          <w:color w:val="auto"/>
          <w:sz w:val="32"/>
          <w:szCs w:val="32"/>
          <w:highlight w:val="none"/>
          <w:u w:val="none"/>
        </w:rPr>
        <w:t>年</w:t>
      </w:r>
      <w:r>
        <w:rPr>
          <w:rFonts w:hint="eastAsia" w:ascii="仿宋_GB2312" w:hAnsi="仿宋_GB2312" w:eastAsia="仿宋_GB2312" w:cs="仿宋_GB2312"/>
          <w:b/>
          <w:color w:val="auto"/>
          <w:sz w:val="32"/>
          <w:szCs w:val="32"/>
          <w:highlight w:val="none"/>
          <w:u w:val="none"/>
          <w:lang w:val="en-US" w:eastAsia="zh-CN"/>
        </w:rPr>
        <w:t>1</w:t>
      </w:r>
      <w:r>
        <w:rPr>
          <w:rFonts w:hint="eastAsia" w:ascii="仿宋_GB2312" w:hAnsi="仿宋_GB2312" w:eastAsia="仿宋_GB2312" w:cs="仿宋_GB2312"/>
          <w:b/>
          <w:color w:val="auto"/>
          <w:sz w:val="32"/>
          <w:szCs w:val="32"/>
          <w:highlight w:val="none"/>
          <w:u w:val="none"/>
        </w:rPr>
        <w:t>月</w:t>
      </w:r>
    </w:p>
    <w:p>
      <w:pPr>
        <w:pStyle w:val="103"/>
        <w:jc w:val="center"/>
        <w:rPr>
          <w:rFonts w:ascii="Times New Roman" w:hAnsi="Times New Roman" w:eastAsia="黑体"/>
          <w:b w:val="0"/>
          <w:color w:val="auto"/>
          <w:highlight w:val="none"/>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 w:name="_Toc23093"/>
      <w:bookmarkStart w:id="4" w:name="_Toc13607"/>
      <w:bookmarkStart w:id="5" w:name="_Toc23337"/>
    </w:p>
    <w:bookmarkEnd w:id="3"/>
    <w:bookmarkEnd w:id="4"/>
    <w:bookmarkEnd w:id="5"/>
    <w:p>
      <w:pPr>
        <w:pStyle w:val="2"/>
        <w:spacing w:before="240" w:beforeLines="100" w:after="240" w:afterLines="100" w:line="500" w:lineRule="exact"/>
        <w:jc w:val="center"/>
        <w:outlineLvl w:val="9"/>
        <w:rPr>
          <w:rFonts w:eastAsia="黑体"/>
          <w:bCs/>
          <w:color w:val="auto"/>
          <w:sz w:val="32"/>
          <w:szCs w:val="32"/>
          <w:highlight w:val="none"/>
        </w:rPr>
      </w:pPr>
    </w:p>
    <w:p>
      <w:pPr>
        <w:rPr>
          <w:rFonts w:eastAsia="黑体"/>
          <w:bCs/>
          <w:color w:val="auto"/>
          <w:sz w:val="32"/>
          <w:szCs w:val="32"/>
          <w:highlight w:val="none"/>
        </w:rPr>
      </w:pPr>
    </w:p>
    <w:sdt>
      <w:sdtPr>
        <w:rPr>
          <w:rFonts w:ascii="宋体" w:hAnsi="宋体" w:eastAsia="宋体" w:cs="Times New Roman"/>
          <w:kern w:val="2"/>
          <w:sz w:val="21"/>
          <w:szCs w:val="22"/>
          <w:lang w:val="en-US" w:eastAsia="zh-CN" w:bidi="ar-SA"/>
        </w:rPr>
        <w:id w:val="147471080"/>
        <w15:color w:val="DBDBDB"/>
        <w:docPartObj>
          <w:docPartGallery w:val="Table of Contents"/>
          <w:docPartUnique/>
        </w:docPartObj>
      </w:sdtPr>
      <w:sdtEndPr>
        <w:rPr>
          <w:rFonts w:ascii="Calibri" w:hAnsi="Calibri" w:eastAsia="黑体" w:cs="Times New Roman"/>
          <w:b/>
          <w:bCs/>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b/>
              <w:bCs/>
            </w:rPr>
          </w:pPr>
          <w:r>
            <w:rPr>
              <w:rFonts w:ascii="宋体" w:hAnsi="宋体" w:eastAsia="宋体"/>
              <w:b/>
              <w:bCs/>
              <w:sz w:val="21"/>
            </w:rPr>
            <w:t>目录</w:t>
          </w:r>
        </w:p>
        <w:p>
          <w:pPr>
            <w:pStyle w:val="117"/>
            <w:tabs>
              <w:tab w:val="right" w:leader="dot" w:pos="8640"/>
            </w:tabs>
            <w:rPr>
              <w:b/>
            </w:rPr>
          </w:pPr>
          <w:r>
            <w:rPr>
              <w:rFonts w:ascii="Calibri" w:hAnsi="Calibri" w:eastAsia="黑体" w:cs="Times New Roman"/>
              <w:bCs/>
              <w:color w:val="auto"/>
              <w:kern w:val="2"/>
              <w:sz w:val="21"/>
              <w:szCs w:val="32"/>
              <w:highlight w:val="none"/>
              <w:lang w:val="en-US" w:eastAsia="zh-CN" w:bidi="ar-SA"/>
            </w:rPr>
            <w:fldChar w:fldCharType="begin"/>
          </w:r>
          <w:r>
            <w:rPr>
              <w:rFonts w:ascii="Calibri" w:hAnsi="Calibri" w:eastAsia="黑体" w:cs="Times New Roman"/>
              <w:bCs/>
              <w:color w:val="auto"/>
              <w:kern w:val="2"/>
              <w:sz w:val="21"/>
              <w:szCs w:val="32"/>
              <w:highlight w:val="none"/>
              <w:lang w:val="en-US" w:eastAsia="zh-CN" w:bidi="ar-SA"/>
            </w:rPr>
            <w:instrText xml:space="preserve">TOC \o "1-2" \h \u </w:instrText>
          </w:r>
          <w:r>
            <w:rPr>
              <w:rFonts w:ascii="Calibri" w:hAnsi="Calibri" w:eastAsia="黑体" w:cs="Times New Roman"/>
              <w:bCs/>
              <w:color w:val="auto"/>
              <w:kern w:val="2"/>
              <w:sz w:val="21"/>
              <w:szCs w:val="32"/>
              <w:highlight w:val="none"/>
              <w:lang w:val="en-US" w:eastAsia="zh-CN" w:bidi="ar-SA"/>
            </w:rPr>
            <w:fldChar w:fldCharType="separate"/>
          </w:r>
        </w:p>
        <w:p>
          <w:pPr>
            <w:pStyle w:val="117"/>
            <w:tabs>
              <w:tab w:val="right" w:leader="dot" w:pos="8640"/>
            </w:tabs>
          </w:pPr>
          <w:r>
            <w:rPr>
              <w:rFonts w:ascii="Calibri" w:hAnsi="Calibri" w:eastAsia="黑体" w:cs="Times New Roman"/>
              <w:b/>
              <w:bCs/>
              <w:color w:val="auto"/>
              <w:kern w:val="2"/>
              <w:szCs w:val="32"/>
              <w:highlight w:val="none"/>
              <w:lang w:val="en-US" w:eastAsia="zh-CN" w:bidi="ar-SA"/>
            </w:rPr>
            <w:fldChar w:fldCharType="begin"/>
          </w:r>
          <w:r>
            <w:rPr>
              <w:rFonts w:ascii="Calibri" w:hAnsi="Calibri" w:eastAsia="黑体" w:cs="Times New Roman"/>
              <w:b/>
              <w:bCs/>
              <w:kern w:val="2"/>
              <w:szCs w:val="32"/>
              <w:highlight w:val="none"/>
              <w:lang w:val="en-US" w:eastAsia="zh-CN" w:bidi="ar-SA"/>
            </w:rPr>
            <w:instrText xml:space="preserve"> HYPERLINK \l _Toc15009 </w:instrText>
          </w:r>
          <w:r>
            <w:rPr>
              <w:rFonts w:ascii="Calibri" w:hAnsi="Calibri" w:eastAsia="黑体" w:cs="Times New Roman"/>
              <w:b/>
              <w:bCs/>
              <w:kern w:val="2"/>
              <w:szCs w:val="32"/>
              <w:highlight w:val="none"/>
              <w:lang w:val="en-US" w:eastAsia="zh-CN" w:bidi="ar-SA"/>
            </w:rPr>
            <w:fldChar w:fldCharType="separate"/>
          </w:r>
          <w:r>
            <w:rPr>
              <w:rFonts w:eastAsia="黑体"/>
              <w:b/>
              <w:bCs/>
              <w:szCs w:val="32"/>
              <w:highlight w:val="none"/>
            </w:rPr>
            <w:t>第一章 招标公告</w:t>
          </w:r>
          <w:r>
            <w:rPr>
              <w:b/>
            </w:rPr>
            <w:tab/>
          </w:r>
          <w:r>
            <w:rPr>
              <w:b/>
            </w:rPr>
            <w:fldChar w:fldCharType="begin"/>
          </w:r>
          <w:r>
            <w:rPr>
              <w:b/>
            </w:rPr>
            <w:instrText xml:space="preserve"> PAGEREF _Toc15009 \h </w:instrText>
          </w:r>
          <w:r>
            <w:rPr>
              <w:b/>
            </w:rPr>
            <w:fldChar w:fldCharType="separate"/>
          </w:r>
          <w:r>
            <w:rPr>
              <w:b/>
            </w:rPr>
            <w:t>3</w:t>
          </w:r>
          <w:r>
            <w:rPr>
              <w:b/>
            </w:rPr>
            <w:fldChar w:fldCharType="end"/>
          </w:r>
          <w:r>
            <w:rPr>
              <w:rFonts w:ascii="Calibri" w:hAnsi="Calibri" w:eastAsia="黑体" w:cs="Times New Roman"/>
              <w:b/>
              <w:bCs/>
              <w:color w:val="auto"/>
              <w:kern w:val="2"/>
              <w:szCs w:val="32"/>
              <w:highlight w:val="none"/>
              <w:lang w:val="en-US" w:eastAsia="zh-CN" w:bidi="ar-SA"/>
            </w:rPr>
            <w:fldChar w:fldCharType="end"/>
          </w:r>
        </w:p>
        <w:p>
          <w:pPr>
            <w:pStyle w:val="117"/>
            <w:tabs>
              <w:tab w:val="right" w:leader="dot" w:pos="8640"/>
            </w:tabs>
            <w:rPr>
              <w:b/>
            </w:rPr>
          </w:pPr>
          <w:r>
            <w:rPr>
              <w:rFonts w:ascii="Calibri" w:hAnsi="Calibri" w:eastAsia="黑体" w:cs="Times New Roman"/>
              <w:b/>
              <w:bCs/>
              <w:color w:val="auto"/>
              <w:kern w:val="2"/>
              <w:szCs w:val="32"/>
              <w:highlight w:val="none"/>
              <w:lang w:val="en-US" w:eastAsia="zh-CN" w:bidi="ar-SA"/>
            </w:rPr>
            <w:fldChar w:fldCharType="begin"/>
          </w:r>
          <w:r>
            <w:rPr>
              <w:rFonts w:ascii="Calibri" w:hAnsi="Calibri" w:eastAsia="黑体" w:cs="Times New Roman"/>
              <w:b/>
              <w:bCs/>
              <w:kern w:val="2"/>
              <w:szCs w:val="32"/>
              <w:highlight w:val="none"/>
              <w:lang w:val="en-US" w:eastAsia="zh-CN" w:bidi="ar-SA"/>
            </w:rPr>
            <w:instrText xml:space="preserve"> HYPERLINK \l _Toc10973 </w:instrText>
          </w:r>
          <w:r>
            <w:rPr>
              <w:rFonts w:ascii="Calibri" w:hAnsi="Calibri" w:eastAsia="黑体" w:cs="Times New Roman"/>
              <w:b/>
              <w:bCs/>
              <w:kern w:val="2"/>
              <w:szCs w:val="32"/>
              <w:highlight w:val="none"/>
              <w:lang w:val="en-US" w:eastAsia="zh-CN" w:bidi="ar-SA"/>
            </w:rPr>
            <w:fldChar w:fldCharType="separate"/>
          </w:r>
          <w:r>
            <w:rPr>
              <w:rFonts w:hint="eastAsia" w:ascii="黑体" w:hAnsi="黑体" w:eastAsia="黑体" w:cs="黑体"/>
              <w:b/>
              <w:szCs w:val="32"/>
              <w:highlight w:val="none"/>
            </w:rPr>
            <w:t>第二章  投标人须知</w:t>
          </w:r>
          <w:r>
            <w:rPr>
              <w:b/>
            </w:rPr>
            <w:tab/>
          </w:r>
          <w:r>
            <w:rPr>
              <w:b/>
            </w:rPr>
            <w:fldChar w:fldCharType="begin"/>
          </w:r>
          <w:r>
            <w:rPr>
              <w:b/>
            </w:rPr>
            <w:instrText xml:space="preserve"> PAGEREF _Toc10973 \h </w:instrText>
          </w:r>
          <w:r>
            <w:rPr>
              <w:b/>
            </w:rPr>
            <w:fldChar w:fldCharType="separate"/>
          </w:r>
          <w:r>
            <w:rPr>
              <w:b/>
            </w:rPr>
            <w:t>6</w:t>
          </w:r>
          <w:r>
            <w:rPr>
              <w:b/>
            </w:rPr>
            <w:fldChar w:fldCharType="end"/>
          </w:r>
          <w:r>
            <w:rPr>
              <w:rFonts w:ascii="Calibri" w:hAnsi="Calibri" w:eastAsia="黑体" w:cs="Times New Roman"/>
              <w:b/>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_Toc1280 </w:instrText>
          </w:r>
          <w:r>
            <w:rPr>
              <w:rFonts w:ascii="Calibri" w:hAnsi="Calibri" w:eastAsia="黑体" w:cs="Times New Roman"/>
              <w:bCs/>
              <w:kern w:val="2"/>
              <w:szCs w:val="32"/>
              <w:highlight w:val="none"/>
              <w:lang w:val="en-US" w:eastAsia="zh-CN" w:bidi="ar-SA"/>
            </w:rPr>
            <w:fldChar w:fldCharType="separate"/>
          </w:r>
          <w:r>
            <w:rPr>
              <w:rFonts w:hint="eastAsia" w:ascii="黑体" w:hAnsi="黑体" w:eastAsia="黑体" w:cs="黑体"/>
              <w:szCs w:val="28"/>
              <w:highlight w:val="none"/>
            </w:rPr>
            <w:t>附录1  资格审查条件(资质最低条件)</w:t>
          </w:r>
          <w:r>
            <w:tab/>
          </w:r>
          <w:r>
            <w:fldChar w:fldCharType="begin"/>
          </w:r>
          <w:r>
            <w:instrText xml:space="preserve"> PAGEREF _Toc1280 \h </w:instrText>
          </w:r>
          <w:r>
            <w:fldChar w:fldCharType="separate"/>
          </w:r>
          <w:r>
            <w:t>12</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_Toc14860 </w:instrText>
          </w:r>
          <w:r>
            <w:rPr>
              <w:rFonts w:ascii="Calibri" w:hAnsi="Calibri" w:eastAsia="黑体" w:cs="Times New Roman"/>
              <w:bCs/>
              <w:kern w:val="2"/>
              <w:szCs w:val="32"/>
              <w:highlight w:val="none"/>
              <w:lang w:val="en-US" w:eastAsia="zh-CN" w:bidi="ar-SA"/>
            </w:rPr>
            <w:fldChar w:fldCharType="separate"/>
          </w:r>
          <w:r>
            <w:rPr>
              <w:rFonts w:hint="eastAsia" w:ascii="宋体" w:hAnsi="宋体" w:eastAsia="宋体" w:cs="宋体"/>
              <w:b w:val="0"/>
              <w:bCs w:val="0"/>
              <w:kern w:val="2"/>
              <w:szCs w:val="18"/>
              <w:highlight w:val="none"/>
              <w:lang w:val="en-US" w:eastAsia="zh-CN" w:bidi="ar-SA"/>
            </w:rPr>
            <w:t>1.总则</w:t>
          </w:r>
          <w:r>
            <w:tab/>
          </w:r>
          <w:r>
            <w:fldChar w:fldCharType="begin"/>
          </w:r>
          <w:r>
            <w:instrText xml:space="preserve"> PAGEREF _Toc14860 \h </w:instrText>
          </w:r>
          <w:r>
            <w:fldChar w:fldCharType="separate"/>
          </w:r>
          <w:r>
            <w:t>13</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_Toc16403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szCs w:val="18"/>
              <w:highlight w:val="none"/>
            </w:rPr>
            <w:t>2. 招标文件</w:t>
          </w:r>
          <w:r>
            <w:tab/>
          </w:r>
          <w:r>
            <w:fldChar w:fldCharType="begin"/>
          </w:r>
          <w:r>
            <w:instrText xml:space="preserve"> PAGEREF _Toc16403 \h </w:instrText>
          </w:r>
          <w:r>
            <w:fldChar w:fldCharType="separate"/>
          </w:r>
          <w:r>
            <w:t>17</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_Toc16234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szCs w:val="18"/>
              <w:highlight w:val="none"/>
            </w:rPr>
            <w:t>3. 投标文件</w:t>
          </w:r>
          <w:r>
            <w:tab/>
          </w:r>
          <w:r>
            <w:fldChar w:fldCharType="begin"/>
          </w:r>
          <w:r>
            <w:instrText xml:space="preserve"> PAGEREF _Toc16234 \h </w:instrText>
          </w:r>
          <w:r>
            <w:fldChar w:fldCharType="separate"/>
          </w:r>
          <w:r>
            <w:t>18</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_Toc19021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4. 投标</w:t>
          </w:r>
          <w:r>
            <w:tab/>
          </w:r>
          <w:r>
            <w:fldChar w:fldCharType="begin"/>
          </w:r>
          <w:r>
            <w:instrText xml:space="preserve"> PAGEREF _Toc19021 \h </w:instrText>
          </w:r>
          <w:r>
            <w:fldChar w:fldCharType="separate"/>
          </w:r>
          <w:r>
            <w:t>21</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_Toc5983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5. 开标</w:t>
          </w:r>
          <w:r>
            <w:tab/>
          </w:r>
          <w:r>
            <w:fldChar w:fldCharType="begin"/>
          </w:r>
          <w:r>
            <w:instrText xml:space="preserve"> PAGEREF _Toc5983 \h </w:instrText>
          </w:r>
          <w:r>
            <w:fldChar w:fldCharType="separate"/>
          </w:r>
          <w:r>
            <w:t>22</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_Toc3498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6. 评标</w:t>
          </w:r>
          <w:r>
            <w:tab/>
          </w:r>
          <w:r>
            <w:fldChar w:fldCharType="begin"/>
          </w:r>
          <w:r>
            <w:instrText xml:space="preserve"> PAGEREF _Toc3498 \h </w:instrText>
          </w:r>
          <w:r>
            <w:fldChar w:fldCharType="separate"/>
          </w:r>
          <w:r>
            <w:t>22</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_Toc24116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7. 合同授予</w:t>
          </w:r>
          <w:r>
            <w:tab/>
          </w:r>
          <w:r>
            <w:fldChar w:fldCharType="begin"/>
          </w:r>
          <w:r>
            <w:instrText xml:space="preserve"> PAGEREF _Toc24116 \h </w:instrText>
          </w:r>
          <w:r>
            <w:fldChar w:fldCharType="separate"/>
          </w:r>
          <w:r>
            <w:t>23</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_Toc11913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8. 重新招标和不再招标</w:t>
          </w:r>
          <w:r>
            <w:tab/>
          </w:r>
          <w:r>
            <w:fldChar w:fldCharType="begin"/>
          </w:r>
          <w:r>
            <w:instrText xml:space="preserve"> PAGEREF _Toc11913 \h </w:instrText>
          </w:r>
          <w:r>
            <w:fldChar w:fldCharType="separate"/>
          </w:r>
          <w:r>
            <w:t>25</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_Toc8989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9. 纪律和监督</w:t>
          </w:r>
          <w:r>
            <w:tab/>
          </w:r>
          <w:r>
            <w:fldChar w:fldCharType="begin"/>
          </w:r>
          <w:r>
            <w:instrText xml:space="preserve"> PAGEREF _Toc8989 \h </w:instrText>
          </w:r>
          <w:r>
            <w:fldChar w:fldCharType="separate"/>
          </w:r>
          <w:r>
            <w:t>25</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_Toc21077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10. 需要补充的其他内容</w:t>
          </w:r>
          <w:r>
            <w:tab/>
          </w:r>
          <w:r>
            <w:fldChar w:fldCharType="begin"/>
          </w:r>
          <w:r>
            <w:instrText xml:space="preserve"> PAGEREF _Toc21077 \h </w:instrText>
          </w:r>
          <w:r>
            <w:fldChar w:fldCharType="separate"/>
          </w:r>
          <w:r>
            <w:t>26</w:t>
          </w:r>
          <w:r>
            <w:fldChar w:fldCharType="end"/>
          </w:r>
          <w:r>
            <w:rPr>
              <w:rFonts w:ascii="Calibri" w:hAnsi="Calibri" w:eastAsia="黑体" w:cs="Times New Roman"/>
              <w:bCs/>
              <w:color w:val="auto"/>
              <w:kern w:val="2"/>
              <w:szCs w:val="32"/>
              <w:highlight w:val="none"/>
              <w:lang w:val="en-US" w:eastAsia="zh-CN" w:bidi="ar-SA"/>
            </w:rPr>
            <w:fldChar w:fldCharType="end"/>
          </w:r>
        </w:p>
        <w:p>
          <w:pPr>
            <w:pStyle w:val="117"/>
            <w:tabs>
              <w:tab w:val="right" w:leader="dot" w:pos="8640"/>
            </w:tabs>
            <w:rPr>
              <w:b/>
            </w:rPr>
          </w:pPr>
          <w:r>
            <w:rPr>
              <w:rFonts w:ascii="Calibri" w:hAnsi="Calibri" w:eastAsia="黑体" w:cs="Times New Roman"/>
              <w:b/>
              <w:bCs/>
              <w:color w:val="auto"/>
              <w:kern w:val="2"/>
              <w:szCs w:val="32"/>
              <w:highlight w:val="none"/>
              <w:lang w:val="en-US" w:eastAsia="zh-CN" w:bidi="ar-SA"/>
            </w:rPr>
            <w:fldChar w:fldCharType="begin"/>
          </w:r>
          <w:r>
            <w:rPr>
              <w:rFonts w:ascii="Calibri" w:hAnsi="Calibri" w:eastAsia="黑体" w:cs="Times New Roman"/>
              <w:b/>
              <w:bCs/>
              <w:kern w:val="2"/>
              <w:szCs w:val="32"/>
              <w:highlight w:val="none"/>
              <w:lang w:val="en-US" w:eastAsia="zh-CN" w:bidi="ar-SA"/>
            </w:rPr>
            <w:instrText xml:space="preserve"> HYPERLINK \l _Toc9407 </w:instrText>
          </w:r>
          <w:r>
            <w:rPr>
              <w:rFonts w:ascii="Calibri" w:hAnsi="Calibri" w:eastAsia="黑体" w:cs="Times New Roman"/>
              <w:b/>
              <w:bCs/>
              <w:kern w:val="2"/>
              <w:szCs w:val="32"/>
              <w:highlight w:val="none"/>
              <w:lang w:val="en-US" w:eastAsia="zh-CN" w:bidi="ar-SA"/>
            </w:rPr>
            <w:fldChar w:fldCharType="separate"/>
          </w:r>
          <w:r>
            <w:rPr>
              <w:rFonts w:eastAsia="黑体"/>
              <w:b/>
              <w:bCs/>
              <w:kern w:val="2"/>
              <w:szCs w:val="32"/>
              <w:highlight w:val="none"/>
            </w:rPr>
            <w:t>第三章</w:t>
          </w:r>
          <w:r>
            <w:rPr>
              <w:rFonts w:hint="eastAsia" w:eastAsia="黑体"/>
              <w:b/>
              <w:bCs/>
              <w:kern w:val="2"/>
              <w:szCs w:val="32"/>
              <w:highlight w:val="none"/>
            </w:rPr>
            <w:t xml:space="preserve"> </w:t>
          </w:r>
          <w:r>
            <w:rPr>
              <w:rFonts w:eastAsia="黑体"/>
              <w:b/>
              <w:bCs/>
              <w:kern w:val="2"/>
              <w:szCs w:val="32"/>
              <w:highlight w:val="none"/>
            </w:rPr>
            <w:t>评标办法</w:t>
          </w:r>
          <w:r>
            <w:rPr>
              <w:b/>
            </w:rPr>
            <w:tab/>
          </w:r>
          <w:r>
            <w:rPr>
              <w:b/>
            </w:rPr>
            <w:fldChar w:fldCharType="begin"/>
          </w:r>
          <w:r>
            <w:rPr>
              <w:b/>
            </w:rPr>
            <w:instrText xml:space="preserve"> PAGEREF _Toc9407 \h </w:instrText>
          </w:r>
          <w:r>
            <w:rPr>
              <w:b/>
            </w:rPr>
            <w:fldChar w:fldCharType="separate"/>
          </w:r>
          <w:r>
            <w:rPr>
              <w:b/>
            </w:rPr>
            <w:t>27</w:t>
          </w:r>
          <w:r>
            <w:rPr>
              <w:b/>
            </w:rPr>
            <w:fldChar w:fldCharType="end"/>
          </w:r>
          <w:r>
            <w:rPr>
              <w:rFonts w:ascii="Calibri" w:hAnsi="Calibri" w:eastAsia="黑体" w:cs="Times New Roman"/>
              <w:b/>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_Toc8274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1. 评标方法</w:t>
          </w:r>
          <w:r>
            <w:tab/>
          </w:r>
          <w:r>
            <w:fldChar w:fldCharType="begin"/>
          </w:r>
          <w:r>
            <w:instrText xml:space="preserve"> PAGEREF _Toc8274 \h </w:instrText>
          </w:r>
          <w:r>
            <w:fldChar w:fldCharType="separate"/>
          </w:r>
          <w:r>
            <w:t>30</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_Toc15527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2. 评审标准</w:t>
          </w:r>
          <w:r>
            <w:tab/>
          </w:r>
          <w:r>
            <w:fldChar w:fldCharType="begin"/>
          </w:r>
          <w:r>
            <w:instrText xml:space="preserve"> PAGEREF _Toc15527 \h </w:instrText>
          </w:r>
          <w:r>
            <w:fldChar w:fldCharType="separate"/>
          </w:r>
          <w:r>
            <w:t>33</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_Toc2665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bCs/>
              <w:szCs w:val="18"/>
              <w:highlight w:val="none"/>
            </w:rPr>
            <w:t>3. 评标程序</w:t>
          </w:r>
          <w:r>
            <w:tab/>
          </w:r>
          <w:r>
            <w:fldChar w:fldCharType="begin"/>
          </w:r>
          <w:r>
            <w:instrText xml:space="preserve"> PAGEREF _Toc2665 \h </w:instrText>
          </w:r>
          <w:r>
            <w:fldChar w:fldCharType="separate"/>
          </w:r>
          <w:r>
            <w:t>34</w:t>
          </w:r>
          <w:r>
            <w:fldChar w:fldCharType="end"/>
          </w:r>
          <w:r>
            <w:rPr>
              <w:rFonts w:ascii="Calibri" w:hAnsi="Calibri" w:eastAsia="黑体" w:cs="Times New Roman"/>
              <w:bCs/>
              <w:color w:val="auto"/>
              <w:kern w:val="2"/>
              <w:szCs w:val="32"/>
              <w:highlight w:val="none"/>
              <w:lang w:val="en-US" w:eastAsia="zh-CN" w:bidi="ar-SA"/>
            </w:rPr>
            <w:fldChar w:fldCharType="end"/>
          </w:r>
        </w:p>
        <w:p>
          <w:pPr>
            <w:pStyle w:val="117"/>
            <w:tabs>
              <w:tab w:val="right" w:leader="dot" w:pos="8640"/>
            </w:tabs>
          </w:pPr>
          <w:r>
            <w:rPr>
              <w:rFonts w:ascii="Calibri" w:hAnsi="Calibri" w:eastAsia="黑体" w:cs="Times New Roman"/>
              <w:b/>
              <w:bCs/>
              <w:color w:val="auto"/>
              <w:kern w:val="2"/>
              <w:szCs w:val="32"/>
              <w:highlight w:val="none"/>
              <w:lang w:val="en-US" w:eastAsia="zh-CN" w:bidi="ar-SA"/>
            </w:rPr>
            <w:fldChar w:fldCharType="begin"/>
          </w:r>
          <w:r>
            <w:rPr>
              <w:rFonts w:ascii="Calibri" w:hAnsi="Calibri" w:eastAsia="黑体" w:cs="Times New Roman"/>
              <w:b/>
              <w:bCs/>
              <w:kern w:val="2"/>
              <w:szCs w:val="32"/>
              <w:highlight w:val="none"/>
              <w:lang w:val="en-US" w:eastAsia="zh-CN" w:bidi="ar-SA"/>
            </w:rPr>
            <w:instrText xml:space="preserve"> HYPERLINK \l _Toc31310 </w:instrText>
          </w:r>
          <w:r>
            <w:rPr>
              <w:rFonts w:ascii="Calibri" w:hAnsi="Calibri" w:eastAsia="黑体" w:cs="Times New Roman"/>
              <w:b/>
              <w:bCs/>
              <w:kern w:val="2"/>
              <w:szCs w:val="32"/>
              <w:highlight w:val="none"/>
              <w:lang w:val="en-US" w:eastAsia="zh-CN" w:bidi="ar-SA"/>
            </w:rPr>
            <w:fldChar w:fldCharType="separate"/>
          </w:r>
          <w:r>
            <w:rPr>
              <w:rFonts w:hint="eastAsia" w:ascii="黑体" w:hAnsi="黑体" w:eastAsia="黑体" w:cs="黑体"/>
              <w:b/>
              <w:bCs/>
              <w:szCs w:val="32"/>
              <w:highlight w:val="none"/>
            </w:rPr>
            <w:t>第四章 合 同</w:t>
          </w:r>
          <w:r>
            <w:rPr>
              <w:b/>
            </w:rPr>
            <w:tab/>
          </w:r>
          <w:r>
            <w:rPr>
              <w:b/>
            </w:rPr>
            <w:fldChar w:fldCharType="begin"/>
          </w:r>
          <w:r>
            <w:rPr>
              <w:b/>
            </w:rPr>
            <w:instrText xml:space="preserve"> PAGEREF _Toc31310 \h </w:instrText>
          </w:r>
          <w:r>
            <w:rPr>
              <w:b/>
            </w:rPr>
            <w:fldChar w:fldCharType="separate"/>
          </w:r>
          <w:r>
            <w:rPr>
              <w:b/>
            </w:rPr>
            <w:t>37</w:t>
          </w:r>
          <w:r>
            <w:rPr>
              <w:b/>
            </w:rPr>
            <w:fldChar w:fldCharType="end"/>
          </w:r>
          <w:r>
            <w:rPr>
              <w:rFonts w:ascii="Calibri" w:hAnsi="Calibri" w:eastAsia="黑体" w:cs="Times New Roman"/>
              <w:b/>
              <w:bCs/>
              <w:color w:val="auto"/>
              <w:kern w:val="2"/>
              <w:szCs w:val="32"/>
              <w:highlight w:val="none"/>
              <w:lang w:val="en-US" w:eastAsia="zh-CN" w:bidi="ar-SA"/>
            </w:rPr>
            <w:fldChar w:fldCharType="end"/>
          </w:r>
        </w:p>
        <w:p>
          <w:pPr>
            <w:pStyle w:val="117"/>
            <w:tabs>
              <w:tab w:val="right" w:leader="dot" w:pos="8640"/>
            </w:tabs>
            <w:rPr>
              <w:b/>
            </w:rPr>
          </w:pPr>
          <w:r>
            <w:rPr>
              <w:rFonts w:ascii="Calibri" w:hAnsi="Calibri" w:eastAsia="黑体" w:cs="Times New Roman"/>
              <w:b/>
              <w:bCs/>
              <w:color w:val="auto"/>
              <w:kern w:val="2"/>
              <w:szCs w:val="32"/>
              <w:highlight w:val="none"/>
              <w:lang w:val="en-US" w:eastAsia="zh-CN" w:bidi="ar-SA"/>
            </w:rPr>
            <w:fldChar w:fldCharType="begin"/>
          </w:r>
          <w:r>
            <w:rPr>
              <w:rFonts w:ascii="Calibri" w:hAnsi="Calibri" w:eastAsia="黑体" w:cs="Times New Roman"/>
              <w:b/>
              <w:bCs/>
              <w:kern w:val="2"/>
              <w:szCs w:val="32"/>
              <w:highlight w:val="none"/>
              <w:lang w:val="en-US" w:eastAsia="zh-CN" w:bidi="ar-SA"/>
            </w:rPr>
            <w:instrText xml:space="preserve"> HYPERLINK \l _Toc2254 </w:instrText>
          </w:r>
          <w:r>
            <w:rPr>
              <w:rFonts w:ascii="Calibri" w:hAnsi="Calibri" w:eastAsia="黑体" w:cs="Times New Roman"/>
              <w:b/>
              <w:bCs/>
              <w:kern w:val="2"/>
              <w:szCs w:val="32"/>
              <w:highlight w:val="none"/>
              <w:lang w:val="en-US" w:eastAsia="zh-CN" w:bidi="ar-SA"/>
            </w:rPr>
            <w:fldChar w:fldCharType="separate"/>
          </w:r>
          <w:r>
            <w:rPr>
              <w:rFonts w:eastAsia="黑体"/>
              <w:b/>
              <w:bCs/>
              <w:kern w:val="2"/>
              <w:szCs w:val="32"/>
              <w:highlight w:val="none"/>
            </w:rPr>
            <w:t xml:space="preserve">第五章 </w:t>
          </w:r>
          <w:r>
            <w:rPr>
              <w:rFonts w:hint="eastAsia" w:eastAsia="黑体"/>
              <w:b/>
              <w:bCs/>
              <w:kern w:val="2"/>
              <w:szCs w:val="32"/>
              <w:highlight w:val="none"/>
            </w:rPr>
            <w:t>招标</w:t>
          </w:r>
          <w:r>
            <w:rPr>
              <w:rFonts w:eastAsia="黑体"/>
              <w:b/>
              <w:bCs/>
              <w:kern w:val="2"/>
              <w:szCs w:val="32"/>
              <w:highlight w:val="none"/>
            </w:rPr>
            <w:t>人要求</w:t>
          </w:r>
          <w:r>
            <w:rPr>
              <w:b/>
            </w:rPr>
            <w:tab/>
          </w:r>
          <w:r>
            <w:rPr>
              <w:b/>
            </w:rPr>
            <w:fldChar w:fldCharType="begin"/>
          </w:r>
          <w:r>
            <w:rPr>
              <w:b/>
            </w:rPr>
            <w:instrText xml:space="preserve"> PAGEREF _Toc2254 \h </w:instrText>
          </w:r>
          <w:r>
            <w:rPr>
              <w:b/>
            </w:rPr>
            <w:fldChar w:fldCharType="separate"/>
          </w:r>
          <w:r>
            <w:rPr>
              <w:b/>
            </w:rPr>
            <w:t>46</w:t>
          </w:r>
          <w:r>
            <w:rPr>
              <w:b/>
            </w:rPr>
            <w:fldChar w:fldCharType="end"/>
          </w:r>
          <w:r>
            <w:rPr>
              <w:rFonts w:ascii="Calibri" w:hAnsi="Calibri" w:eastAsia="黑体" w:cs="Times New Roman"/>
              <w:b/>
              <w:bCs/>
              <w:color w:val="auto"/>
              <w:kern w:val="2"/>
              <w:szCs w:val="32"/>
              <w:highlight w:val="none"/>
              <w:lang w:val="en-US" w:eastAsia="zh-CN" w:bidi="ar-SA"/>
            </w:rPr>
            <w:fldChar w:fldCharType="end"/>
          </w:r>
        </w:p>
        <w:p>
          <w:pPr>
            <w:pStyle w:val="117"/>
            <w:tabs>
              <w:tab w:val="right" w:leader="dot" w:pos="8640"/>
            </w:tabs>
            <w:rPr>
              <w:b/>
            </w:rPr>
          </w:pPr>
          <w:r>
            <w:rPr>
              <w:rFonts w:ascii="Calibri" w:hAnsi="Calibri" w:eastAsia="黑体" w:cs="Times New Roman"/>
              <w:b/>
              <w:bCs/>
              <w:color w:val="auto"/>
              <w:kern w:val="2"/>
              <w:szCs w:val="32"/>
              <w:highlight w:val="none"/>
              <w:lang w:val="en-US" w:eastAsia="zh-CN" w:bidi="ar-SA"/>
            </w:rPr>
            <w:fldChar w:fldCharType="begin"/>
          </w:r>
          <w:r>
            <w:rPr>
              <w:rFonts w:ascii="Calibri" w:hAnsi="Calibri" w:eastAsia="黑体" w:cs="Times New Roman"/>
              <w:b/>
              <w:bCs/>
              <w:kern w:val="2"/>
              <w:szCs w:val="32"/>
              <w:highlight w:val="none"/>
              <w:lang w:val="en-US" w:eastAsia="zh-CN" w:bidi="ar-SA"/>
            </w:rPr>
            <w:instrText xml:space="preserve"> HYPERLINK \l _Toc8679 </w:instrText>
          </w:r>
          <w:r>
            <w:rPr>
              <w:rFonts w:ascii="Calibri" w:hAnsi="Calibri" w:eastAsia="黑体" w:cs="Times New Roman"/>
              <w:b/>
              <w:bCs/>
              <w:kern w:val="2"/>
              <w:szCs w:val="32"/>
              <w:highlight w:val="none"/>
              <w:lang w:val="en-US" w:eastAsia="zh-CN" w:bidi="ar-SA"/>
            </w:rPr>
            <w:fldChar w:fldCharType="separate"/>
          </w:r>
          <w:r>
            <w:rPr>
              <w:rFonts w:ascii="Times New Roman" w:hAnsi="Times New Roman" w:eastAsia="黑体"/>
              <w:b/>
              <w:bCs/>
              <w:szCs w:val="32"/>
              <w:highlight w:val="none"/>
            </w:rPr>
            <w:t>第六章</w:t>
          </w:r>
          <w:r>
            <w:rPr>
              <w:rFonts w:hint="eastAsia" w:ascii="Times New Roman" w:hAnsi="Times New Roman" w:eastAsia="黑体"/>
              <w:b/>
              <w:bCs/>
              <w:szCs w:val="32"/>
              <w:highlight w:val="none"/>
            </w:rPr>
            <w:t xml:space="preserve"> </w:t>
          </w:r>
          <w:r>
            <w:rPr>
              <w:rFonts w:ascii="Times New Roman" w:hAnsi="Times New Roman" w:eastAsia="黑体"/>
              <w:b/>
              <w:bCs/>
              <w:szCs w:val="32"/>
              <w:highlight w:val="none"/>
            </w:rPr>
            <w:t>投标文件格式</w:t>
          </w:r>
          <w:r>
            <w:rPr>
              <w:b/>
            </w:rPr>
            <w:tab/>
          </w:r>
          <w:r>
            <w:rPr>
              <w:b/>
            </w:rPr>
            <w:fldChar w:fldCharType="begin"/>
          </w:r>
          <w:r>
            <w:rPr>
              <w:b/>
            </w:rPr>
            <w:instrText xml:space="preserve"> PAGEREF _Toc8679 \h </w:instrText>
          </w:r>
          <w:r>
            <w:rPr>
              <w:b/>
            </w:rPr>
            <w:fldChar w:fldCharType="separate"/>
          </w:r>
          <w:r>
            <w:rPr>
              <w:b/>
            </w:rPr>
            <w:t>48</w:t>
          </w:r>
          <w:r>
            <w:rPr>
              <w:b/>
            </w:rPr>
            <w:fldChar w:fldCharType="end"/>
          </w:r>
          <w:r>
            <w:rPr>
              <w:rFonts w:ascii="Calibri" w:hAnsi="Calibri" w:eastAsia="黑体" w:cs="Times New Roman"/>
              <w:b/>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_Toc23690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szCs w:val="44"/>
              <w:highlight w:val="none"/>
            </w:rPr>
            <w:t>投标文件</w:t>
          </w:r>
          <w:r>
            <w:tab/>
          </w:r>
          <w:r>
            <w:fldChar w:fldCharType="begin"/>
          </w:r>
          <w:r>
            <w:instrText xml:space="preserve"> PAGEREF _Toc23690 \h </w:instrText>
          </w:r>
          <w:r>
            <w:fldChar w:fldCharType="separate"/>
          </w:r>
          <w:r>
            <w:t>48</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_Toc29478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szCs w:val="44"/>
              <w:highlight w:val="none"/>
            </w:rPr>
            <w:t>（技术</w:t>
          </w:r>
          <w:r>
            <w:rPr>
              <w:rFonts w:hint="eastAsia" w:ascii="Times New Roman" w:hAnsi="Times New Roman"/>
              <w:szCs w:val="44"/>
              <w:highlight w:val="none"/>
              <w:lang w:val="en-US" w:eastAsia="zh-CN"/>
            </w:rPr>
            <w:t>及资信</w:t>
          </w:r>
          <w:r>
            <w:rPr>
              <w:rFonts w:ascii="Times New Roman" w:hAnsi="Times New Roman"/>
              <w:szCs w:val="44"/>
              <w:highlight w:val="none"/>
            </w:rPr>
            <w:t>文件）</w:t>
          </w:r>
          <w:r>
            <w:tab/>
          </w:r>
          <w:r>
            <w:fldChar w:fldCharType="begin"/>
          </w:r>
          <w:r>
            <w:instrText xml:space="preserve"> PAGEREF _Toc29478 \h </w:instrText>
          </w:r>
          <w:r>
            <w:fldChar w:fldCharType="separate"/>
          </w:r>
          <w:r>
            <w:t>48</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_Toc6495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szCs w:val="44"/>
              <w:highlight w:val="none"/>
            </w:rPr>
            <w:t>投标文件</w:t>
          </w:r>
          <w:r>
            <w:tab/>
          </w:r>
          <w:r>
            <w:fldChar w:fldCharType="begin"/>
          </w:r>
          <w:r>
            <w:instrText xml:space="preserve"> PAGEREF _Toc6495 \h </w:instrText>
          </w:r>
          <w:r>
            <w:fldChar w:fldCharType="separate"/>
          </w:r>
          <w:r>
            <w:t>63</w:t>
          </w:r>
          <w:r>
            <w:fldChar w:fldCharType="end"/>
          </w:r>
          <w:r>
            <w:rPr>
              <w:rFonts w:ascii="Calibri" w:hAnsi="Calibri" w:eastAsia="黑体" w:cs="Times New Roman"/>
              <w:bCs/>
              <w:color w:val="auto"/>
              <w:kern w:val="2"/>
              <w:szCs w:val="32"/>
              <w:highlight w:val="none"/>
              <w:lang w:val="en-US" w:eastAsia="zh-CN" w:bidi="ar-SA"/>
            </w:rPr>
            <w:fldChar w:fldCharType="end"/>
          </w:r>
        </w:p>
        <w:p>
          <w:pPr>
            <w:pStyle w:val="118"/>
            <w:tabs>
              <w:tab w:val="right" w:leader="dot" w:pos="8640"/>
            </w:tabs>
          </w:pPr>
          <w:r>
            <w:rPr>
              <w:rFonts w:ascii="Calibri" w:hAnsi="Calibri" w:eastAsia="黑体" w:cs="Times New Roman"/>
              <w:bCs/>
              <w:color w:val="auto"/>
              <w:kern w:val="2"/>
              <w:szCs w:val="32"/>
              <w:highlight w:val="none"/>
              <w:lang w:val="en-US" w:eastAsia="zh-CN" w:bidi="ar-SA"/>
            </w:rPr>
            <w:fldChar w:fldCharType="begin"/>
          </w:r>
          <w:r>
            <w:rPr>
              <w:rFonts w:ascii="Calibri" w:hAnsi="Calibri" w:eastAsia="黑体" w:cs="Times New Roman"/>
              <w:bCs/>
              <w:kern w:val="2"/>
              <w:szCs w:val="32"/>
              <w:highlight w:val="none"/>
              <w:lang w:val="en-US" w:eastAsia="zh-CN" w:bidi="ar-SA"/>
            </w:rPr>
            <w:instrText xml:space="preserve"> HYPERLINK \l _Toc23742 </w:instrText>
          </w:r>
          <w:r>
            <w:rPr>
              <w:rFonts w:ascii="Calibri" w:hAnsi="Calibri" w:eastAsia="黑体" w:cs="Times New Roman"/>
              <w:bCs/>
              <w:kern w:val="2"/>
              <w:szCs w:val="32"/>
              <w:highlight w:val="none"/>
              <w:lang w:val="en-US" w:eastAsia="zh-CN" w:bidi="ar-SA"/>
            </w:rPr>
            <w:fldChar w:fldCharType="separate"/>
          </w:r>
          <w:r>
            <w:rPr>
              <w:rFonts w:ascii="Times New Roman" w:hAnsi="Times New Roman"/>
              <w:szCs w:val="44"/>
              <w:highlight w:val="none"/>
            </w:rPr>
            <w:t>（报价文件）</w:t>
          </w:r>
          <w:r>
            <w:tab/>
          </w:r>
          <w:r>
            <w:fldChar w:fldCharType="begin"/>
          </w:r>
          <w:r>
            <w:instrText xml:space="preserve"> PAGEREF _Toc23742 \h </w:instrText>
          </w:r>
          <w:r>
            <w:fldChar w:fldCharType="separate"/>
          </w:r>
          <w:r>
            <w:t>63</w:t>
          </w:r>
          <w:r>
            <w:fldChar w:fldCharType="end"/>
          </w:r>
          <w:r>
            <w:rPr>
              <w:rFonts w:ascii="Calibri" w:hAnsi="Calibri" w:eastAsia="黑体" w:cs="Times New Roman"/>
              <w:bCs/>
              <w:color w:val="auto"/>
              <w:kern w:val="2"/>
              <w:szCs w:val="32"/>
              <w:highlight w:val="none"/>
              <w:lang w:val="en-US" w:eastAsia="zh-CN" w:bidi="ar-SA"/>
            </w:rPr>
            <w:fldChar w:fldCharType="end"/>
          </w:r>
        </w:p>
        <w:p>
          <w:pPr>
            <w:rPr>
              <w:rFonts w:ascii="Calibri" w:hAnsi="Calibri" w:eastAsia="黑体" w:cs="Times New Roman"/>
              <w:b/>
              <w:bCs/>
              <w:color w:val="auto"/>
              <w:kern w:val="2"/>
              <w:sz w:val="21"/>
              <w:szCs w:val="32"/>
              <w:highlight w:val="none"/>
              <w:lang w:val="en-US" w:eastAsia="zh-CN" w:bidi="ar-SA"/>
            </w:rPr>
          </w:pPr>
          <w:r>
            <w:rPr>
              <w:rFonts w:ascii="Calibri" w:hAnsi="Calibri" w:eastAsia="黑体" w:cs="Times New Roman"/>
              <w:b/>
              <w:bCs/>
              <w:color w:val="auto"/>
              <w:kern w:val="2"/>
              <w:szCs w:val="32"/>
              <w:highlight w:val="none"/>
              <w:lang w:val="en-US" w:eastAsia="zh-CN" w:bidi="ar-SA"/>
            </w:rPr>
            <w:fldChar w:fldCharType="end"/>
          </w:r>
        </w:p>
      </w:sdtContent>
    </w:sdt>
    <w:p>
      <w:pPr>
        <w:rPr>
          <w:rFonts w:ascii="Calibri" w:hAnsi="Calibri" w:eastAsia="黑体" w:cs="Times New Roman"/>
          <w:b/>
          <w:bCs/>
          <w:color w:val="auto"/>
          <w:kern w:val="2"/>
          <w:sz w:val="21"/>
          <w:szCs w:val="32"/>
          <w:highlight w:val="none"/>
          <w:lang w:val="en-US" w:eastAsia="zh-CN" w:bidi="ar-SA"/>
        </w:rPr>
      </w:pPr>
    </w:p>
    <w:p>
      <w:pPr>
        <w:rPr>
          <w:rFonts w:eastAsia="黑体"/>
          <w:bCs/>
          <w:color w:val="auto"/>
          <w:sz w:val="32"/>
          <w:szCs w:val="32"/>
          <w:highlight w:val="none"/>
        </w:rPr>
      </w:pPr>
    </w:p>
    <w:p>
      <w:pPr>
        <w:rPr>
          <w:rFonts w:eastAsia="黑体"/>
          <w:bCs/>
          <w:color w:val="auto"/>
          <w:sz w:val="32"/>
          <w:szCs w:val="32"/>
          <w:highlight w:val="none"/>
        </w:rPr>
      </w:pPr>
    </w:p>
    <w:p>
      <w:pPr>
        <w:rPr>
          <w:rFonts w:eastAsia="黑体"/>
          <w:bCs/>
          <w:color w:val="auto"/>
          <w:sz w:val="32"/>
          <w:szCs w:val="32"/>
          <w:highlight w:val="none"/>
        </w:rPr>
      </w:pPr>
    </w:p>
    <w:p>
      <w:pPr>
        <w:rPr>
          <w:rFonts w:eastAsia="黑体"/>
          <w:bCs/>
          <w:color w:val="auto"/>
          <w:sz w:val="32"/>
          <w:szCs w:val="32"/>
          <w:highlight w:val="none"/>
        </w:rPr>
      </w:pPr>
    </w:p>
    <w:p>
      <w:pPr>
        <w:rPr>
          <w:rFonts w:eastAsia="黑体"/>
          <w:bCs/>
          <w:color w:val="auto"/>
          <w:sz w:val="32"/>
          <w:szCs w:val="32"/>
          <w:highlight w:val="none"/>
        </w:rPr>
        <w:sectPr>
          <w:footerReference r:id="rId5"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p>
    <w:p>
      <w:pPr>
        <w:pStyle w:val="2"/>
        <w:spacing w:before="240" w:beforeLines="100" w:after="240" w:afterLines="100" w:line="500" w:lineRule="exact"/>
        <w:jc w:val="center"/>
        <w:rPr>
          <w:rFonts w:eastAsia="黑体"/>
          <w:bCs/>
          <w:color w:val="auto"/>
          <w:sz w:val="32"/>
          <w:szCs w:val="32"/>
          <w:highlight w:val="none"/>
        </w:rPr>
      </w:pPr>
      <w:bookmarkStart w:id="6" w:name="_Toc15009"/>
      <w:bookmarkStart w:id="7" w:name="_Toc26223"/>
      <w:r>
        <w:rPr>
          <w:rFonts w:eastAsia="黑体"/>
          <w:bCs/>
          <w:color w:val="auto"/>
          <w:sz w:val="32"/>
          <w:szCs w:val="32"/>
          <w:highlight w:val="none"/>
        </w:rPr>
        <w:t>第一章 招标公告</w:t>
      </w:r>
      <w:bookmarkEnd w:id="6"/>
      <w:bookmarkEnd w:id="7"/>
    </w:p>
    <w:p>
      <w:pPr>
        <w:keepNext/>
        <w:keepLines/>
        <w:spacing w:line="500" w:lineRule="exact"/>
        <w:jc w:val="center"/>
        <w:rPr>
          <w:rFonts w:hint="eastAsia" w:ascii="Times New Roman" w:hAnsi="Times New Roman" w:eastAsia="黑体"/>
          <w:bCs/>
          <w:color w:val="auto"/>
          <w:sz w:val="28"/>
          <w:szCs w:val="21"/>
          <w:highlight w:val="none"/>
        </w:rPr>
      </w:pPr>
      <w:bookmarkStart w:id="8" w:name="_Toc6232"/>
      <w:r>
        <w:rPr>
          <w:rFonts w:hint="eastAsia" w:ascii="Times New Roman" w:hAnsi="Times New Roman" w:eastAsia="黑体"/>
          <w:bCs/>
          <w:color w:val="auto"/>
          <w:sz w:val="28"/>
          <w:szCs w:val="21"/>
          <w:highlight w:val="none"/>
          <w:lang w:val="en-US" w:eastAsia="zh-CN"/>
        </w:rPr>
        <w:t>2025年度体育赛事综合宣传服务项目</w:t>
      </w:r>
      <w:r>
        <w:rPr>
          <w:rFonts w:hint="eastAsia" w:ascii="Times New Roman" w:hAnsi="Times New Roman" w:eastAsia="黑体"/>
          <w:bCs/>
          <w:color w:val="auto"/>
          <w:sz w:val="28"/>
          <w:szCs w:val="21"/>
          <w:highlight w:val="none"/>
        </w:rPr>
        <w:t>招标公告</w:t>
      </w:r>
      <w:bookmarkEnd w:id="8"/>
    </w:p>
    <w:p>
      <w:pPr>
        <w:spacing w:line="500" w:lineRule="exact"/>
        <w:ind w:firstLine="420" w:firstLineChars="200"/>
        <w:rPr>
          <w:rFonts w:hint="eastAsia"/>
          <w:bCs/>
          <w:color w:val="auto"/>
          <w:highlight w:val="none"/>
          <w:u w:val="single"/>
        </w:rPr>
      </w:pPr>
      <w:r>
        <w:rPr>
          <w:rFonts w:hint="eastAsia"/>
          <w:bCs/>
          <w:color w:val="auto"/>
          <w:highlight w:val="none"/>
          <w:u w:val="single"/>
        </w:rPr>
        <w:t>合肥体育产业投资有限公司</w:t>
      </w:r>
      <w:r>
        <w:rPr>
          <w:rFonts w:hint="eastAsia"/>
          <w:bCs/>
          <w:color w:val="auto"/>
          <w:highlight w:val="none"/>
        </w:rPr>
        <w:t>（简称“招标人”）现</w:t>
      </w:r>
      <w:r>
        <w:rPr>
          <w:rFonts w:hint="eastAsia"/>
          <w:bCs/>
          <w:color w:val="auto"/>
          <w:highlight w:val="none"/>
          <w:u w:val="none"/>
        </w:rPr>
        <w:t>对</w:t>
      </w:r>
      <w:r>
        <w:rPr>
          <w:rFonts w:hint="eastAsia"/>
          <w:bCs/>
          <w:color w:val="auto"/>
          <w:highlight w:val="none"/>
          <w:u w:val="single"/>
          <w:lang w:val="en-US" w:eastAsia="zh-CN"/>
        </w:rPr>
        <w:t>2025年度体育赛事综合宣传服务项目</w:t>
      </w:r>
      <w:r>
        <w:rPr>
          <w:rFonts w:hint="eastAsia"/>
          <w:bCs/>
          <w:color w:val="auto"/>
          <w:highlight w:val="none"/>
          <w:u w:val="none"/>
        </w:rPr>
        <w:t>进行公开招标，欢迎具备条件的投标人参加投标。</w:t>
      </w:r>
    </w:p>
    <w:p>
      <w:pPr>
        <w:spacing w:line="500" w:lineRule="exact"/>
        <w:outlineLvl w:val="1"/>
        <w:rPr>
          <w:rFonts w:ascii="Times New Roman" w:hAnsi="Times New Roman" w:eastAsia="黑体"/>
          <w:color w:val="auto"/>
          <w:sz w:val="24"/>
          <w:highlight w:val="none"/>
        </w:rPr>
      </w:pPr>
      <w:bookmarkStart w:id="9" w:name="_Toc12480"/>
      <w:r>
        <w:rPr>
          <w:rFonts w:ascii="Times New Roman" w:hAnsi="Times New Roman" w:eastAsia="黑体"/>
          <w:color w:val="auto"/>
          <w:sz w:val="24"/>
          <w:highlight w:val="none"/>
        </w:rPr>
        <w:t>1. 项目概况与招标范围</w:t>
      </w:r>
      <w:bookmarkEnd w:id="9"/>
    </w:p>
    <w:p>
      <w:pPr>
        <w:spacing w:line="500" w:lineRule="exact"/>
        <w:ind w:firstLine="420" w:firstLineChars="200"/>
        <w:rPr>
          <w:rFonts w:hint="eastAsia" w:ascii="宋体" w:hAnsi="宋体" w:eastAsia="宋体" w:cs="宋体"/>
          <w:bCs/>
          <w:snapToGrid w:val="0"/>
          <w:color w:val="auto"/>
          <w:szCs w:val="24"/>
          <w:highlight w:val="none"/>
          <w:u w:val="single"/>
        </w:rPr>
      </w:pPr>
      <w:r>
        <w:rPr>
          <w:rFonts w:hint="eastAsia" w:ascii="Times New Roman" w:hAnsi="Times New Roman" w:eastAsia="宋体" w:cs="Times New Roman"/>
          <w:bCs/>
          <w:snapToGrid w:val="0"/>
          <w:color w:val="auto"/>
          <w:szCs w:val="24"/>
          <w:highlight w:val="none"/>
          <w:u w:val="none"/>
          <w:lang w:val="en-US" w:eastAsia="zh-CN"/>
        </w:rPr>
        <w:t xml:space="preserve">1.1 </w:t>
      </w:r>
      <w:r>
        <w:rPr>
          <w:rFonts w:hint="eastAsia" w:ascii="宋体" w:hAnsi="宋体" w:eastAsia="宋体" w:cs="宋体"/>
          <w:bCs/>
          <w:snapToGrid w:val="0"/>
          <w:color w:val="auto"/>
          <w:szCs w:val="24"/>
          <w:highlight w:val="none"/>
        </w:rPr>
        <w:t>项目名称：</w:t>
      </w:r>
      <w:r>
        <w:rPr>
          <w:rFonts w:hint="eastAsia" w:ascii="宋体" w:hAnsi="宋体" w:eastAsia="宋体" w:cs="宋体"/>
          <w:bCs/>
          <w:snapToGrid w:val="0"/>
          <w:color w:val="auto"/>
          <w:szCs w:val="24"/>
          <w:highlight w:val="none"/>
          <w:u w:val="single"/>
          <w:lang w:val="en-US" w:eastAsia="zh-CN"/>
        </w:rPr>
        <w:t>2025年度</w:t>
      </w:r>
      <w:r>
        <w:rPr>
          <w:rFonts w:hint="eastAsia" w:ascii="宋体" w:hAnsi="宋体" w:eastAsia="宋体" w:cs="宋体"/>
          <w:bCs/>
          <w:color w:val="auto"/>
          <w:highlight w:val="none"/>
          <w:u w:val="single"/>
          <w:lang w:val="en-US" w:eastAsia="zh-CN"/>
        </w:rPr>
        <w:t>体育赛事综合宣传服务项目</w:t>
      </w:r>
      <w:r>
        <w:rPr>
          <w:rFonts w:hint="eastAsia" w:ascii="宋体" w:hAnsi="宋体" w:eastAsia="宋体" w:cs="宋体"/>
          <w:bCs/>
          <w:snapToGrid w:val="0"/>
          <w:color w:val="auto"/>
          <w:szCs w:val="24"/>
          <w:highlight w:val="none"/>
          <w:u w:val="single"/>
        </w:rPr>
        <w:t>招标公告</w:t>
      </w:r>
    </w:p>
    <w:p>
      <w:pPr>
        <w:spacing w:line="500" w:lineRule="exact"/>
        <w:ind w:firstLine="420" w:firstLineChars="200"/>
        <w:rPr>
          <w:rFonts w:hint="default" w:ascii="宋体" w:hAnsi="宋体" w:eastAsia="宋体" w:cs="宋体"/>
          <w:bCs/>
          <w:color w:val="auto"/>
          <w:highlight w:val="none"/>
          <w:u w:val="single"/>
          <w:lang w:val="en-US" w:eastAsia="zh-CN"/>
        </w:rPr>
      </w:pPr>
      <w:r>
        <w:rPr>
          <w:rFonts w:hint="eastAsia" w:ascii="Times New Roman" w:hAnsi="Times New Roman" w:eastAsia="宋体" w:cs="Times New Roman"/>
          <w:bCs/>
          <w:snapToGrid w:val="0"/>
          <w:color w:val="auto"/>
          <w:szCs w:val="24"/>
          <w:highlight w:val="none"/>
          <w:u w:val="none"/>
          <w:lang w:val="en-US" w:eastAsia="zh-CN"/>
        </w:rPr>
        <w:t xml:space="preserve">1.2 </w:t>
      </w:r>
      <w:r>
        <w:rPr>
          <w:rFonts w:hint="eastAsia" w:ascii="宋体" w:hAnsi="宋体" w:eastAsia="宋体" w:cs="宋体"/>
          <w:bCs/>
          <w:snapToGrid w:val="0"/>
          <w:color w:val="auto"/>
          <w:szCs w:val="24"/>
          <w:highlight w:val="none"/>
        </w:rPr>
        <w:t>项目编号：</w:t>
      </w:r>
      <w:r>
        <w:rPr>
          <w:rFonts w:hint="eastAsia" w:ascii="宋体" w:hAnsi="宋体" w:eastAsia="宋体" w:cs="宋体"/>
          <w:bCs/>
          <w:color w:val="auto"/>
          <w:highlight w:val="none"/>
          <w:u w:val="single"/>
          <w:lang w:val="en-US" w:eastAsia="zh-CN"/>
        </w:rPr>
        <w:t>2024TYGSCG</w:t>
      </w:r>
      <w:r>
        <w:rPr>
          <w:rFonts w:hint="eastAsia" w:ascii="宋体" w:hAnsi="宋体" w:cs="宋体"/>
          <w:bCs/>
          <w:color w:val="auto"/>
          <w:highlight w:val="none"/>
          <w:u w:val="single"/>
          <w:lang w:val="en-US" w:eastAsia="zh-CN"/>
        </w:rPr>
        <w:t>53</w:t>
      </w:r>
    </w:p>
    <w:p>
      <w:pPr>
        <w:spacing w:line="500" w:lineRule="exact"/>
        <w:ind w:firstLine="420" w:firstLineChars="200"/>
        <w:rPr>
          <w:rFonts w:hint="eastAsia" w:ascii="宋体" w:hAnsi="宋体" w:eastAsia="宋体" w:cs="宋体"/>
          <w:bCs/>
          <w:snapToGrid w:val="0"/>
          <w:color w:val="auto"/>
          <w:szCs w:val="24"/>
          <w:highlight w:val="none"/>
          <w:u w:val="single"/>
        </w:rPr>
      </w:pPr>
      <w:r>
        <w:rPr>
          <w:rFonts w:hint="eastAsia" w:ascii="Times New Roman" w:hAnsi="Times New Roman" w:eastAsia="宋体" w:cs="Times New Roman"/>
          <w:bCs/>
          <w:snapToGrid w:val="0"/>
          <w:color w:val="auto"/>
          <w:szCs w:val="24"/>
          <w:highlight w:val="none"/>
          <w:u w:val="none"/>
          <w:lang w:val="en-US" w:eastAsia="zh-CN"/>
        </w:rPr>
        <w:t xml:space="preserve">1.3 </w:t>
      </w:r>
      <w:r>
        <w:rPr>
          <w:rFonts w:hint="eastAsia" w:ascii="宋体" w:hAnsi="宋体" w:eastAsia="宋体" w:cs="宋体"/>
          <w:bCs/>
          <w:color w:val="auto"/>
          <w:highlight w:val="none"/>
          <w:u w:val="none"/>
        </w:rPr>
        <w:t>标段划分：</w:t>
      </w:r>
      <w:r>
        <w:rPr>
          <w:rFonts w:hint="eastAsia" w:ascii="宋体" w:hAnsi="宋体" w:eastAsia="宋体" w:cs="宋体"/>
          <w:bCs/>
          <w:color w:val="auto"/>
          <w:highlight w:val="none"/>
          <w:u w:val="single"/>
        </w:rPr>
        <w:t>本招标项</w:t>
      </w:r>
      <w:r>
        <w:rPr>
          <w:rFonts w:hint="eastAsia" w:ascii="宋体" w:hAnsi="宋体" w:eastAsia="宋体" w:cs="宋体"/>
          <w:bCs/>
          <w:snapToGrid w:val="0"/>
          <w:color w:val="auto"/>
          <w:szCs w:val="24"/>
          <w:highlight w:val="none"/>
          <w:u w:val="single"/>
        </w:rPr>
        <w:t>目共分为1个标段</w:t>
      </w:r>
    </w:p>
    <w:p>
      <w:pPr>
        <w:spacing w:line="500" w:lineRule="exact"/>
        <w:ind w:firstLine="420" w:firstLineChars="200"/>
        <w:rPr>
          <w:rFonts w:hint="eastAsia" w:ascii="宋体" w:hAnsi="宋体" w:eastAsia="宋体" w:cs="宋体"/>
          <w:bCs/>
          <w:snapToGrid w:val="0"/>
          <w:color w:val="auto"/>
          <w:szCs w:val="24"/>
          <w:highlight w:val="none"/>
          <w:u w:val="single"/>
        </w:rPr>
      </w:pPr>
      <w:r>
        <w:rPr>
          <w:rFonts w:hint="eastAsia" w:ascii="Times New Roman" w:hAnsi="Times New Roman" w:eastAsia="宋体" w:cs="Times New Roman"/>
          <w:bCs/>
          <w:snapToGrid w:val="0"/>
          <w:color w:val="auto"/>
          <w:szCs w:val="24"/>
          <w:highlight w:val="none"/>
          <w:u w:val="none"/>
          <w:lang w:val="en-US" w:eastAsia="zh-CN"/>
        </w:rPr>
        <w:t xml:space="preserve">1.4 </w:t>
      </w:r>
      <w:r>
        <w:rPr>
          <w:rFonts w:hint="eastAsia" w:ascii="宋体" w:hAnsi="宋体" w:eastAsia="宋体" w:cs="宋体"/>
          <w:bCs/>
          <w:snapToGrid w:val="0"/>
          <w:color w:val="auto"/>
          <w:szCs w:val="24"/>
          <w:highlight w:val="none"/>
          <w:u w:val="none"/>
        </w:rPr>
        <w:t>招标项目标段编号：</w:t>
      </w:r>
      <w:r>
        <w:rPr>
          <w:rFonts w:hint="eastAsia" w:ascii="宋体" w:hAnsi="宋体" w:eastAsia="宋体" w:cs="宋体"/>
          <w:bCs/>
          <w:snapToGrid w:val="0"/>
          <w:color w:val="auto"/>
          <w:szCs w:val="24"/>
          <w:highlight w:val="none"/>
          <w:u w:val="single"/>
          <w:lang w:val="en-US" w:eastAsia="zh-CN"/>
        </w:rPr>
        <w:t>/</w:t>
      </w:r>
      <w:r>
        <w:rPr>
          <w:rFonts w:hint="eastAsia" w:ascii="宋体" w:hAnsi="宋体" w:eastAsia="宋体" w:cs="宋体"/>
          <w:bCs/>
          <w:snapToGrid w:val="0"/>
          <w:color w:val="auto"/>
          <w:szCs w:val="24"/>
          <w:highlight w:val="none"/>
          <w:u w:val="single"/>
        </w:rPr>
        <w:t xml:space="preserve">号 </w:t>
      </w:r>
    </w:p>
    <w:p>
      <w:pPr>
        <w:spacing w:line="500" w:lineRule="exact"/>
        <w:ind w:firstLine="420" w:firstLineChars="200"/>
        <w:rPr>
          <w:rFonts w:hint="eastAsia" w:ascii="宋体" w:hAnsi="宋体" w:eastAsia="宋体" w:cs="宋体"/>
          <w:bCs/>
          <w:snapToGrid w:val="0"/>
          <w:color w:val="auto"/>
          <w:szCs w:val="24"/>
          <w:highlight w:val="none"/>
          <w:u w:val="single"/>
        </w:rPr>
      </w:pPr>
      <w:r>
        <w:rPr>
          <w:rFonts w:hint="eastAsia" w:ascii="Times New Roman" w:hAnsi="Times New Roman"/>
          <w:bCs/>
          <w:snapToGrid w:val="0"/>
          <w:color w:val="auto"/>
          <w:szCs w:val="24"/>
          <w:highlight w:val="none"/>
          <w:u w:val="none"/>
        </w:rPr>
        <w:t xml:space="preserve">1.5 </w:t>
      </w:r>
      <w:r>
        <w:rPr>
          <w:rFonts w:hint="eastAsia" w:ascii="宋体" w:hAnsi="宋体" w:eastAsia="宋体" w:cs="宋体"/>
          <w:bCs/>
          <w:snapToGrid w:val="0"/>
          <w:color w:val="auto"/>
          <w:szCs w:val="24"/>
          <w:highlight w:val="none"/>
          <w:u w:val="none"/>
        </w:rPr>
        <w:t>招标人：</w:t>
      </w:r>
      <w:r>
        <w:rPr>
          <w:rFonts w:hint="eastAsia" w:ascii="宋体" w:hAnsi="宋体" w:eastAsia="宋体" w:cs="宋体"/>
          <w:bCs/>
          <w:snapToGrid w:val="0"/>
          <w:color w:val="auto"/>
          <w:szCs w:val="24"/>
          <w:highlight w:val="none"/>
          <w:u w:val="single"/>
        </w:rPr>
        <w:t>合肥体育产业投资有限公司</w:t>
      </w:r>
    </w:p>
    <w:p>
      <w:pPr>
        <w:spacing w:line="500" w:lineRule="exact"/>
        <w:ind w:firstLine="420" w:firstLineChars="200"/>
        <w:rPr>
          <w:rFonts w:hint="eastAsia" w:ascii="宋体" w:hAnsi="宋体" w:eastAsia="宋体" w:cs="宋体"/>
          <w:bCs/>
          <w:color w:val="auto"/>
          <w:highlight w:val="none"/>
          <w:u w:val="single"/>
          <w:lang w:val="en-US" w:eastAsia="zh-CN"/>
        </w:rPr>
      </w:pPr>
      <w:r>
        <w:rPr>
          <w:rFonts w:hint="eastAsia" w:ascii="Times New Roman" w:hAnsi="Times New Roman"/>
          <w:bCs/>
          <w:snapToGrid w:val="0"/>
          <w:color w:val="auto"/>
          <w:szCs w:val="24"/>
          <w:highlight w:val="none"/>
        </w:rPr>
        <w:t xml:space="preserve">1.6 </w:t>
      </w:r>
      <w:r>
        <w:rPr>
          <w:rFonts w:hint="eastAsia" w:ascii="宋体" w:hAnsi="宋体" w:eastAsia="宋体" w:cs="宋体"/>
          <w:bCs/>
          <w:snapToGrid w:val="0"/>
          <w:color w:val="auto"/>
          <w:szCs w:val="24"/>
          <w:highlight w:val="none"/>
        </w:rPr>
        <w:t>招标范围：</w:t>
      </w:r>
      <w:r>
        <w:rPr>
          <w:rFonts w:hint="eastAsia" w:ascii="宋体" w:hAnsi="宋体" w:eastAsia="宋体" w:cs="宋体"/>
          <w:bCs/>
          <w:snapToGrid w:val="0"/>
          <w:color w:val="auto"/>
          <w:szCs w:val="24"/>
          <w:highlight w:val="none"/>
          <w:u w:val="single"/>
          <w:lang w:val="en-US" w:eastAsia="zh-CN"/>
        </w:rPr>
        <w:t>2025年度</w:t>
      </w:r>
      <w:r>
        <w:rPr>
          <w:rFonts w:hint="eastAsia" w:ascii="宋体" w:hAnsi="宋体" w:eastAsia="宋体" w:cs="宋体"/>
          <w:bCs/>
          <w:color w:val="auto"/>
          <w:highlight w:val="none"/>
          <w:u w:val="single"/>
          <w:lang w:val="en-US" w:eastAsia="zh-CN"/>
        </w:rPr>
        <w:t>体育赛事综合宣传服务</w:t>
      </w:r>
    </w:p>
    <w:p>
      <w:pPr>
        <w:spacing w:line="500" w:lineRule="exact"/>
        <w:ind w:firstLine="420" w:firstLineChars="200"/>
        <w:rPr>
          <w:rFonts w:hint="eastAsia" w:ascii="宋体" w:hAnsi="宋体" w:eastAsia="宋体" w:cs="宋体"/>
          <w:bCs/>
          <w:snapToGrid w:val="0"/>
          <w:color w:val="auto"/>
          <w:szCs w:val="24"/>
          <w:highlight w:val="none"/>
        </w:rPr>
      </w:pPr>
      <w:r>
        <w:rPr>
          <w:rFonts w:hint="eastAsia" w:ascii="Times New Roman" w:hAnsi="Times New Roman"/>
          <w:bCs/>
          <w:snapToGrid w:val="0"/>
          <w:color w:val="auto"/>
          <w:szCs w:val="24"/>
          <w:highlight w:val="none"/>
        </w:rPr>
        <w:t xml:space="preserve">1.7 </w:t>
      </w:r>
      <w:r>
        <w:rPr>
          <w:rFonts w:hint="eastAsia" w:ascii="宋体" w:hAnsi="宋体" w:eastAsia="宋体" w:cs="宋体"/>
          <w:bCs/>
          <w:snapToGrid w:val="0"/>
          <w:color w:val="auto"/>
          <w:szCs w:val="24"/>
          <w:highlight w:val="none"/>
        </w:rPr>
        <w:t xml:space="preserve">项目概算： </w:t>
      </w:r>
      <w:r>
        <w:rPr>
          <w:rFonts w:hint="eastAsia" w:ascii="宋体" w:hAnsi="宋体" w:eastAsia="宋体" w:cs="宋体"/>
          <w:bCs/>
          <w:snapToGrid w:val="0"/>
          <w:color w:val="auto"/>
          <w:szCs w:val="24"/>
          <w:highlight w:val="none"/>
          <w:u w:val="single"/>
        </w:rPr>
        <w:t>2</w:t>
      </w:r>
      <w:r>
        <w:rPr>
          <w:rFonts w:hint="eastAsia" w:ascii="宋体" w:hAnsi="宋体" w:eastAsia="宋体" w:cs="宋体"/>
          <w:bCs/>
          <w:snapToGrid w:val="0"/>
          <w:color w:val="auto"/>
          <w:szCs w:val="24"/>
          <w:highlight w:val="none"/>
          <w:u w:val="single"/>
          <w:lang w:val="en-US" w:eastAsia="zh-CN"/>
        </w:rPr>
        <w:t>8</w:t>
      </w:r>
      <w:r>
        <w:rPr>
          <w:rFonts w:hint="eastAsia" w:ascii="宋体" w:hAnsi="宋体" w:eastAsia="宋体" w:cs="宋体"/>
          <w:bCs/>
          <w:snapToGrid w:val="0"/>
          <w:color w:val="auto"/>
          <w:szCs w:val="24"/>
          <w:highlight w:val="none"/>
          <w:u w:val="single"/>
        </w:rPr>
        <w:t>万元</w:t>
      </w:r>
      <w:r>
        <w:rPr>
          <w:rFonts w:hint="eastAsia" w:ascii="宋体" w:hAnsi="宋体" w:eastAsia="宋体" w:cs="宋体"/>
          <w:bCs/>
          <w:snapToGrid w:val="0"/>
          <w:color w:val="auto"/>
          <w:szCs w:val="24"/>
          <w:highlight w:val="none"/>
        </w:rPr>
        <w:t xml:space="preserve">                        </w:t>
      </w:r>
    </w:p>
    <w:p>
      <w:pPr>
        <w:spacing w:line="500" w:lineRule="exact"/>
        <w:ind w:firstLine="420" w:firstLineChars="200"/>
        <w:rPr>
          <w:rFonts w:hint="eastAsia" w:ascii="宋体" w:hAnsi="宋体" w:eastAsia="宋体" w:cs="宋体"/>
          <w:bCs/>
          <w:snapToGrid w:val="0"/>
          <w:color w:val="auto"/>
          <w:szCs w:val="24"/>
          <w:highlight w:val="none"/>
        </w:rPr>
      </w:pPr>
      <w:r>
        <w:rPr>
          <w:rFonts w:hint="eastAsia" w:ascii="Times New Roman" w:hAnsi="Times New Roman"/>
          <w:bCs/>
          <w:snapToGrid w:val="0"/>
          <w:color w:val="auto"/>
          <w:szCs w:val="24"/>
          <w:highlight w:val="none"/>
        </w:rPr>
        <w:t xml:space="preserve">1.8 </w:t>
      </w:r>
      <w:r>
        <w:rPr>
          <w:rFonts w:hint="eastAsia" w:ascii="宋体" w:hAnsi="宋体" w:eastAsia="宋体" w:cs="宋体"/>
          <w:bCs/>
          <w:snapToGrid w:val="0"/>
          <w:color w:val="auto"/>
          <w:szCs w:val="24"/>
          <w:highlight w:val="none"/>
        </w:rPr>
        <w:t>资金来源：</w:t>
      </w:r>
      <w:r>
        <w:rPr>
          <w:rFonts w:hint="eastAsia" w:ascii="宋体" w:hAnsi="宋体" w:eastAsia="宋体" w:cs="宋体"/>
          <w:bCs/>
          <w:snapToGrid w:val="0"/>
          <w:color w:val="auto"/>
          <w:szCs w:val="24"/>
          <w:highlight w:val="none"/>
          <w:u w:val="single"/>
        </w:rPr>
        <w:t>自筹</w:t>
      </w:r>
      <w:r>
        <w:rPr>
          <w:rFonts w:hint="eastAsia" w:ascii="宋体" w:hAnsi="宋体" w:eastAsia="宋体" w:cs="宋体"/>
          <w:bCs/>
          <w:snapToGrid w:val="0"/>
          <w:color w:val="auto"/>
          <w:szCs w:val="24"/>
          <w:highlight w:val="none"/>
        </w:rPr>
        <w:t xml:space="preserve">                                </w:t>
      </w:r>
    </w:p>
    <w:p>
      <w:pPr>
        <w:spacing w:line="500" w:lineRule="exact"/>
        <w:ind w:firstLine="420" w:firstLineChars="200"/>
        <w:rPr>
          <w:rFonts w:hint="eastAsia" w:ascii="宋体" w:hAnsi="宋体" w:eastAsia="宋体" w:cs="宋体"/>
          <w:bCs/>
          <w:snapToGrid w:val="0"/>
          <w:color w:val="auto"/>
          <w:szCs w:val="24"/>
          <w:highlight w:val="none"/>
        </w:rPr>
      </w:pPr>
      <w:r>
        <w:rPr>
          <w:rFonts w:hint="eastAsia" w:ascii="Times New Roman" w:hAnsi="Times New Roman"/>
          <w:bCs/>
          <w:snapToGrid w:val="0"/>
          <w:color w:val="auto"/>
          <w:szCs w:val="24"/>
          <w:highlight w:val="none"/>
        </w:rPr>
        <w:t xml:space="preserve">1.9 </w:t>
      </w:r>
      <w:r>
        <w:rPr>
          <w:rFonts w:hint="eastAsia" w:ascii="宋体" w:hAnsi="宋体" w:eastAsia="宋体" w:cs="宋体"/>
          <w:bCs/>
          <w:snapToGrid w:val="0"/>
          <w:color w:val="auto"/>
          <w:szCs w:val="24"/>
          <w:highlight w:val="none"/>
        </w:rPr>
        <w:t>项目性质：</w:t>
      </w:r>
      <w:r>
        <w:rPr>
          <w:rFonts w:hint="eastAsia" w:ascii="宋体" w:hAnsi="宋体" w:eastAsia="宋体" w:cs="宋体"/>
          <w:bCs/>
          <w:snapToGrid w:val="0"/>
          <w:color w:val="auto"/>
          <w:szCs w:val="24"/>
          <w:highlight w:val="none"/>
          <w:u w:val="single"/>
        </w:rPr>
        <w:t>服务类</w:t>
      </w:r>
      <w:r>
        <w:rPr>
          <w:rFonts w:hint="eastAsia" w:ascii="宋体" w:hAnsi="宋体" w:eastAsia="宋体" w:cs="宋体"/>
          <w:bCs/>
          <w:snapToGrid w:val="0"/>
          <w:color w:val="auto"/>
          <w:szCs w:val="24"/>
          <w:highlight w:val="none"/>
        </w:rPr>
        <w:t xml:space="preserve">                                                                     </w:t>
      </w:r>
    </w:p>
    <w:p>
      <w:pPr>
        <w:spacing w:line="500" w:lineRule="exact"/>
        <w:ind w:firstLine="420" w:firstLineChars="200"/>
        <w:rPr>
          <w:rFonts w:ascii="Times New Roman" w:hAnsi="Times New Roman"/>
          <w:bCs/>
          <w:snapToGrid w:val="0"/>
          <w:color w:val="auto"/>
          <w:szCs w:val="24"/>
          <w:highlight w:val="none"/>
        </w:rPr>
      </w:pPr>
      <w:r>
        <w:rPr>
          <w:rFonts w:hint="eastAsia" w:ascii="Times New Roman" w:hAnsi="Times New Roman"/>
          <w:bCs/>
          <w:snapToGrid w:val="0"/>
          <w:color w:val="auto"/>
          <w:szCs w:val="24"/>
          <w:highlight w:val="none"/>
        </w:rPr>
        <w:t xml:space="preserve">1.10 </w:t>
      </w:r>
      <w:r>
        <w:rPr>
          <w:rFonts w:hint="eastAsia" w:ascii="宋体" w:hAnsi="宋体" w:eastAsia="宋体" w:cs="宋体"/>
          <w:bCs/>
          <w:snapToGrid w:val="0"/>
          <w:color w:val="auto"/>
          <w:szCs w:val="24"/>
          <w:highlight w:val="none"/>
        </w:rPr>
        <w:t xml:space="preserve">其他： </w:t>
      </w:r>
      <w:r>
        <w:rPr>
          <w:rFonts w:hint="eastAsia" w:ascii="宋体" w:hAnsi="宋体" w:eastAsia="宋体" w:cs="宋体"/>
          <w:bCs/>
          <w:snapToGrid w:val="0"/>
          <w:color w:val="auto"/>
          <w:szCs w:val="24"/>
          <w:highlight w:val="none"/>
          <w:u w:val="single"/>
          <w:lang w:val="en-US" w:eastAsia="zh-CN"/>
        </w:rPr>
        <w:t xml:space="preserve"> </w:t>
      </w:r>
      <w:r>
        <w:rPr>
          <w:rFonts w:hint="eastAsia" w:ascii="宋体" w:hAnsi="宋体" w:eastAsia="宋体" w:cs="宋体"/>
          <w:bCs/>
          <w:snapToGrid w:val="0"/>
          <w:color w:val="auto"/>
          <w:szCs w:val="24"/>
          <w:highlight w:val="none"/>
          <w:u w:val="single"/>
        </w:rPr>
        <w:t xml:space="preserve">无 </w:t>
      </w:r>
      <w:r>
        <w:rPr>
          <w:rFonts w:hint="eastAsia" w:ascii="宋体" w:hAnsi="宋体" w:eastAsia="宋体" w:cs="宋体"/>
          <w:bCs/>
          <w:snapToGrid w:val="0"/>
          <w:color w:val="auto"/>
          <w:szCs w:val="24"/>
          <w:highlight w:val="none"/>
        </w:rPr>
        <w:t xml:space="preserve">             </w:t>
      </w:r>
      <w:r>
        <w:rPr>
          <w:rFonts w:ascii="Times New Roman" w:hAnsi="Times New Roman"/>
          <w:bCs/>
          <w:snapToGrid w:val="0"/>
          <w:color w:val="auto"/>
          <w:szCs w:val="24"/>
          <w:highlight w:val="none"/>
        </w:rPr>
        <w:t xml:space="preserve">                       </w:t>
      </w:r>
    </w:p>
    <w:p>
      <w:pPr>
        <w:spacing w:line="500" w:lineRule="exact"/>
        <w:rPr>
          <w:rFonts w:ascii="Times New Roman" w:hAnsi="Times New Roman" w:eastAsia="黑体"/>
          <w:color w:val="auto"/>
          <w:sz w:val="24"/>
          <w:highlight w:val="none"/>
        </w:rPr>
      </w:pPr>
      <w:bookmarkStart w:id="10" w:name="_Toc12115"/>
      <w:r>
        <w:rPr>
          <w:rFonts w:ascii="Times New Roman" w:hAnsi="Times New Roman" w:eastAsia="黑体"/>
          <w:color w:val="auto"/>
          <w:sz w:val="24"/>
          <w:highlight w:val="none"/>
        </w:rPr>
        <w:t>2. 投标人资格要求</w:t>
      </w:r>
      <w:bookmarkEnd w:id="10"/>
    </w:p>
    <w:p>
      <w:pPr>
        <w:spacing w:line="500" w:lineRule="exact"/>
        <w:ind w:firstLine="420" w:firstLineChars="200"/>
        <w:rPr>
          <w:rFonts w:hint="eastAsia" w:ascii="Times New Roman" w:hAnsi="Times New Roman" w:eastAsia="宋体" w:cs="Times New Roman"/>
          <w:bCs/>
          <w:snapToGrid w:val="0"/>
          <w:color w:val="auto"/>
          <w:szCs w:val="24"/>
          <w:highlight w:val="none"/>
          <w:u w:val="none"/>
        </w:rPr>
      </w:pPr>
      <w:r>
        <w:rPr>
          <w:rFonts w:hint="eastAsia" w:ascii="Times New Roman" w:hAnsi="Times New Roman" w:eastAsia="宋体" w:cs="Times New Roman"/>
          <w:bCs/>
          <w:snapToGrid w:val="0"/>
          <w:color w:val="auto"/>
          <w:szCs w:val="24"/>
          <w:highlight w:val="none"/>
          <w:u w:val="none"/>
          <w:lang w:val="en-US" w:eastAsia="zh-CN"/>
        </w:rPr>
        <w:t>2.1</w:t>
      </w:r>
      <w:r>
        <w:rPr>
          <w:rFonts w:hint="eastAsia" w:ascii="Times New Roman" w:hAnsi="Times New Roman" w:eastAsia="宋体" w:cs="Times New Roman"/>
          <w:bCs/>
          <w:snapToGrid w:val="0"/>
          <w:color w:val="auto"/>
          <w:szCs w:val="24"/>
          <w:highlight w:val="none"/>
          <w:u w:val="none"/>
        </w:rPr>
        <w:t>供应商须在中华人民共和国境内依法注册，具有完成本项目的能力；</w:t>
      </w:r>
    </w:p>
    <w:p>
      <w:pPr>
        <w:spacing w:line="500" w:lineRule="exact"/>
        <w:ind w:firstLine="420" w:firstLineChars="200"/>
        <w:outlineLvl w:val="2"/>
        <w:rPr>
          <w:rFonts w:hint="eastAsia" w:ascii="Times New Roman" w:hAnsi="Times New Roman" w:eastAsia="宋体" w:cs="Times New Roman"/>
          <w:bCs/>
          <w:snapToGrid w:val="0"/>
          <w:color w:val="auto"/>
          <w:szCs w:val="24"/>
          <w:highlight w:val="none"/>
          <w:u w:val="none"/>
        </w:rPr>
      </w:pPr>
      <w:r>
        <w:rPr>
          <w:rFonts w:hint="eastAsia" w:ascii="Times New Roman" w:hAnsi="Times New Roman" w:eastAsia="宋体" w:cs="Times New Roman"/>
          <w:bCs/>
          <w:snapToGrid w:val="0"/>
          <w:color w:val="auto"/>
          <w:szCs w:val="24"/>
          <w:highlight w:val="none"/>
          <w:u w:val="none"/>
          <w:lang w:val="en-US" w:eastAsia="zh-CN"/>
        </w:rPr>
        <w:t>2.2</w:t>
      </w:r>
      <w:r>
        <w:rPr>
          <w:rFonts w:hint="eastAsia" w:ascii="Times New Roman" w:hAnsi="Times New Roman" w:eastAsia="宋体" w:cs="Times New Roman"/>
          <w:bCs/>
          <w:snapToGrid w:val="0"/>
          <w:color w:val="auto"/>
          <w:szCs w:val="24"/>
          <w:highlight w:val="none"/>
          <w:u w:val="none"/>
        </w:rPr>
        <w:t>本项目的特定资格要求：无。</w:t>
      </w:r>
    </w:p>
    <w:p>
      <w:pPr>
        <w:spacing w:line="500" w:lineRule="exact"/>
        <w:ind w:firstLine="420" w:firstLineChars="200"/>
        <w:rPr>
          <w:rFonts w:hint="eastAsia" w:ascii="Times New Roman" w:hAnsi="Times New Roman" w:eastAsia="宋体" w:cs="Times New Roman"/>
          <w:bCs/>
          <w:snapToGrid w:val="0"/>
          <w:color w:val="auto"/>
          <w:szCs w:val="24"/>
          <w:highlight w:val="none"/>
          <w:u w:val="none"/>
        </w:rPr>
      </w:pPr>
      <w:r>
        <w:rPr>
          <w:rFonts w:hint="eastAsia" w:ascii="Times New Roman" w:hAnsi="Times New Roman" w:eastAsia="宋体" w:cs="Times New Roman"/>
          <w:bCs/>
          <w:snapToGrid w:val="0"/>
          <w:color w:val="auto"/>
          <w:szCs w:val="24"/>
          <w:highlight w:val="none"/>
          <w:u w:val="none"/>
          <w:lang w:val="en-US" w:eastAsia="zh-CN"/>
        </w:rPr>
        <w:t>2.3</w:t>
      </w:r>
      <w:r>
        <w:rPr>
          <w:rFonts w:hint="eastAsia" w:ascii="Times New Roman" w:hAnsi="Times New Roman" w:eastAsia="宋体" w:cs="Times New Roman"/>
          <w:bCs/>
          <w:snapToGrid w:val="0"/>
          <w:color w:val="auto"/>
          <w:szCs w:val="24"/>
          <w:highlight w:val="none"/>
          <w:u w:val="none"/>
        </w:rPr>
        <w:t>供应商存在以下不良信用记录情形之一的，不得推荐为成交候选供应商，不得确定为成交供应商：</w:t>
      </w:r>
    </w:p>
    <w:p>
      <w:pPr>
        <w:spacing w:line="500" w:lineRule="exact"/>
        <w:ind w:firstLine="420" w:firstLineChars="200"/>
        <w:rPr>
          <w:rFonts w:hint="eastAsia" w:ascii="Times New Roman" w:hAnsi="Times New Roman" w:eastAsia="宋体" w:cs="Times New Roman"/>
          <w:bCs/>
          <w:snapToGrid w:val="0"/>
          <w:color w:val="auto"/>
          <w:szCs w:val="24"/>
          <w:highlight w:val="none"/>
          <w:u w:val="none"/>
        </w:rPr>
      </w:pPr>
      <w:r>
        <w:rPr>
          <w:rFonts w:hint="eastAsia" w:ascii="Times New Roman" w:hAnsi="Times New Roman"/>
          <w:bCs/>
          <w:snapToGrid w:val="0"/>
          <w:color w:val="auto"/>
          <w:kern w:val="0"/>
          <w:szCs w:val="21"/>
          <w:highlight w:val="none"/>
          <w:lang w:val="en-US" w:eastAsia="zh-CN"/>
        </w:rPr>
        <w:t>（1）</w:t>
      </w:r>
      <w:r>
        <w:rPr>
          <w:rFonts w:hint="eastAsia" w:ascii="Times New Roman" w:hAnsi="Times New Roman" w:eastAsia="宋体" w:cs="Times New Roman"/>
          <w:bCs/>
          <w:snapToGrid w:val="0"/>
          <w:color w:val="auto"/>
          <w:szCs w:val="24"/>
          <w:highlight w:val="none"/>
          <w:u w:val="none"/>
        </w:rPr>
        <w:t>供应商被人民法院列入失信被执行人的；</w:t>
      </w:r>
    </w:p>
    <w:p>
      <w:pPr>
        <w:spacing w:line="500" w:lineRule="exact"/>
        <w:ind w:firstLine="420" w:firstLineChars="200"/>
        <w:rPr>
          <w:rFonts w:hint="eastAsia" w:ascii="Times New Roman" w:hAnsi="Times New Roman" w:eastAsia="宋体" w:cs="Times New Roman"/>
          <w:bCs/>
          <w:snapToGrid w:val="0"/>
          <w:color w:val="auto"/>
          <w:szCs w:val="24"/>
          <w:highlight w:val="none"/>
          <w:u w:val="none"/>
        </w:rPr>
      </w:pPr>
      <w:r>
        <w:rPr>
          <w:rFonts w:hint="eastAsia" w:ascii="Times New Roman" w:hAnsi="Times New Roman"/>
          <w:bCs/>
          <w:snapToGrid w:val="0"/>
          <w:color w:val="auto"/>
          <w:kern w:val="0"/>
          <w:szCs w:val="21"/>
          <w:highlight w:val="none"/>
          <w:lang w:val="en-US" w:eastAsia="zh-CN"/>
        </w:rPr>
        <w:t>（2）</w:t>
      </w:r>
      <w:r>
        <w:rPr>
          <w:rFonts w:hint="eastAsia" w:ascii="Times New Roman" w:hAnsi="Times New Roman" w:eastAsia="宋体" w:cs="Times New Roman"/>
          <w:bCs/>
          <w:snapToGrid w:val="0"/>
          <w:color w:val="auto"/>
          <w:szCs w:val="24"/>
          <w:highlight w:val="none"/>
          <w:u w:val="none"/>
        </w:rPr>
        <w:t>供应商被税务部门列入重大税收违法案件当事人名单的；</w:t>
      </w:r>
    </w:p>
    <w:p>
      <w:pPr>
        <w:spacing w:line="500" w:lineRule="exact"/>
        <w:ind w:firstLine="420" w:firstLineChars="200"/>
        <w:rPr>
          <w:rFonts w:hint="eastAsia" w:ascii="Times New Roman" w:hAnsi="Times New Roman" w:eastAsia="宋体" w:cs="Times New Roman"/>
          <w:bCs/>
          <w:snapToGrid w:val="0"/>
          <w:color w:val="auto"/>
          <w:szCs w:val="24"/>
          <w:highlight w:val="none"/>
          <w:u w:val="none"/>
        </w:rPr>
      </w:pPr>
      <w:r>
        <w:rPr>
          <w:rFonts w:hint="eastAsia" w:ascii="Times New Roman" w:hAnsi="Times New Roman"/>
          <w:bCs/>
          <w:snapToGrid w:val="0"/>
          <w:color w:val="auto"/>
          <w:kern w:val="0"/>
          <w:szCs w:val="21"/>
          <w:highlight w:val="none"/>
          <w:lang w:val="en-US" w:eastAsia="zh-CN"/>
        </w:rPr>
        <w:t>（3）</w:t>
      </w:r>
      <w:r>
        <w:rPr>
          <w:rFonts w:hint="eastAsia" w:ascii="Times New Roman" w:hAnsi="Times New Roman" w:eastAsia="宋体" w:cs="Times New Roman"/>
          <w:bCs/>
          <w:snapToGrid w:val="0"/>
          <w:color w:val="auto"/>
          <w:szCs w:val="24"/>
          <w:highlight w:val="none"/>
          <w:u w:val="none"/>
        </w:rPr>
        <w:t>供应商被被政府采购监管部门列入政府采购严重违法失信行为记录名单。</w:t>
      </w:r>
    </w:p>
    <w:p>
      <w:pPr>
        <w:spacing w:line="500" w:lineRule="exact"/>
        <w:ind w:firstLine="420" w:firstLineChars="200"/>
        <w:rPr>
          <w:rFonts w:hint="eastAsia" w:ascii="Times New Roman" w:hAnsi="Times New Roman" w:eastAsia="宋体" w:cs="Times New Roman"/>
          <w:bCs/>
          <w:snapToGrid w:val="0"/>
          <w:color w:val="auto"/>
          <w:szCs w:val="24"/>
          <w:highlight w:val="none"/>
          <w:u w:val="none"/>
        </w:rPr>
      </w:pPr>
      <w:r>
        <w:rPr>
          <w:rFonts w:hint="eastAsia" w:ascii="Times New Roman" w:hAnsi="Times New Roman" w:eastAsia="宋体" w:cs="Times New Roman"/>
          <w:bCs/>
          <w:snapToGrid w:val="0"/>
          <w:color w:val="auto"/>
          <w:szCs w:val="24"/>
          <w:highlight w:val="none"/>
          <w:u w:val="none"/>
        </w:rPr>
        <w:t>2.</w:t>
      </w:r>
      <w:r>
        <w:rPr>
          <w:rFonts w:hint="eastAsia" w:ascii="Times New Roman" w:hAnsi="Times New Roman" w:eastAsia="宋体" w:cs="Times New Roman"/>
          <w:bCs/>
          <w:snapToGrid w:val="0"/>
          <w:color w:val="auto"/>
          <w:szCs w:val="24"/>
          <w:highlight w:val="none"/>
          <w:u w:val="none"/>
          <w:lang w:val="en-US" w:eastAsia="zh-CN"/>
        </w:rPr>
        <w:t>4</w:t>
      </w:r>
      <w:r>
        <w:rPr>
          <w:rFonts w:hint="eastAsia" w:ascii="Times New Roman" w:hAnsi="Times New Roman" w:eastAsia="宋体" w:cs="Times New Roman"/>
          <w:bCs/>
          <w:snapToGrid w:val="0"/>
          <w:color w:val="auto"/>
          <w:szCs w:val="24"/>
          <w:highlight w:val="none"/>
          <w:u w:val="none"/>
        </w:rPr>
        <w:t>本次招标不接受联合体投标。</w:t>
      </w:r>
    </w:p>
    <w:p>
      <w:pPr>
        <w:spacing w:line="500" w:lineRule="exact"/>
        <w:outlineLvl w:val="1"/>
        <w:rPr>
          <w:rFonts w:eastAsia="黑体"/>
          <w:color w:val="auto"/>
          <w:sz w:val="24"/>
          <w:highlight w:val="none"/>
        </w:rPr>
      </w:pPr>
      <w:bookmarkStart w:id="11" w:name="_Toc1767"/>
      <w:r>
        <w:rPr>
          <w:rFonts w:eastAsia="黑体"/>
          <w:color w:val="auto"/>
          <w:sz w:val="24"/>
          <w:highlight w:val="none"/>
        </w:rPr>
        <w:t>3. 招标文件的获取</w:t>
      </w:r>
      <w:r>
        <w:rPr>
          <w:rFonts w:hint="eastAsia" w:eastAsia="黑体"/>
          <w:color w:val="auto"/>
          <w:sz w:val="24"/>
          <w:highlight w:val="none"/>
        </w:rPr>
        <w:t>及报名</w:t>
      </w:r>
      <w:bookmarkEnd w:id="11"/>
    </w:p>
    <w:p>
      <w:pPr>
        <w:widowControl/>
        <w:spacing w:line="500" w:lineRule="exact"/>
        <w:ind w:firstLine="420" w:firstLineChars="200"/>
        <w:jc w:val="left"/>
        <w:rPr>
          <w:rFonts w:hint="eastAsia" w:eastAsia="宋体"/>
          <w:bCs/>
          <w:snapToGrid w:val="0"/>
          <w:color w:val="auto"/>
          <w:highlight w:val="none"/>
          <w:lang w:eastAsia="zh-CN"/>
        </w:rPr>
      </w:pPr>
      <w:r>
        <w:rPr>
          <w:bCs/>
          <w:snapToGrid w:val="0"/>
          <w:color w:val="auto"/>
          <w:highlight w:val="none"/>
        </w:rPr>
        <w:t xml:space="preserve">3.1 </w:t>
      </w:r>
      <w:r>
        <w:rPr>
          <w:rFonts w:hint="eastAsia"/>
          <w:bCs/>
          <w:snapToGrid w:val="0"/>
          <w:color w:val="auto"/>
          <w:highlight w:val="none"/>
        </w:rPr>
        <w:t>报名</w:t>
      </w:r>
      <w:r>
        <w:rPr>
          <w:bCs/>
          <w:snapToGrid w:val="0"/>
          <w:color w:val="auto"/>
          <w:highlight w:val="none"/>
        </w:rPr>
        <w:t>时间：</w:t>
      </w:r>
      <w:r>
        <w:rPr>
          <w:rFonts w:hint="eastAsia"/>
          <w:bCs/>
          <w:snapToGrid w:val="0"/>
          <w:color w:val="auto"/>
          <w:kern w:val="0"/>
          <w:szCs w:val="21"/>
          <w:highlight w:val="none"/>
          <w:u w:val="single"/>
          <w:lang w:val="en-US" w:eastAsia="zh-CN"/>
        </w:rPr>
        <w:t>2025</w:t>
      </w:r>
      <w:r>
        <w:rPr>
          <w:bCs/>
          <w:snapToGrid w:val="0"/>
          <w:color w:val="auto"/>
          <w:highlight w:val="none"/>
        </w:rPr>
        <w:t>年</w:t>
      </w:r>
      <w:r>
        <w:rPr>
          <w:rFonts w:hint="eastAsia"/>
          <w:bCs/>
          <w:snapToGrid w:val="0"/>
          <w:color w:val="auto"/>
          <w:kern w:val="0"/>
          <w:szCs w:val="21"/>
          <w:highlight w:val="none"/>
          <w:u w:val="single"/>
          <w:lang w:val="en-US" w:eastAsia="zh-CN"/>
        </w:rPr>
        <w:t>1</w:t>
      </w:r>
      <w:r>
        <w:rPr>
          <w:bCs/>
          <w:snapToGrid w:val="0"/>
          <w:color w:val="auto"/>
          <w:highlight w:val="none"/>
        </w:rPr>
        <w:t>月</w:t>
      </w:r>
      <w:r>
        <w:rPr>
          <w:rFonts w:hint="eastAsia"/>
          <w:bCs/>
          <w:snapToGrid w:val="0"/>
          <w:color w:val="auto"/>
          <w:highlight w:val="none"/>
          <w:u w:val="single"/>
          <w:lang w:val="en-US" w:eastAsia="zh-CN"/>
        </w:rPr>
        <w:t>13</w:t>
      </w:r>
      <w:r>
        <w:rPr>
          <w:bCs/>
          <w:snapToGrid w:val="0"/>
          <w:color w:val="auto"/>
          <w:highlight w:val="none"/>
        </w:rPr>
        <w:t>日至</w:t>
      </w:r>
      <w:r>
        <w:rPr>
          <w:rFonts w:hint="eastAsia"/>
          <w:bCs/>
          <w:snapToGrid w:val="0"/>
          <w:color w:val="auto"/>
          <w:kern w:val="0"/>
          <w:szCs w:val="21"/>
          <w:highlight w:val="none"/>
          <w:u w:val="single"/>
          <w:lang w:val="en-US" w:eastAsia="zh-CN"/>
        </w:rPr>
        <w:t>2025</w:t>
      </w:r>
      <w:r>
        <w:rPr>
          <w:bCs/>
          <w:snapToGrid w:val="0"/>
          <w:color w:val="auto"/>
          <w:highlight w:val="none"/>
        </w:rPr>
        <w:t>年</w:t>
      </w:r>
      <w:r>
        <w:rPr>
          <w:rFonts w:hint="eastAsia"/>
          <w:bCs/>
          <w:snapToGrid w:val="0"/>
          <w:color w:val="auto"/>
          <w:kern w:val="0"/>
          <w:szCs w:val="21"/>
          <w:highlight w:val="none"/>
          <w:u w:val="single"/>
          <w:lang w:val="en-US" w:eastAsia="zh-CN"/>
        </w:rPr>
        <w:t>1</w:t>
      </w:r>
      <w:r>
        <w:rPr>
          <w:bCs/>
          <w:snapToGrid w:val="0"/>
          <w:color w:val="auto"/>
          <w:highlight w:val="none"/>
        </w:rPr>
        <w:t>月</w:t>
      </w:r>
      <w:r>
        <w:rPr>
          <w:rFonts w:hint="eastAsia"/>
          <w:bCs/>
          <w:snapToGrid w:val="0"/>
          <w:color w:val="auto"/>
          <w:highlight w:val="none"/>
          <w:u w:val="single"/>
          <w:lang w:val="en-US" w:eastAsia="zh-CN"/>
        </w:rPr>
        <w:t>19</w:t>
      </w:r>
      <w:r>
        <w:rPr>
          <w:bCs/>
          <w:snapToGrid w:val="0"/>
          <w:color w:val="auto"/>
          <w:highlight w:val="none"/>
        </w:rPr>
        <w:t>日</w:t>
      </w:r>
      <w:r>
        <w:rPr>
          <w:rFonts w:hint="eastAsia"/>
          <w:bCs/>
          <w:snapToGrid w:val="0"/>
          <w:color w:val="auto"/>
          <w:highlight w:val="none"/>
          <w:lang w:eastAsia="zh-CN"/>
        </w:rPr>
        <w:t>（</w:t>
      </w:r>
      <w:r>
        <w:rPr>
          <w:bCs/>
          <w:snapToGrid w:val="0"/>
          <w:color w:val="auto"/>
          <w:highlight w:val="none"/>
        </w:rPr>
        <w:t>北京时间</w:t>
      </w:r>
      <w:r>
        <w:rPr>
          <w:rFonts w:hint="eastAsia"/>
          <w:bCs/>
          <w:snapToGrid w:val="0"/>
          <w:color w:val="auto"/>
          <w:highlight w:val="none"/>
          <w:lang w:eastAsia="zh-CN"/>
        </w:rPr>
        <w:t>）</w:t>
      </w:r>
    </w:p>
    <w:p>
      <w:pPr>
        <w:widowControl/>
        <w:spacing w:line="500" w:lineRule="exact"/>
        <w:ind w:firstLine="420" w:firstLineChars="200"/>
        <w:jc w:val="left"/>
        <w:rPr>
          <w:bCs/>
          <w:snapToGrid w:val="0"/>
          <w:color w:val="auto"/>
          <w:highlight w:val="none"/>
        </w:rPr>
      </w:pPr>
      <w:r>
        <w:rPr>
          <w:bCs/>
          <w:snapToGrid w:val="0"/>
          <w:color w:val="auto"/>
          <w:highlight w:val="none"/>
        </w:rPr>
        <w:t xml:space="preserve">3.2 </w:t>
      </w:r>
      <w:r>
        <w:rPr>
          <w:rFonts w:hint="eastAsia"/>
          <w:bCs/>
          <w:snapToGrid w:val="0"/>
          <w:color w:val="auto"/>
          <w:highlight w:val="none"/>
        </w:rPr>
        <w:t>招标文件获取</w:t>
      </w:r>
      <w:r>
        <w:rPr>
          <w:bCs/>
          <w:snapToGrid w:val="0"/>
          <w:color w:val="auto"/>
          <w:highlight w:val="none"/>
        </w:rPr>
        <w:t>方式：投标人登录</w:t>
      </w:r>
      <w:r>
        <w:rPr>
          <w:rFonts w:hint="eastAsia"/>
          <w:bCs/>
          <w:snapToGrid w:val="0"/>
          <w:color w:val="auto"/>
          <w:highlight w:val="none"/>
          <w:lang w:val="en-US" w:eastAsia="zh-CN"/>
        </w:rPr>
        <w:t>合肥体育产业投资</w:t>
      </w:r>
      <w:r>
        <w:rPr>
          <w:bCs/>
          <w:snapToGrid w:val="0"/>
          <w:color w:val="auto"/>
          <w:highlight w:val="none"/>
        </w:rPr>
        <w:t>有限公司网（</w:t>
      </w:r>
      <w:r>
        <w:rPr>
          <w:rFonts w:hint="eastAsia"/>
          <w:bCs/>
          <w:snapToGrid w:val="0"/>
          <w:color w:val="auto"/>
          <w:highlight w:val="none"/>
        </w:rPr>
        <w:t>http://www.hftycy.com/</w:t>
      </w:r>
      <w:r>
        <w:rPr>
          <w:bCs/>
          <w:snapToGrid w:val="0"/>
          <w:color w:val="auto"/>
          <w:highlight w:val="none"/>
        </w:rPr>
        <w:t>）下载招标文件</w:t>
      </w:r>
    </w:p>
    <w:p>
      <w:pPr>
        <w:widowControl/>
        <w:spacing w:line="500" w:lineRule="exact"/>
        <w:ind w:firstLine="420" w:firstLineChars="200"/>
        <w:jc w:val="left"/>
        <w:rPr>
          <w:bCs/>
          <w:snapToGrid w:val="0"/>
          <w:color w:val="auto"/>
          <w:highlight w:val="none"/>
        </w:rPr>
      </w:pPr>
      <w:r>
        <w:rPr>
          <w:bCs/>
          <w:snapToGrid w:val="0"/>
          <w:color w:val="auto"/>
          <w:highlight w:val="none"/>
        </w:rPr>
        <w:t>3.3 报名方法：投标人下载附件《投标报名信息表》并完整填写信息后在</w:t>
      </w:r>
      <w:r>
        <w:rPr>
          <w:rFonts w:hint="eastAsia"/>
          <w:bCs/>
          <w:snapToGrid w:val="0"/>
          <w:color w:val="auto"/>
          <w:highlight w:val="none"/>
        </w:rPr>
        <w:t>本章节3.1</w:t>
      </w:r>
      <w:r>
        <w:rPr>
          <w:bCs/>
          <w:snapToGrid w:val="0"/>
          <w:color w:val="auto"/>
          <w:highlight w:val="none"/>
        </w:rPr>
        <w:t>规定的报名日期内发送至邮箱：</w:t>
      </w:r>
      <w:r>
        <w:rPr>
          <w:bCs/>
          <w:snapToGrid w:val="0"/>
          <w:color w:val="auto"/>
          <w:highlight w:val="none"/>
        </w:rPr>
        <w:fldChar w:fldCharType="begin"/>
      </w:r>
      <w:r>
        <w:rPr>
          <w:bCs/>
          <w:snapToGrid w:val="0"/>
          <w:color w:val="auto"/>
          <w:highlight w:val="none"/>
        </w:rPr>
        <w:instrText xml:space="preserve"> HYPERLINK "mailto:******@qq.com" </w:instrText>
      </w:r>
      <w:r>
        <w:rPr>
          <w:bCs/>
          <w:snapToGrid w:val="0"/>
          <w:color w:val="auto"/>
          <w:highlight w:val="none"/>
        </w:rPr>
        <w:fldChar w:fldCharType="separate"/>
      </w:r>
      <w:r>
        <w:rPr>
          <w:rFonts w:hint="eastAsia"/>
          <w:bCs/>
          <w:snapToGrid w:val="0"/>
          <w:color w:val="auto"/>
          <w:highlight w:val="none"/>
          <w:lang w:val="en-US" w:eastAsia="zh-CN"/>
        </w:rPr>
        <w:t>361365751</w:t>
      </w:r>
      <w:r>
        <w:rPr>
          <w:bCs/>
          <w:snapToGrid w:val="0"/>
          <w:color w:val="auto"/>
          <w:highlight w:val="none"/>
        </w:rPr>
        <w:t>@qq.com</w:t>
      </w:r>
      <w:r>
        <w:rPr>
          <w:bCs/>
          <w:snapToGrid w:val="0"/>
          <w:color w:val="auto"/>
          <w:highlight w:val="none"/>
        </w:rPr>
        <w:fldChar w:fldCharType="end"/>
      </w:r>
    </w:p>
    <w:p>
      <w:pPr>
        <w:spacing w:line="500" w:lineRule="exact"/>
        <w:outlineLvl w:val="1"/>
        <w:rPr>
          <w:rFonts w:ascii="Times New Roman" w:hAnsi="Times New Roman" w:eastAsia="黑体"/>
          <w:color w:val="auto"/>
          <w:sz w:val="24"/>
          <w:highlight w:val="none"/>
        </w:rPr>
      </w:pPr>
      <w:bookmarkStart w:id="12" w:name="_Toc17965"/>
      <w:r>
        <w:rPr>
          <w:rFonts w:ascii="Times New Roman" w:hAnsi="Times New Roman" w:eastAsia="黑体"/>
          <w:color w:val="auto"/>
          <w:sz w:val="24"/>
          <w:highlight w:val="none"/>
        </w:rPr>
        <w:t>4. 投标文件的递交</w:t>
      </w:r>
      <w:bookmarkEnd w:id="12"/>
    </w:p>
    <w:p>
      <w:pPr>
        <w:pStyle w:val="38"/>
        <w:spacing w:before="0" w:beforeAutospacing="0" w:after="0" w:afterAutospacing="0" w:line="500" w:lineRule="exact"/>
        <w:ind w:firstLine="420" w:firstLineChars="200"/>
        <w:rPr>
          <w:rFonts w:ascii="Calibri" w:hAnsi="Calibri" w:eastAsia="宋体" w:cs="Times New Roman"/>
          <w:bCs/>
          <w:snapToGrid w:val="0"/>
          <w:color w:val="auto"/>
          <w:kern w:val="2"/>
          <w:sz w:val="21"/>
          <w:szCs w:val="22"/>
          <w:highlight w:val="none"/>
          <w:lang w:val="en-US" w:eastAsia="zh-CN" w:bidi="ar-SA"/>
        </w:rPr>
      </w:pPr>
      <w:r>
        <w:rPr>
          <w:rFonts w:ascii="Calibri" w:hAnsi="Calibri" w:eastAsia="宋体" w:cs="Times New Roman"/>
          <w:bCs/>
          <w:snapToGrid w:val="0"/>
          <w:color w:val="auto"/>
          <w:kern w:val="2"/>
          <w:sz w:val="21"/>
          <w:szCs w:val="22"/>
          <w:highlight w:val="none"/>
          <w:lang w:val="en-US" w:eastAsia="zh-CN" w:bidi="ar-SA"/>
        </w:rPr>
        <w:t>投标文件递交的截止时间(开标时间，下同）</w:t>
      </w:r>
      <w:r>
        <w:rPr>
          <w:rFonts w:hint="eastAsia" w:ascii="宋体" w:hAnsi="宋体" w:eastAsia="宋体" w:cs="宋体"/>
          <w:bCs/>
          <w:snapToGrid w:val="0"/>
          <w:color w:val="auto"/>
          <w:kern w:val="2"/>
          <w:sz w:val="21"/>
          <w:szCs w:val="22"/>
          <w:highlight w:val="none"/>
          <w:u w:val="none"/>
          <w:lang w:val="en-US" w:eastAsia="zh-CN" w:bidi="ar-SA"/>
        </w:rPr>
        <w:t>为</w:t>
      </w:r>
      <w:r>
        <w:rPr>
          <w:rFonts w:hint="eastAsia" w:ascii="宋体" w:hAnsi="宋体" w:eastAsia="宋体" w:cs="宋体"/>
          <w:bCs/>
          <w:snapToGrid w:val="0"/>
          <w:color w:val="auto"/>
          <w:kern w:val="2"/>
          <w:sz w:val="21"/>
          <w:szCs w:val="22"/>
          <w:highlight w:val="none"/>
          <w:u w:val="single"/>
          <w:lang w:val="en-US" w:eastAsia="zh-CN" w:bidi="ar-SA"/>
        </w:rPr>
        <w:t>202</w:t>
      </w:r>
      <w:r>
        <w:rPr>
          <w:rFonts w:hint="eastAsia" w:cs="宋体"/>
          <w:bCs/>
          <w:snapToGrid w:val="0"/>
          <w:color w:val="auto"/>
          <w:kern w:val="2"/>
          <w:sz w:val="21"/>
          <w:szCs w:val="22"/>
          <w:highlight w:val="none"/>
          <w:u w:val="single"/>
          <w:lang w:val="en-US" w:eastAsia="zh-CN" w:bidi="ar-SA"/>
        </w:rPr>
        <w:t>5</w:t>
      </w:r>
      <w:r>
        <w:rPr>
          <w:rFonts w:hint="eastAsia" w:ascii="宋体" w:hAnsi="宋体" w:eastAsia="宋体" w:cs="宋体"/>
          <w:bCs/>
          <w:snapToGrid w:val="0"/>
          <w:color w:val="auto"/>
          <w:kern w:val="2"/>
          <w:sz w:val="21"/>
          <w:szCs w:val="22"/>
          <w:highlight w:val="none"/>
          <w:u w:val="single"/>
          <w:lang w:val="en-US" w:eastAsia="zh-CN" w:bidi="ar-SA"/>
        </w:rPr>
        <w:t>年</w:t>
      </w:r>
      <w:r>
        <w:rPr>
          <w:rFonts w:hint="eastAsia" w:cs="宋体"/>
          <w:bCs/>
          <w:snapToGrid w:val="0"/>
          <w:color w:val="auto"/>
          <w:kern w:val="2"/>
          <w:sz w:val="21"/>
          <w:szCs w:val="22"/>
          <w:highlight w:val="none"/>
          <w:u w:val="single"/>
          <w:lang w:val="en-US" w:eastAsia="zh-CN" w:bidi="ar-SA"/>
        </w:rPr>
        <w:t>1</w:t>
      </w:r>
      <w:r>
        <w:rPr>
          <w:rFonts w:hint="eastAsia" w:ascii="宋体" w:hAnsi="宋体" w:eastAsia="宋体" w:cs="宋体"/>
          <w:bCs/>
          <w:snapToGrid w:val="0"/>
          <w:color w:val="auto"/>
          <w:kern w:val="2"/>
          <w:sz w:val="21"/>
          <w:szCs w:val="22"/>
          <w:highlight w:val="none"/>
          <w:u w:val="single"/>
          <w:lang w:val="en-US" w:eastAsia="zh-CN" w:bidi="ar-SA"/>
        </w:rPr>
        <w:t>月</w:t>
      </w:r>
      <w:r>
        <w:rPr>
          <w:rFonts w:hint="eastAsia" w:cs="宋体"/>
          <w:bCs/>
          <w:snapToGrid w:val="0"/>
          <w:color w:val="auto"/>
          <w:kern w:val="2"/>
          <w:sz w:val="21"/>
          <w:szCs w:val="22"/>
          <w:highlight w:val="none"/>
          <w:u w:val="single"/>
          <w:lang w:val="en-US" w:eastAsia="zh-CN" w:bidi="ar-SA"/>
        </w:rPr>
        <w:t>21</w:t>
      </w:r>
      <w:r>
        <w:rPr>
          <w:rFonts w:hint="eastAsia" w:ascii="宋体" w:hAnsi="宋体" w:eastAsia="宋体" w:cs="宋体"/>
          <w:bCs/>
          <w:snapToGrid w:val="0"/>
          <w:color w:val="auto"/>
          <w:kern w:val="2"/>
          <w:sz w:val="21"/>
          <w:szCs w:val="22"/>
          <w:highlight w:val="none"/>
          <w:u w:val="single"/>
          <w:lang w:val="en-US" w:eastAsia="zh-CN" w:bidi="ar-SA"/>
        </w:rPr>
        <w:t>日</w:t>
      </w:r>
      <w:r>
        <w:rPr>
          <w:rFonts w:hint="eastAsia" w:cs="宋体"/>
          <w:bCs/>
          <w:snapToGrid w:val="0"/>
          <w:color w:val="auto"/>
          <w:kern w:val="2"/>
          <w:sz w:val="21"/>
          <w:szCs w:val="22"/>
          <w:highlight w:val="none"/>
          <w:u w:val="single"/>
          <w:lang w:val="en-US" w:eastAsia="zh-CN" w:bidi="ar-SA"/>
        </w:rPr>
        <w:t>15</w:t>
      </w:r>
      <w:r>
        <w:rPr>
          <w:rFonts w:hint="eastAsia" w:ascii="宋体" w:hAnsi="宋体" w:eastAsia="宋体" w:cs="宋体"/>
          <w:bCs/>
          <w:snapToGrid w:val="0"/>
          <w:color w:val="auto"/>
          <w:kern w:val="2"/>
          <w:sz w:val="21"/>
          <w:szCs w:val="22"/>
          <w:highlight w:val="none"/>
          <w:u w:val="single"/>
          <w:lang w:val="en-US" w:eastAsia="zh-CN" w:bidi="ar-SA"/>
        </w:rPr>
        <w:t>时</w:t>
      </w:r>
      <w:r>
        <w:rPr>
          <w:rFonts w:ascii="Calibri" w:hAnsi="Calibri" w:eastAsia="宋体" w:cs="Times New Roman"/>
          <w:bCs/>
          <w:snapToGrid w:val="0"/>
          <w:color w:val="auto"/>
          <w:kern w:val="2"/>
          <w:sz w:val="21"/>
          <w:szCs w:val="22"/>
          <w:highlight w:val="none"/>
          <w:lang w:val="en-US" w:eastAsia="zh-CN" w:bidi="ar-SA"/>
        </w:rPr>
        <w:t>，投标人应在截止时间前到达指定开标地点递交纸质版投标文件。</w:t>
      </w:r>
    </w:p>
    <w:p>
      <w:pPr>
        <w:spacing w:line="500" w:lineRule="exact"/>
        <w:outlineLvl w:val="1"/>
        <w:rPr>
          <w:rFonts w:ascii="Times New Roman" w:hAnsi="Times New Roman" w:eastAsia="黑体"/>
          <w:color w:val="auto"/>
          <w:sz w:val="24"/>
          <w:highlight w:val="none"/>
        </w:rPr>
      </w:pPr>
      <w:bookmarkStart w:id="13" w:name="_Toc13957"/>
      <w:bookmarkStart w:id="14" w:name="_Toc460660058"/>
      <w:bookmarkStart w:id="15" w:name="_Toc460226985"/>
      <w:bookmarkStart w:id="16" w:name="_Toc460226716"/>
      <w:r>
        <w:rPr>
          <w:rFonts w:ascii="Times New Roman" w:hAnsi="Times New Roman" w:eastAsia="黑体"/>
          <w:color w:val="auto"/>
          <w:sz w:val="24"/>
          <w:highlight w:val="none"/>
        </w:rPr>
        <w:t>5.</w:t>
      </w:r>
      <w:r>
        <w:rPr>
          <w:rFonts w:ascii="Times New Roman" w:hAnsi="Times New Roman"/>
          <w:color w:val="auto"/>
          <w:highlight w:val="none"/>
        </w:rPr>
        <w:t xml:space="preserve"> </w:t>
      </w:r>
      <w:r>
        <w:rPr>
          <w:rFonts w:ascii="Times New Roman" w:hAnsi="Times New Roman" w:eastAsia="黑体"/>
          <w:color w:val="auto"/>
          <w:sz w:val="24"/>
          <w:highlight w:val="none"/>
        </w:rPr>
        <w:t>开标时间及地点</w:t>
      </w:r>
      <w:bookmarkEnd w:id="13"/>
    </w:p>
    <w:p>
      <w:pPr>
        <w:widowControl/>
        <w:spacing w:line="500" w:lineRule="exact"/>
        <w:ind w:firstLine="420" w:firstLineChars="200"/>
        <w:jc w:val="left"/>
        <w:rPr>
          <w:rFonts w:ascii="Times New Roman" w:hAnsi="Times New Roman"/>
          <w:bCs/>
          <w:color w:val="auto"/>
          <w:szCs w:val="21"/>
          <w:highlight w:val="yellow"/>
          <w:u w:val="single"/>
        </w:rPr>
      </w:pPr>
      <w:r>
        <w:rPr>
          <w:rFonts w:ascii="Times New Roman" w:hAnsi="Times New Roman"/>
          <w:bCs/>
          <w:snapToGrid w:val="0"/>
          <w:color w:val="auto"/>
          <w:kern w:val="0"/>
          <w:szCs w:val="21"/>
          <w:highlight w:val="none"/>
          <w:u w:val="none"/>
        </w:rPr>
        <w:t>5.1 开标时间：</w:t>
      </w:r>
      <w:r>
        <w:rPr>
          <w:rFonts w:hint="eastAsia" w:ascii="宋体" w:hAnsi="宋体" w:eastAsia="宋体" w:cs="宋体"/>
          <w:bCs/>
          <w:snapToGrid w:val="0"/>
          <w:color w:val="auto"/>
          <w:kern w:val="2"/>
          <w:sz w:val="21"/>
          <w:szCs w:val="22"/>
          <w:highlight w:val="none"/>
          <w:u w:val="single"/>
          <w:lang w:val="en-US" w:eastAsia="zh-CN" w:bidi="ar-SA"/>
        </w:rPr>
        <w:t>202</w:t>
      </w:r>
      <w:r>
        <w:rPr>
          <w:rFonts w:hint="eastAsia" w:cs="宋体"/>
          <w:bCs/>
          <w:snapToGrid w:val="0"/>
          <w:color w:val="auto"/>
          <w:kern w:val="2"/>
          <w:sz w:val="21"/>
          <w:szCs w:val="22"/>
          <w:highlight w:val="none"/>
          <w:u w:val="single"/>
          <w:lang w:val="en-US" w:eastAsia="zh-CN" w:bidi="ar-SA"/>
        </w:rPr>
        <w:t>5</w:t>
      </w:r>
      <w:r>
        <w:rPr>
          <w:rFonts w:hint="eastAsia" w:ascii="宋体" w:hAnsi="宋体" w:eastAsia="宋体" w:cs="宋体"/>
          <w:bCs/>
          <w:snapToGrid w:val="0"/>
          <w:color w:val="auto"/>
          <w:kern w:val="2"/>
          <w:sz w:val="21"/>
          <w:szCs w:val="22"/>
          <w:highlight w:val="none"/>
          <w:u w:val="single"/>
          <w:lang w:val="en-US" w:eastAsia="zh-CN" w:bidi="ar-SA"/>
        </w:rPr>
        <w:t>年</w:t>
      </w:r>
      <w:r>
        <w:rPr>
          <w:rFonts w:hint="eastAsia" w:cs="宋体"/>
          <w:bCs/>
          <w:snapToGrid w:val="0"/>
          <w:color w:val="auto"/>
          <w:kern w:val="2"/>
          <w:sz w:val="21"/>
          <w:szCs w:val="22"/>
          <w:highlight w:val="none"/>
          <w:u w:val="single"/>
          <w:lang w:val="en-US" w:eastAsia="zh-CN" w:bidi="ar-SA"/>
        </w:rPr>
        <w:t>1</w:t>
      </w:r>
      <w:r>
        <w:rPr>
          <w:rFonts w:hint="eastAsia" w:ascii="宋体" w:hAnsi="宋体" w:eastAsia="宋体" w:cs="宋体"/>
          <w:bCs/>
          <w:snapToGrid w:val="0"/>
          <w:color w:val="auto"/>
          <w:kern w:val="2"/>
          <w:sz w:val="21"/>
          <w:szCs w:val="22"/>
          <w:highlight w:val="none"/>
          <w:u w:val="single"/>
          <w:lang w:val="en-US" w:eastAsia="zh-CN" w:bidi="ar-SA"/>
        </w:rPr>
        <w:t>月</w:t>
      </w:r>
      <w:r>
        <w:rPr>
          <w:rFonts w:hint="eastAsia" w:cs="宋体"/>
          <w:bCs/>
          <w:snapToGrid w:val="0"/>
          <w:color w:val="auto"/>
          <w:kern w:val="2"/>
          <w:sz w:val="21"/>
          <w:szCs w:val="22"/>
          <w:highlight w:val="none"/>
          <w:u w:val="single"/>
          <w:lang w:val="en-US" w:eastAsia="zh-CN" w:bidi="ar-SA"/>
        </w:rPr>
        <w:t>21</w:t>
      </w:r>
      <w:r>
        <w:rPr>
          <w:rFonts w:hint="eastAsia" w:ascii="宋体" w:hAnsi="宋体" w:eastAsia="宋体" w:cs="宋体"/>
          <w:bCs/>
          <w:snapToGrid w:val="0"/>
          <w:color w:val="auto"/>
          <w:kern w:val="2"/>
          <w:sz w:val="21"/>
          <w:szCs w:val="22"/>
          <w:highlight w:val="none"/>
          <w:u w:val="single"/>
          <w:lang w:val="en-US" w:eastAsia="zh-CN" w:bidi="ar-SA"/>
        </w:rPr>
        <w:t>日</w:t>
      </w:r>
      <w:r>
        <w:rPr>
          <w:rFonts w:hint="eastAsia" w:cs="宋体"/>
          <w:bCs/>
          <w:snapToGrid w:val="0"/>
          <w:color w:val="auto"/>
          <w:kern w:val="2"/>
          <w:sz w:val="21"/>
          <w:szCs w:val="22"/>
          <w:highlight w:val="none"/>
          <w:u w:val="single"/>
          <w:lang w:val="en-US" w:eastAsia="zh-CN" w:bidi="ar-SA"/>
        </w:rPr>
        <w:t>15</w:t>
      </w:r>
      <w:r>
        <w:rPr>
          <w:rFonts w:hint="eastAsia" w:ascii="宋体" w:hAnsi="宋体" w:eastAsia="宋体" w:cs="宋体"/>
          <w:bCs/>
          <w:snapToGrid w:val="0"/>
          <w:color w:val="auto"/>
          <w:kern w:val="2"/>
          <w:sz w:val="21"/>
          <w:szCs w:val="22"/>
          <w:highlight w:val="none"/>
          <w:u w:val="single"/>
          <w:lang w:val="en-US" w:eastAsia="zh-CN" w:bidi="ar-SA"/>
        </w:rPr>
        <w:t>时</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5.2 开标地点：</w:t>
      </w:r>
      <w:r>
        <w:rPr>
          <w:rFonts w:hint="eastAsia" w:ascii="Times New Roman" w:hAnsi="Times New Roman"/>
          <w:bCs/>
          <w:snapToGrid w:val="0"/>
          <w:color w:val="auto"/>
          <w:kern w:val="0"/>
          <w:szCs w:val="21"/>
          <w:highlight w:val="none"/>
          <w:u w:val="single"/>
        </w:rPr>
        <w:t>合肥市蜀山区</w:t>
      </w:r>
      <w:r>
        <w:rPr>
          <w:rFonts w:hint="eastAsia" w:ascii="Times New Roman" w:hAnsi="Times New Roman"/>
          <w:bCs/>
          <w:snapToGrid w:val="0"/>
          <w:color w:val="auto"/>
          <w:kern w:val="0"/>
          <w:szCs w:val="21"/>
          <w:highlight w:val="none"/>
          <w:u w:val="single"/>
          <w:lang w:val="en-US" w:eastAsia="zh-CN"/>
        </w:rPr>
        <w:t>安徽合肥体育中心</w:t>
      </w:r>
    </w:p>
    <w:p>
      <w:pPr>
        <w:spacing w:line="500" w:lineRule="exact"/>
        <w:outlineLvl w:val="1"/>
        <w:rPr>
          <w:rFonts w:ascii="Times New Roman" w:hAnsi="Times New Roman" w:eastAsia="黑体"/>
          <w:color w:val="auto"/>
          <w:sz w:val="24"/>
          <w:highlight w:val="none"/>
        </w:rPr>
      </w:pPr>
      <w:bookmarkStart w:id="17" w:name="_Toc6771"/>
      <w:r>
        <w:rPr>
          <w:rFonts w:ascii="Times New Roman" w:hAnsi="Times New Roman" w:eastAsia="黑体"/>
          <w:color w:val="auto"/>
          <w:sz w:val="24"/>
          <w:highlight w:val="none"/>
        </w:rPr>
        <w:t>6.</w:t>
      </w:r>
      <w:r>
        <w:rPr>
          <w:rFonts w:hint="eastAsia" w:ascii="Times New Roman" w:hAnsi="Times New Roman" w:eastAsia="黑体"/>
          <w:color w:val="auto"/>
          <w:sz w:val="24"/>
          <w:highlight w:val="none"/>
          <w:lang w:val="en-US" w:eastAsia="zh-CN"/>
        </w:rPr>
        <w:t xml:space="preserve"> </w:t>
      </w:r>
      <w:r>
        <w:rPr>
          <w:rFonts w:ascii="Times New Roman" w:hAnsi="Times New Roman" w:eastAsia="黑体"/>
          <w:color w:val="auto"/>
          <w:sz w:val="24"/>
          <w:highlight w:val="none"/>
        </w:rPr>
        <w:t>发布公告的媒介</w:t>
      </w:r>
      <w:bookmarkEnd w:id="17"/>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本次招标公告在</w:t>
      </w:r>
      <w:r>
        <w:rPr>
          <w:rFonts w:hint="eastAsia"/>
          <w:bCs/>
          <w:snapToGrid w:val="0"/>
          <w:color w:val="auto"/>
          <w:highlight w:val="none"/>
          <w:lang w:val="en-US" w:eastAsia="zh-CN"/>
        </w:rPr>
        <w:t>合肥体育产业投资</w:t>
      </w:r>
      <w:r>
        <w:rPr>
          <w:bCs/>
          <w:snapToGrid w:val="0"/>
          <w:color w:val="auto"/>
          <w:highlight w:val="none"/>
        </w:rPr>
        <w:t>有限公司</w:t>
      </w:r>
      <w:r>
        <w:rPr>
          <w:rFonts w:ascii="Times New Roman" w:hAnsi="Times New Roman"/>
          <w:bCs/>
          <w:snapToGrid w:val="0"/>
          <w:color w:val="auto"/>
          <w:kern w:val="0"/>
          <w:szCs w:val="21"/>
          <w:highlight w:val="none"/>
        </w:rPr>
        <w:t>官网上发布。</w:t>
      </w:r>
    </w:p>
    <w:p>
      <w:pPr>
        <w:numPr>
          <w:ilvl w:val="0"/>
          <w:numId w:val="1"/>
        </w:numPr>
        <w:spacing w:line="500" w:lineRule="exact"/>
        <w:outlineLvl w:val="1"/>
        <w:rPr>
          <w:rFonts w:ascii="Times New Roman" w:hAnsi="Times New Roman" w:eastAsia="黑体"/>
          <w:color w:val="auto"/>
          <w:sz w:val="24"/>
          <w:szCs w:val="24"/>
          <w:highlight w:val="none"/>
        </w:rPr>
      </w:pPr>
      <w:bookmarkStart w:id="18" w:name="_Toc20858"/>
      <w:r>
        <w:rPr>
          <w:rFonts w:ascii="Times New Roman" w:hAnsi="Times New Roman" w:eastAsia="黑体"/>
          <w:color w:val="auto"/>
          <w:sz w:val="24"/>
          <w:highlight w:val="none"/>
        </w:rPr>
        <w:t>联系方式</w:t>
      </w:r>
      <w:bookmarkEnd w:id="18"/>
    </w:p>
    <w:p>
      <w:pPr>
        <w:widowControl/>
        <w:spacing w:line="460" w:lineRule="exact"/>
        <w:ind w:firstLine="420" w:firstLineChars="200"/>
        <w:jc w:val="left"/>
        <w:outlineLvl w:val="2"/>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7.1招标人</w:t>
      </w:r>
    </w:p>
    <w:p>
      <w:pPr>
        <w:widowControl/>
        <w:spacing w:line="460" w:lineRule="exact"/>
        <w:ind w:firstLine="420" w:firstLineChars="200"/>
        <w:jc w:val="lef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招标人：</w:t>
      </w:r>
      <w:r>
        <w:rPr>
          <w:rFonts w:hint="eastAsia"/>
          <w:bCs/>
          <w:snapToGrid w:val="0"/>
          <w:color w:val="auto"/>
          <w:highlight w:val="none"/>
          <w:u w:val="single"/>
          <w:lang w:val="en-US" w:eastAsia="zh-CN"/>
        </w:rPr>
        <w:t>合肥体育产业投资</w:t>
      </w:r>
      <w:r>
        <w:rPr>
          <w:bCs/>
          <w:snapToGrid w:val="0"/>
          <w:color w:val="auto"/>
          <w:highlight w:val="none"/>
          <w:u w:val="single"/>
        </w:rPr>
        <w:t>有限公司</w:t>
      </w:r>
      <w:r>
        <w:rPr>
          <w:rFonts w:ascii="Times New Roman" w:hAnsi="Times New Roman"/>
          <w:bCs/>
          <w:snapToGrid w:val="0"/>
          <w:color w:val="auto"/>
          <w:kern w:val="0"/>
          <w:szCs w:val="21"/>
          <w:highlight w:val="none"/>
          <w:u w:val="single"/>
        </w:rPr>
        <w:t xml:space="preserve"> </w:t>
      </w:r>
      <w:r>
        <w:rPr>
          <w:rFonts w:hint="eastAsia" w:ascii="Times New Roman" w:hAnsi="Times New Roman"/>
          <w:bCs/>
          <w:snapToGrid w:val="0"/>
          <w:color w:val="auto"/>
          <w:kern w:val="0"/>
          <w:szCs w:val="21"/>
          <w:highlight w:val="none"/>
          <w:u w:val="single"/>
        </w:rPr>
        <w:t xml:space="preserve"> </w:t>
      </w:r>
      <w:r>
        <w:rPr>
          <w:rFonts w:hint="eastAsia" w:ascii="Times New Roman" w:hAnsi="Times New Roman"/>
          <w:bCs/>
          <w:snapToGrid w:val="0"/>
          <w:color w:val="auto"/>
          <w:kern w:val="0"/>
          <w:szCs w:val="21"/>
          <w:highlight w:val="none"/>
          <w:u w:val="none"/>
        </w:rPr>
        <w:t xml:space="preserve">          </w:t>
      </w:r>
      <w:r>
        <w:rPr>
          <w:rFonts w:ascii="Times New Roman" w:hAnsi="Times New Roman"/>
          <w:bCs/>
          <w:snapToGrid w:val="0"/>
          <w:color w:val="auto"/>
          <w:kern w:val="0"/>
          <w:szCs w:val="21"/>
          <w:highlight w:val="none"/>
          <w:u w:val="none"/>
        </w:rPr>
        <w:t xml:space="preserve">      </w:t>
      </w:r>
      <w:r>
        <w:rPr>
          <w:rFonts w:hint="eastAsia" w:ascii="Times New Roman" w:hAnsi="Times New Roman"/>
          <w:bCs/>
          <w:snapToGrid w:val="0"/>
          <w:color w:val="auto"/>
          <w:kern w:val="0"/>
          <w:szCs w:val="21"/>
          <w:highlight w:val="none"/>
          <w:u w:val="none"/>
        </w:rPr>
        <w:t xml:space="preserve">   </w:t>
      </w:r>
    </w:p>
    <w:p>
      <w:pPr>
        <w:widowControl/>
        <w:spacing w:line="460" w:lineRule="exact"/>
        <w:ind w:firstLine="420" w:firstLineChars="200"/>
        <w:jc w:val="lef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地  址：</w:t>
      </w:r>
      <w:r>
        <w:rPr>
          <w:rFonts w:hint="eastAsia" w:ascii="Times New Roman" w:hAnsi="Times New Roman"/>
          <w:bCs/>
          <w:snapToGrid w:val="0"/>
          <w:color w:val="auto"/>
          <w:kern w:val="0"/>
          <w:szCs w:val="21"/>
          <w:highlight w:val="none"/>
          <w:u w:val="single"/>
        </w:rPr>
        <w:t>合肥市蜀山区</w:t>
      </w:r>
      <w:r>
        <w:rPr>
          <w:rFonts w:hint="eastAsia" w:ascii="Times New Roman" w:hAnsi="Times New Roman"/>
          <w:bCs/>
          <w:snapToGrid w:val="0"/>
          <w:color w:val="auto"/>
          <w:kern w:val="0"/>
          <w:szCs w:val="21"/>
          <w:highlight w:val="none"/>
          <w:u w:val="single"/>
          <w:lang w:val="en-US" w:eastAsia="zh-CN"/>
        </w:rPr>
        <w:t>安徽合肥体育中心主体育场贵宾区一层办公室</w:t>
      </w:r>
      <w:r>
        <w:rPr>
          <w:rFonts w:ascii="Times New Roman" w:hAnsi="Times New Roman"/>
          <w:bCs/>
          <w:snapToGrid w:val="0"/>
          <w:color w:val="auto"/>
          <w:kern w:val="0"/>
          <w:szCs w:val="21"/>
          <w:highlight w:val="none"/>
          <w:u w:val="none"/>
        </w:rPr>
        <w:t xml:space="preserve">   </w:t>
      </w:r>
      <w:r>
        <w:rPr>
          <w:rFonts w:hint="eastAsia" w:ascii="Times New Roman" w:hAnsi="Times New Roman"/>
          <w:bCs/>
          <w:snapToGrid w:val="0"/>
          <w:color w:val="auto"/>
          <w:kern w:val="0"/>
          <w:szCs w:val="21"/>
          <w:highlight w:val="none"/>
          <w:u w:val="none"/>
        </w:rPr>
        <w:t xml:space="preserve">      </w:t>
      </w:r>
      <w:r>
        <w:rPr>
          <w:rFonts w:ascii="Times New Roman" w:hAnsi="Times New Roman"/>
          <w:bCs/>
          <w:snapToGrid w:val="0"/>
          <w:color w:val="auto"/>
          <w:kern w:val="0"/>
          <w:szCs w:val="21"/>
          <w:highlight w:val="none"/>
          <w:u w:val="none"/>
        </w:rPr>
        <w:t xml:space="preserve">   </w:t>
      </w:r>
      <w:r>
        <w:rPr>
          <w:rFonts w:ascii="Times New Roman" w:hAnsi="Times New Roman"/>
          <w:bCs/>
          <w:snapToGrid w:val="0"/>
          <w:color w:val="auto"/>
          <w:kern w:val="0"/>
          <w:szCs w:val="21"/>
          <w:highlight w:val="none"/>
        </w:rPr>
        <w:t xml:space="preserve">       </w:t>
      </w:r>
    </w:p>
    <w:p>
      <w:pPr>
        <w:keepNext w:val="0"/>
        <w:keepLines w:val="0"/>
        <w:widowControl/>
        <w:suppressLineNumbers w:val="0"/>
        <w:ind w:firstLine="420" w:firstLineChars="200"/>
        <w:jc w:val="left"/>
        <w:rPr>
          <w:rFonts w:hint="eastAsia" w:eastAsia="宋体" w:cs="Times New Roman"/>
          <w:bCs/>
          <w:snapToGrid w:val="0"/>
          <w:color w:val="auto"/>
          <w:highlight w:val="none"/>
          <w:u w:val="none"/>
          <w:lang w:val="en-US" w:eastAsia="zh-CN"/>
        </w:rPr>
      </w:pPr>
      <w:r>
        <w:rPr>
          <w:rFonts w:hint="eastAsia" w:ascii="Times New Roman" w:hAnsi="Times New Roman"/>
          <w:bCs/>
          <w:snapToGrid w:val="0"/>
          <w:color w:val="auto"/>
          <w:kern w:val="0"/>
          <w:szCs w:val="21"/>
          <w:highlight w:val="none"/>
          <w:lang w:val="en-US" w:eastAsia="zh-CN"/>
        </w:rPr>
        <w:t>投标</w:t>
      </w:r>
      <w:r>
        <w:rPr>
          <w:rFonts w:ascii="Times New Roman" w:hAnsi="Times New Roman"/>
          <w:bCs/>
          <w:snapToGrid w:val="0"/>
          <w:color w:val="auto"/>
          <w:kern w:val="0"/>
          <w:szCs w:val="21"/>
          <w:highlight w:val="none"/>
        </w:rPr>
        <w:t>联</w:t>
      </w:r>
      <w:r>
        <w:rPr>
          <w:rFonts w:hint="eastAsia" w:eastAsia="宋体" w:cs="Times New Roman"/>
          <w:bCs/>
          <w:snapToGrid w:val="0"/>
          <w:color w:val="auto"/>
          <w:highlight w:val="none"/>
          <w:u w:val="none"/>
          <w:lang w:val="en-US" w:eastAsia="zh-CN"/>
        </w:rPr>
        <w:t>系人：孙工  电话：</w:t>
      </w:r>
      <w:r>
        <w:rPr>
          <w:rFonts w:hint="eastAsia" w:eastAsia="宋体" w:cs="Times New Roman"/>
          <w:bCs/>
          <w:snapToGrid w:val="0"/>
          <w:color w:val="auto"/>
          <w:highlight w:val="none"/>
          <w:u w:val="single"/>
          <w:lang w:val="en-US" w:eastAsia="zh-CN"/>
        </w:rPr>
        <w:t>0551-63363087</w:t>
      </w:r>
    </w:p>
    <w:p>
      <w:pPr>
        <w:keepNext w:val="0"/>
        <w:keepLines w:val="0"/>
        <w:widowControl/>
        <w:suppressLineNumbers w:val="0"/>
        <w:ind w:firstLine="420" w:firstLineChars="200"/>
        <w:jc w:val="left"/>
        <w:rPr>
          <w:rFonts w:hint="default" w:eastAsia="宋体" w:cs="Times New Roman"/>
          <w:bCs/>
          <w:snapToGrid w:val="0"/>
          <w:color w:val="auto"/>
          <w:highlight w:val="none"/>
          <w:u w:val="single"/>
          <w:lang w:val="en-US" w:eastAsia="zh-CN"/>
        </w:rPr>
      </w:pPr>
      <w:r>
        <w:rPr>
          <w:rFonts w:hint="eastAsia" w:eastAsia="宋体" w:cs="Times New Roman"/>
          <w:bCs/>
          <w:snapToGrid w:val="0"/>
          <w:color w:val="auto"/>
          <w:highlight w:val="none"/>
          <w:u w:val="none"/>
          <w:lang w:val="en-US" w:eastAsia="zh-CN"/>
        </w:rPr>
        <w:t>技术联系人：</w:t>
      </w:r>
      <w:r>
        <w:rPr>
          <w:rFonts w:hint="eastAsia" w:cs="Times New Roman"/>
          <w:bCs/>
          <w:snapToGrid w:val="0"/>
          <w:color w:val="auto"/>
          <w:highlight w:val="none"/>
          <w:u w:val="none"/>
          <w:lang w:val="en-US" w:eastAsia="zh-CN"/>
        </w:rPr>
        <w:t>朱</w:t>
      </w:r>
      <w:r>
        <w:rPr>
          <w:rFonts w:hint="eastAsia" w:eastAsia="宋体" w:cs="Times New Roman"/>
          <w:bCs/>
          <w:snapToGrid w:val="0"/>
          <w:color w:val="auto"/>
          <w:highlight w:val="none"/>
          <w:u w:val="none"/>
          <w:lang w:val="en-US" w:eastAsia="zh-CN"/>
        </w:rPr>
        <w:t>工  电话：</w:t>
      </w:r>
      <w:r>
        <w:rPr>
          <w:rFonts w:hint="eastAsia" w:cs="Times New Roman"/>
          <w:bCs/>
          <w:snapToGrid w:val="0"/>
          <w:color w:val="auto"/>
          <w:highlight w:val="none"/>
          <w:u w:val="single"/>
          <w:lang w:val="en-US" w:eastAsia="zh-CN"/>
        </w:rPr>
        <w:t>0551-63542479</w:t>
      </w:r>
    </w:p>
    <w:p>
      <w:pPr>
        <w:widowControl/>
        <w:spacing w:line="460" w:lineRule="exact"/>
        <w:ind w:firstLine="420" w:firstLineChars="200"/>
        <w:jc w:val="left"/>
        <w:outlineLvl w:val="2"/>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7.</w:t>
      </w:r>
      <w:r>
        <w:rPr>
          <w:rFonts w:hint="eastAsia" w:ascii="Times New Roman" w:hAnsi="Times New Roman"/>
          <w:bCs/>
          <w:snapToGrid w:val="0"/>
          <w:color w:val="auto"/>
          <w:kern w:val="0"/>
          <w:szCs w:val="21"/>
          <w:highlight w:val="none"/>
        </w:rPr>
        <w:t>2</w:t>
      </w:r>
      <w:r>
        <w:rPr>
          <w:rFonts w:ascii="Times New Roman" w:hAnsi="Times New Roman"/>
          <w:bCs/>
          <w:snapToGrid w:val="0"/>
          <w:color w:val="auto"/>
          <w:kern w:val="0"/>
          <w:szCs w:val="21"/>
          <w:highlight w:val="none"/>
        </w:rPr>
        <w:t>监督管理部门</w:t>
      </w:r>
    </w:p>
    <w:p>
      <w:pPr>
        <w:widowControl/>
        <w:spacing w:line="460" w:lineRule="exact"/>
        <w:ind w:firstLine="420" w:firstLineChars="200"/>
        <w:jc w:val="left"/>
        <w:rPr>
          <w:rFonts w:ascii="Times New Roman" w:hAnsi="Times New Roman"/>
          <w:bCs/>
          <w:snapToGrid w:val="0"/>
          <w:color w:val="auto"/>
          <w:kern w:val="0"/>
          <w:szCs w:val="21"/>
          <w:highlight w:val="none"/>
          <w:u w:val="none"/>
        </w:rPr>
      </w:pPr>
      <w:r>
        <w:rPr>
          <w:rFonts w:ascii="Times New Roman" w:hAnsi="Times New Roman"/>
          <w:bCs/>
          <w:snapToGrid w:val="0"/>
          <w:color w:val="auto"/>
          <w:kern w:val="0"/>
          <w:szCs w:val="21"/>
          <w:highlight w:val="none"/>
        </w:rPr>
        <w:t>监督管理部门：</w:t>
      </w:r>
      <w:r>
        <w:rPr>
          <w:rFonts w:hint="eastAsia" w:ascii="Times New Roman" w:hAnsi="Times New Roman"/>
          <w:bCs/>
          <w:snapToGrid w:val="0"/>
          <w:color w:val="auto"/>
          <w:kern w:val="0"/>
          <w:szCs w:val="21"/>
          <w:highlight w:val="none"/>
          <w:u w:val="single"/>
          <w:lang w:val="en-US" w:eastAsia="zh-CN"/>
        </w:rPr>
        <w:t>党群工作部</w:t>
      </w:r>
      <w:r>
        <w:rPr>
          <w:rFonts w:hint="eastAsia" w:ascii="Times New Roman" w:hAnsi="Times New Roman"/>
          <w:bCs/>
          <w:snapToGrid w:val="0"/>
          <w:color w:val="auto"/>
          <w:kern w:val="0"/>
          <w:szCs w:val="21"/>
          <w:highlight w:val="none"/>
          <w:u w:val="none"/>
        </w:rPr>
        <w:t xml:space="preserve">         </w:t>
      </w:r>
      <w:r>
        <w:rPr>
          <w:rFonts w:ascii="Times New Roman" w:hAnsi="Times New Roman"/>
          <w:bCs/>
          <w:snapToGrid w:val="0"/>
          <w:color w:val="auto"/>
          <w:kern w:val="0"/>
          <w:szCs w:val="21"/>
          <w:highlight w:val="none"/>
          <w:u w:val="none"/>
        </w:rPr>
        <w:t xml:space="preserve">   </w:t>
      </w:r>
    </w:p>
    <w:p>
      <w:pPr>
        <w:widowControl/>
        <w:spacing w:line="460" w:lineRule="exact"/>
        <w:ind w:firstLine="420" w:firstLineChars="200"/>
        <w:jc w:val="left"/>
        <w:rPr>
          <w:rFonts w:ascii="Times New Roman" w:hAnsi="Times New Roman"/>
          <w:bCs/>
          <w:snapToGrid w:val="0"/>
          <w:color w:val="auto"/>
          <w:kern w:val="0"/>
          <w:szCs w:val="21"/>
          <w:highlight w:val="none"/>
          <w:u w:val="none"/>
        </w:rPr>
      </w:pPr>
      <w:r>
        <w:rPr>
          <w:rFonts w:ascii="Times New Roman" w:hAnsi="Times New Roman"/>
          <w:bCs/>
          <w:snapToGrid w:val="0"/>
          <w:color w:val="auto"/>
          <w:kern w:val="0"/>
          <w:szCs w:val="21"/>
          <w:highlight w:val="none"/>
          <w:u w:val="none"/>
        </w:rPr>
        <w:t>地  址：</w:t>
      </w:r>
      <w:r>
        <w:rPr>
          <w:rFonts w:hint="eastAsia" w:ascii="Times New Roman" w:hAnsi="Times New Roman"/>
          <w:bCs/>
          <w:snapToGrid w:val="0"/>
          <w:color w:val="auto"/>
          <w:kern w:val="0"/>
          <w:szCs w:val="21"/>
          <w:highlight w:val="none"/>
          <w:u w:val="single"/>
        </w:rPr>
        <w:t>合肥市蜀山区</w:t>
      </w:r>
      <w:r>
        <w:rPr>
          <w:rFonts w:hint="eastAsia" w:ascii="Times New Roman" w:hAnsi="Times New Roman"/>
          <w:bCs/>
          <w:snapToGrid w:val="0"/>
          <w:color w:val="auto"/>
          <w:kern w:val="0"/>
          <w:szCs w:val="21"/>
          <w:highlight w:val="none"/>
          <w:u w:val="single"/>
          <w:lang w:val="en-US" w:eastAsia="zh-CN"/>
        </w:rPr>
        <w:t>安徽合肥体育中心主体育场贵宾区一层办公室</w:t>
      </w:r>
      <w:r>
        <w:rPr>
          <w:rFonts w:ascii="Times New Roman" w:hAnsi="Times New Roman"/>
          <w:bCs/>
          <w:snapToGrid w:val="0"/>
          <w:color w:val="auto"/>
          <w:kern w:val="0"/>
          <w:szCs w:val="21"/>
          <w:highlight w:val="none"/>
          <w:u w:val="none"/>
        </w:rPr>
        <w:t xml:space="preserve">     </w:t>
      </w:r>
      <w:r>
        <w:rPr>
          <w:rFonts w:hint="eastAsia" w:ascii="Times New Roman" w:hAnsi="Times New Roman"/>
          <w:bCs/>
          <w:snapToGrid w:val="0"/>
          <w:color w:val="auto"/>
          <w:kern w:val="0"/>
          <w:szCs w:val="21"/>
          <w:highlight w:val="none"/>
          <w:u w:val="none"/>
        </w:rPr>
        <w:t xml:space="preserve"> </w:t>
      </w:r>
    </w:p>
    <w:p>
      <w:pPr>
        <w:widowControl/>
        <w:spacing w:line="460" w:lineRule="exact"/>
        <w:ind w:firstLine="420" w:firstLineChars="200"/>
        <w:jc w:val="lef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u w:val="none"/>
        </w:rPr>
        <w:t>电  话：</w:t>
      </w:r>
      <w:r>
        <w:rPr>
          <w:rFonts w:hint="eastAsia" w:ascii="Times New Roman" w:hAnsi="Times New Roman"/>
          <w:bCs/>
          <w:snapToGrid w:val="0"/>
          <w:color w:val="auto"/>
          <w:kern w:val="0"/>
          <w:szCs w:val="21"/>
          <w:highlight w:val="none"/>
          <w:u w:val="single"/>
        </w:rPr>
        <w:t>0551-</w:t>
      </w:r>
      <w:r>
        <w:rPr>
          <w:rFonts w:hint="eastAsia" w:ascii="Times New Roman" w:hAnsi="Times New Roman"/>
          <w:bCs/>
          <w:snapToGrid w:val="0"/>
          <w:color w:val="auto"/>
          <w:kern w:val="0"/>
          <w:szCs w:val="21"/>
          <w:highlight w:val="none"/>
          <w:u w:val="single"/>
          <w:lang w:val="en-US" w:eastAsia="zh-CN"/>
        </w:rPr>
        <w:t>63621300</w:t>
      </w:r>
    </w:p>
    <w:p>
      <w:pPr>
        <w:spacing w:line="500" w:lineRule="exact"/>
        <w:outlineLvl w:val="1"/>
        <w:rPr>
          <w:rFonts w:ascii="Times New Roman" w:hAnsi="Times New Roman" w:eastAsia="黑体"/>
          <w:color w:val="auto"/>
          <w:sz w:val="24"/>
          <w:highlight w:val="none"/>
        </w:rPr>
      </w:pPr>
      <w:bookmarkStart w:id="19" w:name="_Toc16094"/>
      <w:r>
        <w:rPr>
          <w:rFonts w:ascii="Times New Roman" w:hAnsi="Times New Roman" w:eastAsia="黑体"/>
          <w:color w:val="auto"/>
          <w:sz w:val="24"/>
          <w:highlight w:val="none"/>
        </w:rPr>
        <w:t>8.其他事项说明</w:t>
      </w:r>
      <w:bookmarkEnd w:id="19"/>
    </w:p>
    <w:p>
      <w:pPr>
        <w:widowControl/>
        <w:spacing w:line="500" w:lineRule="exact"/>
        <w:ind w:firstLine="420" w:firstLineChars="200"/>
        <w:jc w:val="lef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有任何疑问或问题，请在工作时间（周一至周五，上午08:00-12:00，下午2:30-5:30，节假日休息）与项目联系人联系。</w:t>
      </w:r>
      <w:bookmarkEnd w:id="14"/>
      <w:bookmarkEnd w:id="15"/>
      <w:bookmarkEnd w:id="16"/>
      <w:bookmarkStart w:id="20" w:name="_Toc30158"/>
    </w:p>
    <w:p>
      <w:pPr>
        <w:rPr>
          <w:rFonts w:hint="eastAsia" w:ascii="黑体" w:hAnsi="黑体" w:eastAsia="黑体" w:cs="黑体"/>
          <w:color w:val="auto"/>
          <w:sz w:val="32"/>
          <w:szCs w:val="32"/>
          <w:highlight w:val="none"/>
        </w:rPr>
      </w:pPr>
      <w:bookmarkStart w:id="21" w:name="_Toc10973"/>
      <w:bookmarkStart w:id="22" w:name="_Toc20347"/>
    </w:p>
    <w:p>
      <w:pPr>
        <w:pStyle w:val="2"/>
        <w:spacing w:before="240" w:beforeLines="100" w:after="240" w:afterLines="100"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投标人须知</w:t>
      </w:r>
      <w:bookmarkEnd w:id="20"/>
      <w:bookmarkEnd w:id="21"/>
      <w:bookmarkEnd w:id="22"/>
    </w:p>
    <w:p>
      <w:pPr>
        <w:pStyle w:val="3"/>
        <w:spacing w:before="120" w:beforeLines="50" w:after="120" w:afterLines="50" w:line="500" w:lineRule="exact"/>
        <w:jc w:val="center"/>
        <w:rPr>
          <w:rFonts w:ascii="Times New Roman" w:hAnsi="Times New Roman"/>
          <w:b w:val="0"/>
          <w:color w:val="auto"/>
          <w:sz w:val="28"/>
          <w:szCs w:val="18"/>
          <w:highlight w:val="none"/>
        </w:rPr>
      </w:pPr>
      <w:bookmarkStart w:id="23" w:name="_Toc5587"/>
      <w:bookmarkStart w:id="24" w:name="_Toc7591"/>
      <w:bookmarkStart w:id="25" w:name="_Toc2650"/>
      <w:bookmarkStart w:id="26" w:name="_Toc21016"/>
      <w:bookmarkStart w:id="27" w:name="_Toc6337"/>
      <w:bookmarkStart w:id="28" w:name="_Toc17753"/>
      <w:bookmarkStart w:id="29" w:name="_Toc13805"/>
      <w:bookmarkStart w:id="30" w:name="_Toc31957"/>
      <w:bookmarkStart w:id="31" w:name="_Toc7779"/>
      <w:bookmarkStart w:id="32" w:name="_Toc19735"/>
      <w:r>
        <w:rPr>
          <w:rFonts w:ascii="Times New Roman" w:hAnsi="Times New Roman"/>
          <w:b w:val="0"/>
          <w:color w:val="auto"/>
          <w:sz w:val="28"/>
          <w:szCs w:val="18"/>
          <w:highlight w:val="none"/>
        </w:rPr>
        <w:t>投标人须知前附表</w:t>
      </w:r>
      <w:bookmarkEnd w:id="23"/>
      <w:bookmarkEnd w:id="24"/>
      <w:bookmarkEnd w:id="25"/>
      <w:bookmarkEnd w:id="26"/>
      <w:bookmarkEnd w:id="27"/>
      <w:bookmarkEnd w:id="28"/>
      <w:bookmarkEnd w:id="29"/>
      <w:bookmarkEnd w:id="30"/>
      <w:bookmarkEnd w:id="31"/>
      <w:bookmarkEnd w:id="32"/>
    </w:p>
    <w:tbl>
      <w:tblPr>
        <w:tblStyle w:val="4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172"/>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pPr>
              <w:spacing w:line="500" w:lineRule="exact"/>
              <w:jc w:val="center"/>
              <w:rPr>
                <w:rFonts w:ascii="Times New Roman" w:hAnsi="Times New Roman"/>
                <w:b/>
                <w:color w:val="auto"/>
                <w:highlight w:val="none"/>
              </w:rPr>
            </w:pPr>
            <w:r>
              <w:rPr>
                <w:rFonts w:ascii="Times New Roman" w:hAnsi="Times New Roman"/>
                <w:b/>
                <w:color w:val="auto"/>
                <w:highlight w:val="none"/>
              </w:rPr>
              <w:t>条款号</w:t>
            </w:r>
          </w:p>
        </w:tc>
        <w:tc>
          <w:tcPr>
            <w:tcW w:w="2172" w:type="dxa"/>
            <w:noWrap w:val="0"/>
            <w:vAlign w:val="center"/>
          </w:tcPr>
          <w:p>
            <w:pPr>
              <w:spacing w:line="500" w:lineRule="exact"/>
              <w:jc w:val="center"/>
              <w:rPr>
                <w:rFonts w:ascii="Times New Roman" w:hAnsi="Times New Roman"/>
                <w:b/>
                <w:color w:val="auto"/>
                <w:highlight w:val="none"/>
              </w:rPr>
            </w:pPr>
            <w:r>
              <w:rPr>
                <w:rFonts w:ascii="Times New Roman" w:hAnsi="Times New Roman"/>
                <w:b/>
                <w:color w:val="auto"/>
                <w:highlight w:val="none"/>
              </w:rPr>
              <w:t>条款名称</w:t>
            </w:r>
          </w:p>
        </w:tc>
        <w:tc>
          <w:tcPr>
            <w:tcW w:w="5985" w:type="dxa"/>
            <w:noWrap w:val="0"/>
            <w:vAlign w:val="center"/>
          </w:tcPr>
          <w:p>
            <w:pPr>
              <w:spacing w:line="500" w:lineRule="exact"/>
              <w:jc w:val="center"/>
              <w:rPr>
                <w:rFonts w:ascii="Times New Roman" w:hAnsi="Times New Roman"/>
                <w:b/>
                <w:color w:val="auto"/>
                <w:highlight w:val="none"/>
              </w:rPr>
            </w:pPr>
            <w:r>
              <w:rPr>
                <w:rFonts w:ascii="Times New Roman" w:hAnsi="Times New Roman"/>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1.1.2</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招标人</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3</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项目名称</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4</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项目地点</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5</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项目规模</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6</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项目预计进场日期</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7</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合同估算价</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1.2.1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资金来源</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1.2.2</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资金落实情况</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1.3.1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招标范围</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1.3.2</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服务期限</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1.3.3</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质量要求</w:t>
            </w:r>
          </w:p>
        </w:tc>
        <w:tc>
          <w:tcPr>
            <w:tcW w:w="5985" w:type="dxa"/>
            <w:noWrap w:val="0"/>
            <w:vAlign w:val="center"/>
          </w:tcPr>
          <w:p>
            <w:pPr>
              <w:spacing w:line="500" w:lineRule="exact"/>
              <w:jc w:val="left"/>
              <w:rPr>
                <w:rFonts w:hint="eastAsia" w:ascii="Times New Roman" w:hAnsi="Times New Roman" w:eastAsia="宋体"/>
                <w:color w:val="auto"/>
                <w:highlight w:val="none"/>
                <w:lang w:eastAsia="zh-CN"/>
              </w:rPr>
            </w:pPr>
            <w:r>
              <w:rPr>
                <w:rFonts w:ascii="Times New Roman" w:hAnsi="Times New Roman"/>
                <w:color w:val="auto"/>
                <w:highlight w:val="none"/>
              </w:rPr>
              <w:t xml:space="preserve">质量标准： </w:t>
            </w:r>
            <w:r>
              <w:rPr>
                <w:rFonts w:hint="eastAsia" w:ascii="Times New Roman" w:hAnsi="Times New Roman"/>
                <w:color w:val="auto"/>
                <w:highlight w:val="none"/>
                <w:u w:val="singl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1.4.1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投标人资质条件、能力和信誉</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（1）资质要求：见附录1</w:t>
            </w:r>
          </w:p>
          <w:p>
            <w:pPr>
              <w:spacing w:line="50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1.4.2</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是否接受联合体投标</w:t>
            </w:r>
          </w:p>
        </w:tc>
        <w:tc>
          <w:tcPr>
            <w:tcW w:w="5985" w:type="dxa"/>
            <w:noWrap w:val="0"/>
            <w:vAlign w:val="center"/>
          </w:tcPr>
          <w:p>
            <w:pPr>
              <w:topLinePunct/>
              <w:spacing w:line="500" w:lineRule="exact"/>
              <w:rPr>
                <w:rFonts w:ascii="Times New Roman" w:hAnsi="Times New Roman"/>
                <w:color w:val="auto"/>
                <w:highlight w:val="none"/>
              </w:rPr>
            </w:pPr>
            <w:r>
              <w:rPr>
                <w:rFonts w:hint="eastAsia" w:ascii="Times New Roman" w:hAnsi="Times New Roman"/>
                <w:color w:val="auto"/>
                <w:sz w:val="32"/>
                <w:highlight w:val="none"/>
              </w:rPr>
              <w:t>☑</w:t>
            </w:r>
            <w:r>
              <w:rPr>
                <w:rFonts w:ascii="Times New Roman" w:hAnsi="Times New Roman"/>
                <w:color w:val="auto"/>
                <w:highlight w:val="none"/>
              </w:rPr>
              <w:t>不接受</w:t>
            </w:r>
          </w:p>
          <w:p>
            <w:pPr>
              <w:spacing w:line="500" w:lineRule="exact"/>
              <w:rPr>
                <w:rFonts w:ascii="Times New Roman" w:hAnsi="Times New Roman"/>
                <w:color w:val="auto"/>
                <w:highlight w:val="none"/>
                <w:u w:val="single"/>
              </w:rPr>
            </w:pPr>
            <w:r>
              <w:rPr>
                <w:rFonts w:ascii="Times New Roman" w:hAnsi="Times New Roman"/>
                <w:color w:val="auto"/>
                <w:sz w:val="32"/>
                <w:highlight w:val="none"/>
              </w:rPr>
              <w:t>□</w:t>
            </w:r>
            <w:r>
              <w:rPr>
                <w:rFonts w:ascii="Times New Roman" w:hAnsi="Times New Roman"/>
                <w:color w:val="auto"/>
                <w:highlight w:val="none"/>
              </w:rPr>
              <w:t>接受，应满足下列要求：</w:t>
            </w:r>
            <w:r>
              <w:rPr>
                <w:rFonts w:ascii="Times New Roman" w:hAnsi="Times New Roman"/>
                <w:color w:val="auto"/>
                <w:highlight w:val="none"/>
                <w:u w:val="single"/>
              </w:rPr>
              <w:t xml:space="preserve">              </w:t>
            </w:r>
          </w:p>
          <w:p>
            <w:pPr>
              <w:spacing w:line="500" w:lineRule="exact"/>
              <w:rPr>
                <w:rFonts w:ascii="Times New Roman" w:hAnsi="Times New Roman"/>
                <w:color w:val="auto"/>
                <w:highlight w:val="none"/>
                <w:u w:val="single"/>
              </w:rPr>
            </w:pPr>
            <w:r>
              <w:rPr>
                <w:rFonts w:ascii="Times New Roman" w:hAnsi="Times New Roman"/>
                <w:color w:val="auto"/>
                <w:highlight w:val="none"/>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1.4.3</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szCs w:val="21"/>
                <w:highlight w:val="none"/>
              </w:rPr>
              <w:t>投</w:t>
            </w:r>
            <w:r>
              <w:rPr>
                <w:rFonts w:ascii="Times New Roman" w:hAnsi="Times New Roman"/>
                <w:color w:val="auto"/>
                <w:highlight w:val="none"/>
              </w:rPr>
              <w:t>标人不得存在的其他关联情形</w:t>
            </w:r>
          </w:p>
        </w:tc>
        <w:tc>
          <w:tcPr>
            <w:tcW w:w="5985" w:type="dxa"/>
            <w:noWrap w:val="0"/>
            <w:vAlign w:val="center"/>
          </w:tcPr>
          <w:p>
            <w:pPr>
              <w:snapToGrid w:val="0"/>
              <w:spacing w:line="500" w:lineRule="exact"/>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与本标段的其他投标人代理同一个制造商同一品牌同一型号的货物投标</w:t>
            </w:r>
            <w:r>
              <w:rPr>
                <w:rStyle w:val="52"/>
                <w:rFonts w:ascii="Times New Roman" w:hAnsi="Times New Roman"/>
                <w:bCs/>
                <w:snapToGrid w:val="0"/>
                <w:color w:val="auto"/>
                <w:kern w:val="0"/>
                <w:szCs w:val="21"/>
                <w:highlight w:val="none"/>
              </w:rPr>
              <w:footnoteReference w:id="0"/>
            </w:r>
            <w:r>
              <w:rPr>
                <w:rFonts w:ascii="Times New Roman" w:hAnsi="Times New Roman"/>
                <w:color w:val="auto"/>
                <w:highlight w:val="none"/>
              </w:rPr>
              <w:t xml:space="preserve">； </w:t>
            </w:r>
          </w:p>
          <w:p>
            <w:pPr>
              <w:topLinePunct/>
              <w:spacing w:line="500" w:lineRule="exact"/>
              <w:rPr>
                <w:rFonts w:ascii="Times New Roman" w:hAnsi="Times New Roman"/>
                <w:color w:val="auto"/>
                <w:sz w:val="32"/>
                <w:highlight w:val="none"/>
              </w:rPr>
            </w:pPr>
            <w:r>
              <w:rPr>
                <w:rFonts w:hint="eastAsia" w:ascii="Times New Roman" w:hAnsi="Times New Roman"/>
                <w:color w:val="auto"/>
                <w:highlight w:val="none"/>
              </w:rPr>
              <w:t>☑</w:t>
            </w:r>
            <w:r>
              <w:rPr>
                <w:rFonts w:ascii="Times New Roman" w:hAnsi="Times New Roman"/>
                <w:bCs/>
                <w:snapToGrid w:val="0"/>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1.4.4</w:t>
            </w:r>
          </w:p>
        </w:tc>
        <w:tc>
          <w:tcPr>
            <w:tcW w:w="2172" w:type="dxa"/>
            <w:noWrap w:val="0"/>
            <w:vAlign w:val="center"/>
          </w:tcPr>
          <w:p>
            <w:pPr>
              <w:snapToGrid w:val="0"/>
              <w:spacing w:line="500" w:lineRule="exact"/>
              <w:jc w:val="center"/>
              <w:rPr>
                <w:rFonts w:ascii="Times New Roman" w:hAnsi="Times New Roman"/>
                <w:color w:val="auto"/>
                <w:szCs w:val="21"/>
                <w:highlight w:val="none"/>
              </w:rPr>
            </w:pPr>
            <w:r>
              <w:rPr>
                <w:rFonts w:ascii="Times New Roman" w:hAnsi="Times New Roman"/>
                <w:color w:val="auto"/>
                <w:highlight w:val="none"/>
              </w:rPr>
              <w:t>投标人不得存在的其他不良状况或不良信用记录</w:t>
            </w:r>
          </w:p>
        </w:tc>
        <w:tc>
          <w:tcPr>
            <w:tcW w:w="5985" w:type="dxa"/>
            <w:noWrap w:val="0"/>
            <w:vAlign w:val="center"/>
          </w:tcPr>
          <w:p>
            <w:pPr>
              <w:snapToGrid w:val="0"/>
              <w:spacing w:line="500" w:lineRule="exact"/>
              <w:rPr>
                <w:rFonts w:ascii="Times New Roman" w:hAnsi="Times New Roman"/>
                <w:color w:val="auto"/>
                <w:sz w:val="32"/>
                <w:highlight w:val="none"/>
              </w:rPr>
            </w:pPr>
            <w:r>
              <w:rPr>
                <w:rFonts w:ascii="Times New Roman" w:hAnsi="Times New Roman"/>
                <w:color w:val="auto"/>
                <w:highlight w:val="none"/>
              </w:rPr>
              <w:t>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1.9.1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踏勘现场</w:t>
            </w:r>
          </w:p>
        </w:tc>
        <w:tc>
          <w:tcPr>
            <w:tcW w:w="5985" w:type="dxa"/>
            <w:noWrap w:val="0"/>
            <w:vAlign w:val="center"/>
          </w:tcPr>
          <w:p>
            <w:pPr>
              <w:pStyle w:val="15"/>
              <w:topLinePunct/>
              <w:spacing w:line="500" w:lineRule="exact"/>
              <w:rPr>
                <w:rFonts w:ascii="Times New Roman" w:hAnsi="Times New Roman"/>
                <w:color w:val="auto"/>
                <w:sz w:val="21"/>
                <w:szCs w:val="21"/>
                <w:highlight w:val="none"/>
              </w:rPr>
            </w:pPr>
            <w:r>
              <w:rPr>
                <w:rFonts w:ascii="Times New Roman" w:hAnsi="Times New Roman"/>
                <w:b/>
                <w:bCs/>
                <w:color w:val="auto"/>
                <w:szCs w:val="21"/>
                <w:highlight w:val="none"/>
              </w:rPr>
              <w:sym w:font="Wingdings" w:char="F0FE"/>
            </w:r>
            <w:r>
              <w:rPr>
                <w:rFonts w:ascii="Times New Roman" w:hAnsi="Times New Roman"/>
                <w:color w:val="auto"/>
                <w:sz w:val="21"/>
                <w:szCs w:val="21"/>
                <w:highlight w:val="none"/>
              </w:rPr>
              <w:t>不组织，投标人自行踏勘。</w:t>
            </w:r>
          </w:p>
          <w:p>
            <w:pPr>
              <w:pStyle w:val="15"/>
              <w:topLinePunct/>
              <w:spacing w:line="500" w:lineRule="exact"/>
              <w:rPr>
                <w:rFonts w:ascii="Times New Roman" w:hAnsi="Times New Roman"/>
                <w:color w:val="auto"/>
                <w:sz w:val="21"/>
                <w:szCs w:val="21"/>
                <w:highlight w:val="none"/>
              </w:rPr>
            </w:pPr>
            <w:r>
              <w:rPr>
                <w:rFonts w:ascii="Times New Roman" w:hAnsi="Times New Roman"/>
                <w:color w:val="auto"/>
                <w:sz w:val="32"/>
                <w:highlight w:val="none"/>
              </w:rPr>
              <w:t>□</w:t>
            </w:r>
            <w:r>
              <w:rPr>
                <w:rFonts w:ascii="Times New Roman" w:hAnsi="Times New Roman"/>
                <w:color w:val="auto"/>
                <w:sz w:val="21"/>
                <w:szCs w:val="21"/>
                <w:highlight w:val="none"/>
              </w:rPr>
              <w:t>组织，踏勘时间：</w:t>
            </w:r>
            <w:r>
              <w:rPr>
                <w:rFonts w:ascii="Times New Roman" w:hAnsi="Times New Roman"/>
                <w:color w:val="auto"/>
                <w:highlight w:val="none"/>
                <w:u w:val="single"/>
              </w:rPr>
              <w:t xml:space="preserve">           </w:t>
            </w:r>
          </w:p>
          <w:p>
            <w:pPr>
              <w:pStyle w:val="15"/>
              <w:topLinePunct/>
              <w:spacing w:line="500" w:lineRule="exact"/>
              <w:ind w:firstLine="840" w:firstLineChars="400"/>
              <w:rPr>
                <w:rFonts w:ascii="Times New Roman" w:hAnsi="Times New Roman"/>
                <w:color w:val="auto"/>
                <w:sz w:val="21"/>
                <w:szCs w:val="21"/>
                <w:highlight w:val="none"/>
                <w:u w:val="single"/>
              </w:rPr>
            </w:pPr>
            <w:r>
              <w:rPr>
                <w:rFonts w:ascii="Times New Roman" w:hAnsi="Times New Roman"/>
                <w:color w:val="auto"/>
                <w:sz w:val="21"/>
                <w:szCs w:val="21"/>
                <w:highlight w:val="none"/>
              </w:rPr>
              <w:t>踏勘集中地点：</w:t>
            </w:r>
            <w:r>
              <w:rPr>
                <w:rFonts w:ascii="Times New Roman" w:hAnsi="Times New Roman"/>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2.1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构成招标文件的其他资料</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（根据情况填写，如：“图纸”等相关资料）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2.2.1</w:t>
            </w:r>
          </w:p>
        </w:tc>
        <w:tc>
          <w:tcPr>
            <w:tcW w:w="2172" w:type="dxa"/>
            <w:vMerge w:val="restart"/>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投标人要求澄清招标文件</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szCs w:val="21"/>
                <w:highlight w:val="none"/>
              </w:rPr>
              <w:t>时间：</w:t>
            </w:r>
            <w:r>
              <w:rPr>
                <w:rFonts w:ascii="Times New Roman" w:hAnsi="Times New Roman"/>
                <w:bCs/>
                <w:snapToGrid w:val="0"/>
                <w:color w:val="auto"/>
                <w:kern w:val="0"/>
                <w:szCs w:val="21"/>
                <w:highlight w:val="none"/>
                <w:u w:val="single"/>
              </w:rPr>
              <w:t xml:space="preserve">    </w:t>
            </w:r>
            <w:r>
              <w:rPr>
                <w:rFonts w:ascii="Times New Roman" w:hAnsi="Times New Roman"/>
                <w:bCs/>
                <w:snapToGrid w:val="0"/>
                <w:color w:val="auto"/>
                <w:kern w:val="0"/>
                <w:szCs w:val="21"/>
                <w:highlight w:val="none"/>
              </w:rPr>
              <w:t>年</w:t>
            </w:r>
            <w:r>
              <w:rPr>
                <w:rFonts w:ascii="Times New Roman" w:hAnsi="Times New Roman"/>
                <w:bCs/>
                <w:snapToGrid w:val="0"/>
                <w:color w:val="auto"/>
                <w:kern w:val="0"/>
                <w:szCs w:val="21"/>
                <w:highlight w:val="none"/>
                <w:u w:val="single"/>
              </w:rPr>
              <w:t xml:space="preserve">   </w:t>
            </w:r>
            <w:r>
              <w:rPr>
                <w:rFonts w:ascii="Times New Roman" w:hAnsi="Times New Roman"/>
                <w:bCs/>
                <w:snapToGrid w:val="0"/>
                <w:color w:val="auto"/>
                <w:kern w:val="0"/>
                <w:szCs w:val="21"/>
                <w:highlight w:val="none"/>
              </w:rPr>
              <w:t>月</w:t>
            </w:r>
            <w:r>
              <w:rPr>
                <w:rFonts w:ascii="Times New Roman" w:hAnsi="Times New Roman"/>
                <w:bCs/>
                <w:snapToGrid w:val="0"/>
                <w:color w:val="auto"/>
                <w:kern w:val="0"/>
                <w:szCs w:val="21"/>
                <w:highlight w:val="none"/>
                <w:u w:val="single"/>
              </w:rPr>
              <w:t xml:space="preserve">   </w:t>
            </w:r>
            <w:r>
              <w:rPr>
                <w:rFonts w:ascii="Times New Roman" w:hAnsi="Times New Roman"/>
                <w:bCs/>
                <w:snapToGrid w:val="0"/>
                <w:color w:val="auto"/>
                <w:kern w:val="0"/>
                <w:szCs w:val="21"/>
                <w:highlight w:val="none"/>
              </w:rPr>
              <w:t>日</w:t>
            </w:r>
            <w:r>
              <w:rPr>
                <w:rFonts w:ascii="Times New Roman" w:hAnsi="Times New Roman"/>
                <w:bCs/>
                <w:snapToGrid w:val="0"/>
                <w:color w:val="auto"/>
                <w:kern w:val="0"/>
                <w:szCs w:val="21"/>
                <w:highlight w:val="none"/>
                <w:u w:val="single"/>
              </w:rPr>
              <w:t xml:space="preserve">   </w:t>
            </w:r>
            <w:r>
              <w:rPr>
                <w:rFonts w:ascii="Times New Roman" w:hAnsi="Times New Roman"/>
                <w:bCs/>
                <w:snapToGrid w:val="0"/>
                <w:color w:val="auto"/>
                <w:kern w:val="0"/>
                <w:szCs w:val="21"/>
                <w:highlight w:val="none"/>
              </w:rPr>
              <w:t>时</w:t>
            </w:r>
            <w:r>
              <w:rPr>
                <w:rFonts w:ascii="Times New Roman" w:hAnsi="Times New Roman"/>
                <w:bCs/>
                <w:snapToGrid w:val="0"/>
                <w:color w:val="auto"/>
                <w:kern w:val="0"/>
                <w:szCs w:val="21"/>
                <w:highlight w:val="none"/>
                <w:u w:val="single"/>
              </w:rPr>
              <w:t xml:space="preserve">   </w:t>
            </w:r>
            <w:r>
              <w:rPr>
                <w:rFonts w:ascii="Times New Roman" w:hAnsi="Times New Roman"/>
                <w:bCs/>
                <w:snapToGrid w:val="0"/>
                <w:color w:val="auto"/>
                <w:kern w:val="0"/>
                <w:szCs w:val="21"/>
                <w:highlight w:val="none"/>
              </w:rPr>
              <w:t>分前</w:t>
            </w:r>
            <w:r>
              <w:rPr>
                <w:rFonts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pPr>
              <w:spacing w:line="500" w:lineRule="exact"/>
              <w:jc w:val="center"/>
              <w:rPr>
                <w:rFonts w:ascii="Times New Roman" w:hAnsi="Times New Roman"/>
                <w:color w:val="auto"/>
                <w:highlight w:val="none"/>
              </w:rPr>
            </w:pPr>
          </w:p>
        </w:tc>
        <w:tc>
          <w:tcPr>
            <w:tcW w:w="2172" w:type="dxa"/>
            <w:vMerge w:val="continue"/>
            <w:noWrap w:val="0"/>
            <w:vAlign w:val="center"/>
          </w:tcPr>
          <w:p>
            <w:pPr>
              <w:spacing w:line="500" w:lineRule="exact"/>
              <w:jc w:val="center"/>
              <w:rPr>
                <w:rFonts w:ascii="Times New Roman" w:hAnsi="Times New Roman"/>
                <w:color w:val="auto"/>
                <w:highlight w:val="none"/>
              </w:rPr>
            </w:pP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bCs/>
                <w:snapToGrid w:val="0"/>
                <w:color w:val="auto"/>
                <w:kern w:val="0"/>
                <w:szCs w:val="21"/>
                <w:highlight w:val="none"/>
              </w:rPr>
              <w:t>形式：</w:t>
            </w:r>
            <w:r>
              <w:rPr>
                <w:rFonts w:ascii="Times New Roman" w:hAnsi="Times New Roman"/>
                <w:color w:val="auto"/>
                <w:highlight w:val="none"/>
              </w:rPr>
              <w:t>相关澄清要求应通过</w:t>
            </w:r>
            <w:r>
              <w:rPr>
                <w:rFonts w:ascii="Times New Roman" w:hAnsi="Times New Roman"/>
                <w:bCs/>
                <w:snapToGrid w:val="0"/>
                <w:color w:val="auto"/>
                <w:kern w:val="0"/>
                <w:szCs w:val="21"/>
                <w:highlight w:val="none"/>
              </w:rPr>
              <w:t>邮箱******@qq.com</w:t>
            </w:r>
            <w:r>
              <w:rPr>
                <w:rFonts w:ascii="Times New Roman" w:hAnsi="Times New Roman"/>
                <w:color w:val="auto"/>
                <w:highlight w:val="none"/>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2.2.2</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招标文件澄清发出的形式</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通过</w:t>
            </w:r>
            <w:r>
              <w:rPr>
                <w:rFonts w:hint="eastAsia" w:ascii="Times New Roman" w:hAnsi="Times New Roman"/>
                <w:bCs/>
                <w:snapToGrid w:val="0"/>
                <w:color w:val="auto"/>
                <w:kern w:val="0"/>
                <w:szCs w:val="21"/>
                <w:highlight w:val="none"/>
                <w:lang w:val="en-US" w:eastAsia="zh-CN"/>
              </w:rPr>
              <w:t>合肥体育产业投资</w:t>
            </w:r>
            <w:bookmarkStart w:id="489" w:name="_GoBack"/>
            <w:bookmarkEnd w:id="489"/>
            <w:r>
              <w:rPr>
                <w:rFonts w:hint="eastAsia" w:ascii="Times New Roman" w:hAnsi="Times New Roman"/>
                <w:bCs/>
                <w:snapToGrid w:val="0"/>
                <w:color w:val="auto"/>
                <w:kern w:val="0"/>
                <w:szCs w:val="21"/>
                <w:highlight w:val="none"/>
              </w:rPr>
              <w:t>有限公司</w:t>
            </w:r>
            <w:r>
              <w:rPr>
                <w:rFonts w:ascii="Times New Roman" w:hAnsi="Times New Roman"/>
                <w:bCs/>
                <w:snapToGrid w:val="0"/>
                <w:color w:val="auto"/>
                <w:kern w:val="0"/>
                <w:szCs w:val="21"/>
                <w:highlight w:val="none"/>
              </w:rPr>
              <w:t>官网</w:t>
            </w:r>
            <w:r>
              <w:rPr>
                <w:rFonts w:ascii="Times New Roman" w:hAnsi="Times New Roman"/>
                <w:color w:val="auto"/>
                <w:highlight w:val="none"/>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3.2.1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增值税税金的计算方法</w:t>
            </w:r>
          </w:p>
        </w:tc>
        <w:tc>
          <w:tcPr>
            <w:tcW w:w="5985" w:type="dxa"/>
            <w:noWrap w:val="0"/>
            <w:vAlign w:val="center"/>
          </w:tcPr>
          <w:p>
            <w:pPr>
              <w:snapToGrid w:val="0"/>
              <w:spacing w:line="500" w:lineRule="exac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（1）计税方法：</w:t>
            </w:r>
          </w:p>
          <w:p>
            <w:pPr>
              <w:snapToGrid w:val="0"/>
              <w:spacing w:line="500" w:lineRule="exact"/>
              <w:rPr>
                <w:rFonts w:ascii="Times New Roman" w:hAnsi="Times New Roman"/>
                <w:bCs/>
                <w:snapToGrid w:val="0"/>
                <w:color w:val="auto"/>
                <w:kern w:val="0"/>
                <w:szCs w:val="21"/>
                <w:highlight w:val="none"/>
              </w:rPr>
            </w:pPr>
            <w:r>
              <w:rPr>
                <w:rFonts w:ascii="Times New Roman" w:hAnsi="Times New Roman"/>
                <w:color w:val="auto"/>
                <w:sz w:val="32"/>
                <w:highlight w:val="none"/>
              </w:rPr>
              <w:t>□</w:t>
            </w:r>
            <w:r>
              <w:rPr>
                <w:rFonts w:ascii="Times New Roman" w:hAnsi="Times New Roman"/>
                <w:bCs/>
                <w:snapToGrid w:val="0"/>
                <w:color w:val="auto"/>
                <w:kern w:val="0"/>
                <w:szCs w:val="21"/>
                <w:highlight w:val="none"/>
              </w:rPr>
              <w:t>一般计税方法</w:t>
            </w:r>
          </w:p>
          <w:p>
            <w:pPr>
              <w:snapToGrid w:val="0"/>
              <w:spacing w:line="500" w:lineRule="exact"/>
              <w:rPr>
                <w:rFonts w:ascii="Times New Roman" w:hAnsi="Times New Roman"/>
                <w:bCs/>
                <w:snapToGrid w:val="0"/>
                <w:color w:val="auto"/>
                <w:kern w:val="0"/>
                <w:szCs w:val="21"/>
                <w:highlight w:val="none"/>
              </w:rPr>
            </w:pPr>
            <w:r>
              <w:rPr>
                <w:rFonts w:ascii="Times New Roman" w:hAnsi="Times New Roman"/>
                <w:color w:val="auto"/>
                <w:sz w:val="32"/>
                <w:highlight w:val="none"/>
              </w:rPr>
              <w:t>□</w:t>
            </w:r>
            <w:r>
              <w:rPr>
                <w:rFonts w:ascii="Times New Roman" w:hAnsi="Times New Roman"/>
                <w:bCs/>
                <w:snapToGrid w:val="0"/>
                <w:color w:val="auto"/>
                <w:kern w:val="0"/>
                <w:szCs w:val="21"/>
                <w:highlight w:val="none"/>
              </w:rPr>
              <w:t xml:space="preserve">简易计算方法 </w:t>
            </w:r>
          </w:p>
          <w:p>
            <w:pPr>
              <w:snapToGrid w:val="0"/>
              <w:spacing w:line="500" w:lineRule="exac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（2）发票类型：</w:t>
            </w:r>
          </w:p>
          <w:p>
            <w:pPr>
              <w:snapToGrid w:val="0"/>
              <w:spacing w:line="500" w:lineRule="exact"/>
              <w:rPr>
                <w:rFonts w:ascii="Times New Roman" w:hAnsi="Times New Roman"/>
                <w:bCs/>
                <w:snapToGrid w:val="0"/>
                <w:color w:val="auto"/>
                <w:kern w:val="0"/>
                <w:szCs w:val="21"/>
                <w:highlight w:val="none"/>
              </w:rPr>
            </w:pPr>
            <w:r>
              <w:rPr>
                <w:rFonts w:hint="eastAsia" w:ascii="Times New Roman" w:hAnsi="Times New Roman"/>
                <w:color w:val="auto"/>
                <w:sz w:val="32"/>
                <w:highlight w:val="none"/>
              </w:rPr>
              <w:t>☑</w:t>
            </w:r>
            <w:r>
              <w:rPr>
                <w:rFonts w:ascii="Times New Roman" w:hAnsi="Times New Roman"/>
                <w:bCs/>
                <w:snapToGrid w:val="0"/>
                <w:color w:val="auto"/>
                <w:kern w:val="0"/>
                <w:szCs w:val="21"/>
                <w:highlight w:val="none"/>
              </w:rPr>
              <w:t>增值税专用发票</w:t>
            </w:r>
          </w:p>
          <w:p>
            <w:pPr>
              <w:snapToGrid w:val="0"/>
              <w:spacing w:line="500" w:lineRule="exact"/>
              <w:rPr>
                <w:rFonts w:ascii="Times New Roman" w:hAnsi="Times New Roman"/>
                <w:bCs/>
                <w:snapToGrid w:val="0"/>
                <w:color w:val="auto"/>
                <w:kern w:val="0"/>
                <w:szCs w:val="21"/>
                <w:highlight w:val="none"/>
              </w:rPr>
            </w:pPr>
            <w:r>
              <w:rPr>
                <w:rFonts w:ascii="Times New Roman" w:hAnsi="Times New Roman"/>
                <w:color w:val="auto"/>
                <w:sz w:val="32"/>
                <w:highlight w:val="none"/>
              </w:rPr>
              <w:t>□</w:t>
            </w:r>
            <w:r>
              <w:rPr>
                <w:rFonts w:ascii="Times New Roman" w:hAnsi="Times New Roman"/>
                <w:bCs/>
                <w:snapToGrid w:val="0"/>
                <w:color w:val="auto"/>
                <w:kern w:val="0"/>
                <w:szCs w:val="21"/>
                <w:highlight w:val="none"/>
              </w:rPr>
              <w:t>增值税普通发票</w:t>
            </w:r>
          </w:p>
          <w:p>
            <w:pPr>
              <w:snapToGrid w:val="0"/>
              <w:spacing w:line="500" w:lineRule="exac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（3）增值税税率按照国家有关规定执行。</w:t>
            </w:r>
          </w:p>
          <w:p>
            <w:pPr>
              <w:snapToGrid w:val="0"/>
              <w:spacing w:line="500" w:lineRule="exact"/>
              <w:rPr>
                <w:rFonts w:ascii="Times New Roman" w:hAnsi="Times New Roman"/>
                <w:color w:val="auto"/>
                <w:highlight w:val="none"/>
              </w:rPr>
            </w:pPr>
            <w:r>
              <w:rPr>
                <w:rFonts w:ascii="Times New Roman" w:hAnsi="Times New Roman"/>
                <w:bCs/>
                <w:snapToGrid w:val="0"/>
                <w:color w:val="auto"/>
                <w:kern w:val="0"/>
                <w:szCs w:val="21"/>
                <w:highlight w:val="none"/>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eastAsia="楷体"/>
                <w:color w:val="auto"/>
                <w:highlight w:val="none"/>
              </w:rPr>
            </w:pPr>
            <w:r>
              <w:rPr>
                <w:rFonts w:ascii="Times New Roman" w:hAnsi="Times New Roman"/>
                <w:color w:val="auto"/>
                <w:highlight w:val="none"/>
              </w:rPr>
              <w:t>3.2.3</w:t>
            </w:r>
          </w:p>
        </w:tc>
        <w:tc>
          <w:tcPr>
            <w:tcW w:w="2172" w:type="dxa"/>
            <w:noWrap w:val="0"/>
            <w:vAlign w:val="center"/>
          </w:tcPr>
          <w:p>
            <w:pPr>
              <w:spacing w:line="500" w:lineRule="exact"/>
              <w:jc w:val="center"/>
              <w:rPr>
                <w:rFonts w:ascii="Times New Roman" w:hAnsi="Times New Roman" w:eastAsia="楷体"/>
                <w:color w:val="auto"/>
                <w:highlight w:val="none"/>
              </w:rPr>
            </w:pPr>
            <w:r>
              <w:rPr>
                <w:rFonts w:ascii="Times New Roman" w:hAnsi="Times New Roman"/>
                <w:color w:val="auto"/>
                <w:highlight w:val="none"/>
              </w:rPr>
              <w:t>报价方式</w:t>
            </w:r>
          </w:p>
        </w:tc>
        <w:tc>
          <w:tcPr>
            <w:tcW w:w="5985" w:type="dxa"/>
            <w:noWrap w:val="0"/>
            <w:vAlign w:val="center"/>
          </w:tcPr>
          <w:p>
            <w:pPr>
              <w:spacing w:line="500" w:lineRule="exact"/>
              <w:rPr>
                <w:rFonts w:ascii="Times New Roman" w:hAnsi="Times New Roman"/>
                <w:color w:val="auto"/>
                <w:szCs w:val="21"/>
                <w:highlight w:val="none"/>
              </w:rPr>
            </w:pPr>
            <w:r>
              <w:rPr>
                <w:rFonts w:hint="eastAsia" w:ascii="Times New Roman" w:hAnsi="Times New Roman"/>
                <w:color w:val="auto"/>
                <w:sz w:val="32"/>
                <w:highlight w:val="none"/>
              </w:rPr>
              <w:t>☑</w:t>
            </w:r>
            <w:r>
              <w:rPr>
                <w:rFonts w:ascii="Times New Roman" w:hAnsi="Times New Roman"/>
                <w:color w:val="auto"/>
                <w:szCs w:val="21"/>
                <w:highlight w:val="none"/>
              </w:rPr>
              <w:t>总价：</w:t>
            </w:r>
            <w:r>
              <w:rPr>
                <w:rFonts w:ascii="Times New Roman" w:hAnsi="Times New Roman"/>
                <w:bCs/>
                <w:snapToGrid w:val="0"/>
                <w:color w:val="auto"/>
                <w:kern w:val="0"/>
                <w:szCs w:val="21"/>
                <w:highlight w:val="none"/>
              </w:rPr>
              <w:t>___</w:t>
            </w:r>
          </w:p>
          <w:p>
            <w:pPr>
              <w:spacing w:line="500" w:lineRule="exact"/>
              <w:rPr>
                <w:rFonts w:ascii="Times New Roman" w:hAnsi="Times New Roman"/>
                <w:color w:val="auto"/>
                <w:szCs w:val="21"/>
                <w:highlight w:val="none"/>
              </w:rPr>
            </w:pPr>
            <w:r>
              <w:rPr>
                <w:rFonts w:ascii="Times New Roman" w:hAnsi="Times New Roman"/>
                <w:color w:val="auto"/>
                <w:sz w:val="32"/>
                <w:highlight w:val="none"/>
              </w:rPr>
              <w:t>□</w:t>
            </w:r>
            <w:r>
              <w:rPr>
                <w:rFonts w:ascii="Times New Roman" w:hAnsi="Times New Roman"/>
                <w:color w:val="auto"/>
                <w:highlight w:val="none"/>
              </w:rPr>
              <w:t>单价</w:t>
            </w:r>
            <w:r>
              <w:rPr>
                <w:rFonts w:ascii="Times New Roman" w:hAnsi="Times New Roman"/>
                <w:color w:val="auto"/>
                <w:szCs w:val="21"/>
                <w:highlight w:val="none"/>
              </w:rPr>
              <w:t>：</w:t>
            </w:r>
            <w:r>
              <w:rPr>
                <w:rFonts w:ascii="Times New Roman" w:hAnsi="Times New Roman"/>
                <w:bCs/>
                <w:snapToGrid w:val="0"/>
                <w:color w:val="auto"/>
                <w:kern w:val="0"/>
                <w:szCs w:val="21"/>
                <w:highlight w:val="none"/>
              </w:rPr>
              <w:t>___</w:t>
            </w:r>
          </w:p>
          <w:p>
            <w:pPr>
              <w:spacing w:line="500" w:lineRule="exact"/>
              <w:rPr>
                <w:rFonts w:ascii="Times New Roman" w:hAnsi="Times New Roman"/>
                <w:color w:val="auto"/>
                <w:szCs w:val="21"/>
                <w:highlight w:val="none"/>
              </w:rPr>
            </w:pPr>
            <w:r>
              <w:rPr>
                <w:rFonts w:ascii="Times New Roman" w:hAnsi="Times New Roman"/>
                <w:color w:val="auto"/>
                <w:sz w:val="32"/>
                <w:highlight w:val="none"/>
              </w:rPr>
              <w:t>□</w:t>
            </w:r>
            <w:r>
              <w:rPr>
                <w:rFonts w:ascii="Times New Roman" w:hAnsi="Times New Roman"/>
                <w:color w:val="auto"/>
                <w:szCs w:val="21"/>
                <w:highlight w:val="none"/>
              </w:rPr>
              <w:t>费率：</w:t>
            </w:r>
            <w:r>
              <w:rPr>
                <w:rFonts w:ascii="Times New Roman" w:hAnsi="Times New Roman"/>
                <w:bCs/>
                <w:snapToGrid w:val="0"/>
                <w:color w:val="auto"/>
                <w:kern w:val="0"/>
                <w:szCs w:val="21"/>
                <w:highlight w:val="none"/>
              </w:rPr>
              <w:t>___</w:t>
            </w:r>
          </w:p>
          <w:p>
            <w:pPr>
              <w:spacing w:line="500" w:lineRule="exact"/>
              <w:rPr>
                <w:rFonts w:ascii="Times New Roman" w:hAnsi="Times New Roman" w:eastAsia="楷体"/>
                <w:color w:val="auto"/>
                <w:highlight w:val="none"/>
                <w:u w:val="single"/>
              </w:rPr>
            </w:pPr>
            <w:r>
              <w:rPr>
                <w:rFonts w:ascii="Times New Roman" w:hAnsi="Times New Roman"/>
                <w:color w:val="auto"/>
                <w:sz w:val="32"/>
                <w:highlight w:val="none"/>
              </w:rPr>
              <w:t>□</w:t>
            </w:r>
            <w:r>
              <w:rPr>
                <w:rFonts w:ascii="Times New Roman" w:hAnsi="Times New Roman"/>
                <w:color w:val="auto"/>
                <w:szCs w:val="21"/>
                <w:highlight w:val="none"/>
              </w:rPr>
              <w:t>定价：</w:t>
            </w:r>
            <w:r>
              <w:rPr>
                <w:rFonts w:ascii="Times New Roman" w:hAnsi="Times New Roman"/>
                <w:bCs/>
                <w:snapToGrid w:val="0"/>
                <w:color w:val="auto"/>
                <w:kern w:val="0"/>
                <w:szCs w:val="21"/>
                <w:highlight w:val="none"/>
              </w:rPr>
              <w:t>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3.2.4</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最高投标限价</w:t>
            </w:r>
          </w:p>
        </w:tc>
        <w:tc>
          <w:tcPr>
            <w:tcW w:w="5985" w:type="dxa"/>
            <w:noWrap w:val="0"/>
            <w:vAlign w:val="center"/>
          </w:tcPr>
          <w:p>
            <w:pPr>
              <w:snapToGrid w:val="0"/>
              <w:spacing w:line="500" w:lineRule="exact"/>
              <w:rPr>
                <w:rFonts w:ascii="Times New Roman" w:hAnsi="Times New Roman"/>
                <w:bCs/>
                <w:snapToGrid w:val="0"/>
                <w:color w:val="auto"/>
                <w:kern w:val="0"/>
                <w:szCs w:val="21"/>
                <w:highlight w:val="none"/>
              </w:rPr>
            </w:pPr>
            <w:r>
              <w:rPr>
                <w:rFonts w:ascii="Times New Roman" w:hAnsi="Times New Roman"/>
                <w:color w:val="auto"/>
                <w:sz w:val="32"/>
                <w:highlight w:val="none"/>
              </w:rPr>
              <w:t>□</w:t>
            </w:r>
            <w:r>
              <w:rPr>
                <w:rFonts w:ascii="Times New Roman" w:hAnsi="Times New Roman"/>
                <w:bCs/>
                <w:snapToGrid w:val="0"/>
                <w:color w:val="auto"/>
                <w:kern w:val="0"/>
                <w:szCs w:val="21"/>
                <w:highlight w:val="none"/>
              </w:rPr>
              <w:t>无</w:t>
            </w:r>
          </w:p>
          <w:p>
            <w:pPr>
              <w:snapToGrid w:val="0"/>
              <w:spacing w:line="500" w:lineRule="exact"/>
              <w:rPr>
                <w:rFonts w:ascii="Times New Roman" w:hAnsi="Times New Roman"/>
                <w:bCs/>
                <w:snapToGrid w:val="0"/>
                <w:color w:val="auto"/>
                <w:kern w:val="0"/>
                <w:szCs w:val="21"/>
                <w:highlight w:val="none"/>
              </w:rPr>
            </w:pPr>
            <w:r>
              <w:rPr>
                <w:rFonts w:hint="eastAsia" w:ascii="Times New Roman" w:hAnsi="Times New Roman"/>
                <w:color w:val="auto"/>
                <w:sz w:val="32"/>
                <w:highlight w:val="none"/>
              </w:rPr>
              <w:t>☑</w:t>
            </w:r>
            <w:r>
              <w:rPr>
                <w:rFonts w:ascii="Times New Roman" w:hAnsi="Times New Roman"/>
                <w:bCs/>
                <w:snapToGrid w:val="0"/>
                <w:color w:val="auto"/>
                <w:kern w:val="0"/>
                <w:szCs w:val="21"/>
                <w:highlight w:val="none"/>
              </w:rPr>
              <w:t>有，最高投标限价_</w:t>
            </w:r>
            <w:r>
              <w:rPr>
                <w:rFonts w:ascii="Times New Roman" w:hAnsi="Times New Roman"/>
                <w:bCs/>
                <w:snapToGrid w:val="0"/>
                <w:color w:val="auto"/>
                <w:kern w:val="0"/>
                <w:szCs w:val="21"/>
                <w:highlight w:val="none"/>
                <w:u w:val="single"/>
              </w:rPr>
              <w:t>_</w:t>
            </w:r>
            <w:r>
              <w:rPr>
                <w:rFonts w:hint="eastAsia" w:ascii="Times New Roman" w:hAnsi="Times New Roman"/>
                <w:bCs/>
                <w:snapToGrid w:val="0"/>
                <w:color w:val="auto"/>
                <w:kern w:val="0"/>
                <w:szCs w:val="21"/>
                <w:highlight w:val="none"/>
                <w:u w:val="single"/>
              </w:rPr>
              <w:t>2</w:t>
            </w:r>
            <w:r>
              <w:rPr>
                <w:rFonts w:hint="eastAsia" w:ascii="Times New Roman" w:hAnsi="Times New Roman"/>
                <w:bCs/>
                <w:snapToGrid w:val="0"/>
                <w:color w:val="auto"/>
                <w:kern w:val="0"/>
                <w:szCs w:val="21"/>
                <w:highlight w:val="none"/>
                <w:u w:val="single"/>
                <w:lang w:val="en-US" w:eastAsia="zh-CN"/>
              </w:rPr>
              <w:t>8</w:t>
            </w:r>
            <w:r>
              <w:rPr>
                <w:rFonts w:hint="eastAsia" w:ascii="Times New Roman" w:hAnsi="Times New Roman"/>
                <w:bCs/>
                <w:snapToGrid w:val="0"/>
                <w:color w:val="auto"/>
                <w:kern w:val="0"/>
                <w:szCs w:val="21"/>
                <w:highlight w:val="none"/>
                <w:u w:val="single"/>
              </w:rPr>
              <w:t>万元</w:t>
            </w:r>
            <w:r>
              <w:rPr>
                <w:rFonts w:ascii="Times New Roman" w:hAnsi="Times New Roman"/>
                <w:bCs/>
                <w:snapToGrid w:val="0"/>
                <w:color w:val="auto"/>
                <w:kern w:val="0"/>
                <w:szCs w:val="21"/>
                <w:highlight w:val="none"/>
                <w:u w:val="single"/>
              </w:rPr>
              <w:t>_</w:t>
            </w:r>
          </w:p>
          <w:p>
            <w:pPr>
              <w:snapToGrid w:val="0"/>
              <w:spacing w:line="500" w:lineRule="exact"/>
              <w:rPr>
                <w:rFonts w:ascii="Times New Roman" w:hAnsi="Times New Roman"/>
                <w:color w:val="auto"/>
                <w:highlight w:val="none"/>
              </w:rPr>
            </w:pPr>
            <w:r>
              <w:rPr>
                <w:rFonts w:ascii="Times New Roman" w:hAnsi="Times New Roman"/>
                <w:color w:val="auto"/>
                <w:sz w:val="32"/>
                <w:highlight w:val="none"/>
              </w:rPr>
              <w:t>□</w:t>
            </w:r>
            <w:r>
              <w:rPr>
                <w:rFonts w:ascii="Times New Roman" w:hAnsi="Times New Roman"/>
                <w:bCs/>
                <w:snapToGrid w:val="0"/>
                <w:color w:val="auto"/>
                <w:kern w:val="0"/>
                <w:szCs w:val="21"/>
                <w:highlight w:val="none"/>
              </w:rPr>
              <w:t>有，通过</w:t>
            </w:r>
            <w:r>
              <w:rPr>
                <w:rFonts w:hint="eastAsia" w:ascii="Times New Roman" w:hAnsi="Times New Roman"/>
                <w:bCs/>
                <w:snapToGrid w:val="0"/>
                <w:color w:val="auto"/>
                <w:kern w:val="0"/>
                <w:szCs w:val="21"/>
                <w:highlight w:val="none"/>
                <w:lang w:eastAsia="zh-CN"/>
              </w:rPr>
              <w:t>合肥体育产业投资</w:t>
            </w:r>
            <w:r>
              <w:rPr>
                <w:rFonts w:hint="eastAsia" w:ascii="Times New Roman" w:hAnsi="Times New Roman"/>
                <w:bCs/>
                <w:snapToGrid w:val="0"/>
                <w:color w:val="auto"/>
                <w:kern w:val="0"/>
                <w:szCs w:val="21"/>
                <w:highlight w:val="none"/>
              </w:rPr>
              <w:t>有限公司</w:t>
            </w:r>
            <w:r>
              <w:rPr>
                <w:rFonts w:ascii="Times New Roman" w:hAnsi="Times New Roman"/>
                <w:bCs/>
                <w:snapToGrid w:val="0"/>
                <w:color w:val="auto"/>
                <w:kern w:val="0"/>
                <w:szCs w:val="21"/>
                <w:highlight w:val="none"/>
              </w:rPr>
              <w:t>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3.2.5</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投标报价的其他要求</w:t>
            </w:r>
          </w:p>
        </w:tc>
        <w:tc>
          <w:tcPr>
            <w:tcW w:w="5985" w:type="dxa"/>
            <w:noWrap w:val="0"/>
            <w:vAlign w:val="center"/>
          </w:tcPr>
          <w:p>
            <w:pPr>
              <w:spacing w:line="500" w:lineRule="exact"/>
              <w:ind w:firstLine="420" w:firstLineChars="20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3.3.1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投标有效期</w:t>
            </w:r>
          </w:p>
        </w:tc>
        <w:tc>
          <w:tcPr>
            <w:tcW w:w="5985" w:type="dxa"/>
            <w:noWrap w:val="0"/>
            <w:vAlign w:val="center"/>
          </w:tcPr>
          <w:p>
            <w:pPr>
              <w:spacing w:line="500" w:lineRule="exact"/>
              <w:rPr>
                <w:rFonts w:ascii="Times New Roman" w:hAnsi="Times New Roman"/>
                <w:color w:val="auto"/>
                <w:highlight w:val="none"/>
              </w:rPr>
            </w:pPr>
            <w:bookmarkStart w:id="33" w:name="_Toc352691470"/>
            <w:bookmarkStart w:id="34" w:name="_Toc361508582"/>
            <w:bookmarkStart w:id="35" w:name="_Toc369531512"/>
            <w:bookmarkStart w:id="36" w:name="_Toc300834946"/>
            <w:bookmarkStart w:id="37" w:name="_Toc1789"/>
            <w:bookmarkStart w:id="38" w:name="_Toc384308207"/>
            <w:r>
              <w:rPr>
                <w:rFonts w:ascii="Times New Roman" w:hAnsi="Times New Roman"/>
                <w:snapToGrid w:val="0"/>
                <w:color w:val="auto"/>
                <w:kern w:val="0"/>
                <w:szCs w:val="21"/>
                <w:highlight w:val="none"/>
              </w:rPr>
              <w:t>自投标人提交投标文件截止之日起计算120日</w:t>
            </w:r>
          </w:p>
        </w:tc>
      </w:tr>
      <w:bookmarkEnd w:id="33"/>
      <w:bookmarkEnd w:id="34"/>
      <w:bookmarkEnd w:id="35"/>
      <w:bookmarkEnd w:id="36"/>
      <w:bookmarkEnd w:id="37"/>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3.4.1</w:t>
            </w:r>
          </w:p>
        </w:tc>
        <w:tc>
          <w:tcPr>
            <w:tcW w:w="2172" w:type="dxa"/>
            <w:noWrap w:val="0"/>
            <w:vAlign w:val="center"/>
          </w:tcPr>
          <w:p>
            <w:pPr>
              <w:snapToGrid w:val="0"/>
              <w:spacing w:line="500" w:lineRule="exact"/>
              <w:jc w:val="center"/>
              <w:rPr>
                <w:rFonts w:ascii="Times New Roman" w:hAnsi="Times New Roman"/>
                <w:color w:val="auto"/>
                <w:highlight w:val="none"/>
              </w:rPr>
            </w:pPr>
            <w:r>
              <w:rPr>
                <w:rFonts w:ascii="Times New Roman" w:hAnsi="Times New Roman"/>
                <w:color w:val="auto"/>
                <w:highlight w:val="none"/>
              </w:rPr>
              <w:t>投标保证金</w:t>
            </w:r>
          </w:p>
        </w:tc>
        <w:tc>
          <w:tcPr>
            <w:tcW w:w="5985" w:type="dxa"/>
            <w:noWrap w:val="0"/>
            <w:vAlign w:val="center"/>
          </w:tcPr>
          <w:p>
            <w:pPr>
              <w:snapToGrid w:val="0"/>
              <w:spacing w:line="500" w:lineRule="exact"/>
              <w:rPr>
                <w:rFonts w:ascii="Times New Roman" w:hAnsi="Times New Roman"/>
                <w:color w:val="auto"/>
                <w:highlight w:val="none"/>
              </w:rPr>
            </w:pPr>
            <w:r>
              <w:rPr>
                <w:rFonts w:ascii="Times New Roman" w:hAnsi="Times New Roman"/>
                <w:color w:val="auto"/>
                <w:highlight w:val="none"/>
              </w:rPr>
              <w:t>1.是否要求投标人递交投标保证金：</w:t>
            </w:r>
          </w:p>
          <w:p>
            <w:pPr>
              <w:snapToGrid w:val="0"/>
              <w:spacing w:line="500" w:lineRule="exact"/>
              <w:rPr>
                <w:rFonts w:ascii="Times New Roman" w:hAnsi="Times New Roman"/>
                <w:color w:val="auto"/>
                <w:highlight w:val="none"/>
              </w:rPr>
            </w:pPr>
            <w:r>
              <w:rPr>
                <w:rFonts w:hint="eastAsia" w:ascii="Times New Roman" w:hAnsi="Times New Roman"/>
                <w:color w:val="auto"/>
                <w:highlight w:val="none"/>
                <w:lang w:eastAsia="zh-CN"/>
              </w:rPr>
              <w:t>☑</w:t>
            </w:r>
            <w:r>
              <w:rPr>
                <w:rFonts w:ascii="Times New Roman" w:hAnsi="Times New Roman"/>
                <w:color w:val="auto"/>
                <w:highlight w:val="none"/>
              </w:rPr>
              <w:t xml:space="preserve">不要求  </w:t>
            </w:r>
            <w:r>
              <w:rPr>
                <w:rFonts w:hint="eastAsia" w:ascii="Times New Roman" w:hAnsi="Times New Roman"/>
                <w:color w:val="auto"/>
                <w:highlight w:val="none"/>
                <w:lang w:eastAsia="zh-CN"/>
              </w:rPr>
              <w:t>□</w:t>
            </w:r>
            <w:r>
              <w:rPr>
                <w:rFonts w:ascii="Times New Roman" w:hAnsi="Times New Roman"/>
                <w:color w:val="auto"/>
                <w:highlight w:val="none"/>
              </w:rPr>
              <w:t>要求</w:t>
            </w:r>
          </w:p>
          <w:p>
            <w:pPr>
              <w:snapToGrid w:val="0"/>
              <w:spacing w:line="500" w:lineRule="exact"/>
              <w:rPr>
                <w:rFonts w:ascii="Times New Roman" w:hAnsi="Times New Roman"/>
                <w:color w:val="auto"/>
                <w:highlight w:val="none"/>
              </w:rPr>
            </w:pPr>
            <w:r>
              <w:rPr>
                <w:rFonts w:ascii="Times New Roman" w:hAnsi="Times New Roman"/>
                <w:color w:val="auto"/>
                <w:highlight w:val="none"/>
              </w:rPr>
              <w:t>投标保证金的形式：</w:t>
            </w:r>
          </w:p>
          <w:p>
            <w:pPr>
              <w:snapToGrid w:val="0"/>
              <w:spacing w:line="500" w:lineRule="exact"/>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eq \o\ac(□,√)</w:instrText>
            </w:r>
            <w:r>
              <w:rPr>
                <w:rFonts w:ascii="Times New Roman" w:hAnsi="Times New Roman"/>
                <w:color w:val="auto"/>
                <w:highlight w:val="none"/>
              </w:rPr>
              <w:fldChar w:fldCharType="end"/>
            </w:r>
            <w:r>
              <w:rPr>
                <w:rFonts w:ascii="Times New Roman" w:hAnsi="Times New Roman"/>
                <w:color w:val="auto"/>
                <w:highlight w:val="none"/>
              </w:rPr>
              <w:t xml:space="preserve">银行转账  </w:t>
            </w:r>
            <w:r>
              <w:rPr>
                <w:rFonts w:ascii="Times New Roman" w:hAnsi="Times New Roman"/>
                <w:color w:val="auto"/>
                <w:highlight w:val="none"/>
              </w:rPr>
              <w:fldChar w:fldCharType="begin"/>
            </w:r>
            <w:r>
              <w:rPr>
                <w:rFonts w:ascii="Times New Roman" w:hAnsi="Times New Roman"/>
                <w:color w:val="auto"/>
                <w:highlight w:val="none"/>
              </w:rPr>
              <w:instrText xml:space="preserve"> eq \o\ac(□)</w:instrText>
            </w:r>
            <w:r>
              <w:rPr>
                <w:rFonts w:ascii="Times New Roman" w:hAnsi="Times New Roman"/>
                <w:color w:val="auto"/>
                <w:highlight w:val="none"/>
              </w:rPr>
              <w:fldChar w:fldCharType="end"/>
            </w:r>
            <w:r>
              <w:rPr>
                <w:rFonts w:ascii="Times New Roman" w:hAnsi="Times New Roman"/>
                <w:color w:val="auto"/>
                <w:highlight w:val="none"/>
              </w:rPr>
              <w:t xml:space="preserve">银行电汇  </w:t>
            </w:r>
          </w:p>
          <w:p>
            <w:pPr>
              <w:snapToGrid w:val="0"/>
              <w:spacing w:line="500" w:lineRule="exact"/>
              <w:rPr>
                <w:rFonts w:ascii="Times New Roman" w:hAnsi="Times New Roman"/>
                <w:color w:val="auto"/>
                <w:highlight w:val="none"/>
              </w:rPr>
            </w:pPr>
            <w:r>
              <w:rPr>
                <w:rFonts w:ascii="Times New Roman" w:hAnsi="Times New Roman"/>
                <w:color w:val="auto"/>
                <w:highlight w:val="none"/>
              </w:rPr>
              <w:t>投标保证金的金额：</w:t>
            </w:r>
            <w:r>
              <w:rPr>
                <w:rFonts w:ascii="Times New Roman" w:hAnsi="Times New Roman"/>
                <w:i/>
                <w:iCs/>
                <w:color w:val="auto"/>
                <w:highlight w:val="none"/>
              </w:rPr>
              <w:t>人民币</w:t>
            </w:r>
            <w:r>
              <w:rPr>
                <w:rFonts w:ascii="Times New Roman" w:hAnsi="Times New Roman"/>
                <w:i/>
                <w:iCs/>
                <w:color w:val="auto"/>
                <w:highlight w:val="none"/>
                <w:u w:val="single"/>
              </w:rPr>
              <w:t xml:space="preserve"> </w:t>
            </w:r>
            <w:r>
              <w:rPr>
                <w:rFonts w:hint="eastAsia" w:ascii="Times New Roman" w:hAnsi="Times New Roman"/>
                <w:i/>
                <w:iCs/>
                <w:color w:val="auto"/>
                <w:highlight w:val="none"/>
                <w:u w:val="single"/>
                <w:lang w:val="en-US" w:eastAsia="zh-CN"/>
              </w:rPr>
              <w:t>/</w:t>
            </w:r>
            <w:r>
              <w:rPr>
                <w:rFonts w:ascii="Times New Roman" w:hAnsi="Times New Roman"/>
                <w:i/>
                <w:iCs/>
                <w:color w:val="auto"/>
                <w:highlight w:val="none"/>
              </w:rPr>
              <w:t xml:space="preserve"> 万元</w:t>
            </w:r>
          </w:p>
          <w:p>
            <w:pPr>
              <w:snapToGrid w:val="0"/>
              <w:spacing w:line="500" w:lineRule="exact"/>
              <w:rPr>
                <w:color w:val="auto"/>
                <w:highlight w:val="none"/>
              </w:rPr>
            </w:pPr>
            <w:r>
              <w:rPr>
                <w:color w:val="auto"/>
                <w:highlight w:val="none"/>
              </w:rPr>
              <w:t xml:space="preserve">递交要求： </w:t>
            </w:r>
          </w:p>
          <w:p>
            <w:pPr>
              <w:snapToGrid w:val="0"/>
              <w:spacing w:line="500" w:lineRule="exact"/>
              <w:rPr>
                <w:color w:val="auto"/>
                <w:highlight w:val="none"/>
              </w:rPr>
            </w:pPr>
            <w:r>
              <w:rPr>
                <w:color w:val="auto"/>
                <w:highlight w:val="none"/>
              </w:rPr>
              <w:t>①投标保证金的到账截止时间：</w:t>
            </w:r>
            <w:r>
              <w:rPr>
                <w:rFonts w:hint="eastAsia"/>
                <w:color w:val="auto"/>
                <w:highlight w:val="none"/>
              </w:rPr>
              <w:t>报名</w:t>
            </w:r>
            <w:r>
              <w:rPr>
                <w:color w:val="auto"/>
                <w:highlight w:val="none"/>
              </w:rPr>
              <w:t>截止时间。</w:t>
            </w:r>
          </w:p>
          <w:p>
            <w:pPr>
              <w:snapToGrid w:val="0"/>
              <w:spacing w:line="500" w:lineRule="exact"/>
              <w:rPr>
                <w:color w:val="auto"/>
                <w:highlight w:val="none"/>
              </w:rPr>
            </w:pPr>
            <w:r>
              <w:rPr>
                <w:color w:val="auto"/>
                <w:highlight w:val="none"/>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ascii="Times New Roman" w:hAnsi="Times New Roman"/>
                <w:color w:val="auto"/>
                <w:szCs w:val="21"/>
                <w:highlight w:val="none"/>
              </w:rPr>
            </w:pPr>
            <w:r>
              <w:rPr>
                <w:color w:val="auto"/>
                <w:highlight w:val="none"/>
              </w:rPr>
              <w:t>③转帐时请备注“××项目投标保证金，并将转账凭证扫描件发送至</w:t>
            </w:r>
            <w:r>
              <w:rPr>
                <w:rFonts w:hint="eastAsia"/>
                <w:color w:val="auto"/>
                <w:highlight w:val="none"/>
                <w:u w:val="single"/>
                <w:lang w:val="en-US" w:eastAsia="zh-CN"/>
              </w:rPr>
              <w:t>361365751</w:t>
            </w:r>
            <w:r>
              <w:rPr>
                <w:color w:val="auto"/>
                <w:highlight w:val="none"/>
                <w:u w:val="single"/>
              </w:rPr>
              <w:t>@qq.com</w:t>
            </w:r>
            <w:r>
              <w:rPr>
                <w:color w:val="auto"/>
                <w:highlight w:val="none"/>
              </w:rPr>
              <w:t>邮箱</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3.4.4</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szCs w:val="21"/>
                <w:highlight w:val="none"/>
              </w:rPr>
              <w:t>其他不予退还投标保证金的情形</w:t>
            </w:r>
          </w:p>
        </w:tc>
        <w:tc>
          <w:tcPr>
            <w:tcW w:w="5985" w:type="dxa"/>
            <w:noWrap w:val="0"/>
            <w:vAlign w:val="center"/>
          </w:tcPr>
          <w:p>
            <w:pPr>
              <w:keepNext/>
              <w:keepLines/>
              <w:spacing w:line="500" w:lineRule="exact"/>
              <w:outlineLvl w:val="0"/>
              <w:rPr>
                <w:rFonts w:ascii="Times New Roman" w:hAnsi="Times New Roman"/>
                <w:bCs/>
                <w:snapToGrid w:val="0"/>
                <w:color w:val="auto"/>
                <w:kern w:val="0"/>
                <w:szCs w:val="21"/>
                <w:highlight w:val="none"/>
              </w:rPr>
            </w:pPr>
            <w:bookmarkStart w:id="39" w:name="_Toc30538"/>
            <w:r>
              <w:rPr>
                <w:rFonts w:ascii="Times New Roman" w:hAnsi="Times New Roman"/>
                <w:bCs/>
                <w:snapToGrid w:val="0"/>
                <w:color w:val="auto"/>
                <w:kern w:val="0"/>
                <w:szCs w:val="21"/>
                <w:highlight w:val="none"/>
              </w:rPr>
              <w:t>（1）中标候选人无正当理由放弃中标项目资格的；</w:t>
            </w:r>
            <w:bookmarkEnd w:id="39"/>
          </w:p>
          <w:p>
            <w:pPr>
              <w:spacing w:line="500" w:lineRule="exact"/>
              <w:rPr>
                <w:rFonts w:ascii="Times New Roman" w:hAnsi="Times New Roman"/>
                <w:color w:val="auto"/>
                <w:highlight w:val="none"/>
              </w:rPr>
            </w:pPr>
            <w:r>
              <w:rPr>
                <w:rFonts w:ascii="Times New Roman" w:hAnsi="Times New Roman"/>
                <w:color w:val="auto"/>
                <w:highlight w:val="none"/>
              </w:rPr>
              <w:t>（2）投标人存在弄虚作假行为的；</w:t>
            </w:r>
          </w:p>
          <w:p>
            <w:pPr>
              <w:spacing w:line="500" w:lineRule="exact"/>
              <w:rPr>
                <w:rFonts w:ascii="Times New Roman" w:hAnsi="Times New Roman"/>
                <w:color w:val="auto"/>
                <w:highlight w:val="none"/>
              </w:rPr>
            </w:pPr>
            <w:r>
              <w:rPr>
                <w:rFonts w:ascii="Times New Roman" w:hAnsi="Times New Roman"/>
                <w:color w:val="auto"/>
                <w:highlight w:val="none"/>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3.6.1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是否允许递交备选投标方案</w:t>
            </w:r>
          </w:p>
        </w:tc>
        <w:tc>
          <w:tcPr>
            <w:tcW w:w="5985" w:type="dxa"/>
            <w:noWrap w:val="0"/>
            <w:vAlign w:val="center"/>
          </w:tcPr>
          <w:p>
            <w:pPr>
              <w:pStyle w:val="15"/>
              <w:topLinePunct/>
              <w:spacing w:line="500" w:lineRule="exact"/>
              <w:rPr>
                <w:rFonts w:ascii="Times New Roman" w:hAnsi="Times New Roman"/>
                <w:color w:val="auto"/>
                <w:sz w:val="21"/>
                <w:szCs w:val="22"/>
                <w:highlight w:val="none"/>
              </w:rPr>
            </w:pPr>
            <w:r>
              <w:rPr>
                <w:rFonts w:ascii="Times New Roman" w:hAnsi="Times New Roman"/>
                <w:b/>
                <w:bCs/>
                <w:color w:val="auto"/>
                <w:szCs w:val="21"/>
                <w:highlight w:val="none"/>
              </w:rPr>
              <w:sym w:font="Wingdings" w:char="F0FE"/>
            </w:r>
            <w:r>
              <w:rPr>
                <w:rFonts w:ascii="Times New Roman" w:hAnsi="Times New Roman"/>
                <w:color w:val="auto"/>
                <w:sz w:val="21"/>
                <w:szCs w:val="22"/>
                <w:highlight w:val="none"/>
              </w:rPr>
              <w:t>不允许</w:t>
            </w:r>
          </w:p>
          <w:p>
            <w:pPr>
              <w:spacing w:line="500" w:lineRule="exact"/>
              <w:rPr>
                <w:rFonts w:ascii="Times New Roman" w:hAnsi="Times New Roman"/>
                <w:color w:val="auto"/>
                <w:highlight w:val="none"/>
              </w:rPr>
            </w:pPr>
            <w:r>
              <w:rPr>
                <w:rFonts w:ascii="Times New Roman" w:hAnsi="Times New Roman"/>
                <w:color w:val="auto"/>
                <w:sz w:val="32"/>
                <w:highlight w:val="none"/>
              </w:rPr>
              <w:t>□</w:t>
            </w:r>
            <w:r>
              <w:rPr>
                <w:rFonts w:ascii="Times New Roman" w:hAnsi="Times New Roman"/>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3.7.1</w:t>
            </w:r>
          </w:p>
        </w:tc>
        <w:tc>
          <w:tcPr>
            <w:tcW w:w="2172" w:type="dxa"/>
            <w:noWrap w:val="0"/>
            <w:vAlign w:val="center"/>
          </w:tcPr>
          <w:p>
            <w:pPr>
              <w:pStyle w:val="14"/>
              <w:spacing w:line="500" w:lineRule="exact"/>
              <w:jc w:val="center"/>
              <w:rPr>
                <w:color w:val="auto"/>
                <w:highlight w:val="none"/>
              </w:rPr>
            </w:pPr>
            <w:r>
              <w:rPr>
                <w:snapToGrid w:val="0"/>
                <w:color w:val="auto"/>
                <w:kern w:val="0"/>
                <w:szCs w:val="21"/>
                <w:highlight w:val="none"/>
                <w:shd w:val="clear" w:color="auto" w:fill="FFFFFF"/>
              </w:rPr>
              <w:t>服务方案编制的特殊要求</w:t>
            </w:r>
          </w:p>
        </w:tc>
        <w:tc>
          <w:tcPr>
            <w:tcW w:w="5985" w:type="dxa"/>
            <w:noWrap w:val="0"/>
            <w:vAlign w:val="center"/>
          </w:tcPr>
          <w:p>
            <w:pPr>
              <w:snapToGrid w:val="0"/>
              <w:spacing w:line="500" w:lineRule="exact"/>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（1）本招标项目重点难点：______</w:t>
            </w:r>
            <w:r>
              <w:rPr>
                <w:rFonts w:hint="eastAsia" w:ascii="Times New Roman" w:hAnsi="Times New Roman"/>
                <w:snapToGrid w:val="0"/>
                <w:color w:val="auto"/>
                <w:kern w:val="0"/>
                <w:szCs w:val="21"/>
                <w:highlight w:val="none"/>
                <w:shd w:val="clear" w:color="auto" w:fill="FFFFFF"/>
              </w:rPr>
              <w:t>/</w:t>
            </w:r>
            <w:r>
              <w:rPr>
                <w:rFonts w:ascii="Times New Roman" w:hAnsi="Times New Roman"/>
                <w:snapToGrid w:val="0"/>
                <w:color w:val="auto"/>
                <w:kern w:val="0"/>
                <w:szCs w:val="21"/>
                <w:highlight w:val="none"/>
                <w:shd w:val="clear" w:color="auto" w:fill="FFFFFF"/>
              </w:rPr>
              <w:t>______________；</w:t>
            </w:r>
          </w:p>
          <w:p>
            <w:pPr>
              <w:snapToGrid w:val="0"/>
              <w:spacing w:line="500" w:lineRule="exact"/>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（2）其他：</w:t>
            </w:r>
            <w:r>
              <w:rPr>
                <w:rFonts w:hint="eastAsia" w:ascii="Times New Roman" w:hAnsi="Times New Roman"/>
                <w:snapToGrid w:val="0"/>
                <w:color w:val="auto"/>
                <w:kern w:val="0"/>
                <w:szCs w:val="21"/>
                <w:highlight w:val="none"/>
                <w:u w:val="single"/>
                <w:shd w:val="clear" w:color="auto" w:fill="FFFFFF"/>
                <w:lang w:val="en-US" w:eastAsia="zh-CN"/>
              </w:rPr>
              <w:t xml:space="preserve">  /  </w:t>
            </w:r>
            <w:r>
              <w:rPr>
                <w:rFonts w:hint="eastAsia" w:ascii="Times New Roman" w:hAnsi="Times New Roman"/>
                <w:snapToGrid w:val="0"/>
                <w:color w:val="auto"/>
                <w:kern w:val="0"/>
                <w:szCs w:val="21"/>
                <w:highlight w:val="none"/>
                <w:shd w:val="clear" w:color="auto" w:fill="FFFFFF"/>
                <w:lang w:val="en-US" w:eastAsia="zh-CN"/>
              </w:rPr>
              <w:t xml:space="preserve"> </w:t>
            </w:r>
            <w:r>
              <w:rPr>
                <w:rFonts w:ascii="Times New Roman" w:hAnsi="Times New Roman"/>
                <w:snapToGrid w:val="0"/>
                <w:color w:val="auto"/>
                <w:kern w:val="0"/>
                <w:szCs w:val="21"/>
                <w:highlight w:val="none"/>
                <w:shd w:val="clear" w:color="auto" w:fill="FFFFFF"/>
              </w:rPr>
              <w:t>。</w:t>
            </w:r>
          </w:p>
          <w:p>
            <w:pPr>
              <w:snapToGrid w:val="0"/>
              <w:spacing w:line="500" w:lineRule="exact"/>
              <w:rPr>
                <w:rFonts w:ascii="Times New Roman" w:hAnsi="Times New Roman"/>
                <w:color w:val="auto"/>
                <w:sz w:val="32"/>
                <w:highlight w:val="none"/>
              </w:rPr>
            </w:pPr>
            <w:r>
              <w:rPr>
                <w:rFonts w:ascii="Times New Roman" w:hAnsi="Times New Roman"/>
                <w:snapToGrid w:val="0"/>
                <w:color w:val="auto"/>
                <w:kern w:val="0"/>
                <w:szCs w:val="21"/>
                <w:highlight w:val="none"/>
                <w:shd w:val="clear" w:color="auto" w:fill="FFFFFF"/>
              </w:rPr>
              <w:t>投标人必须在技术文件中重点阐述。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color w:val="auto"/>
                <w:highlight w:val="none"/>
              </w:rPr>
            </w:pPr>
            <w:r>
              <w:rPr>
                <w:rFonts w:ascii="Times New Roman" w:hAnsi="Times New Roman"/>
                <w:color w:val="auto"/>
                <w:highlight w:val="none"/>
              </w:rPr>
              <w:t>4.2.</w:t>
            </w:r>
            <w:r>
              <w:rPr>
                <w:rFonts w:hint="eastAsia" w:ascii="Times New Roman" w:hAnsi="Times New Roman"/>
                <w:color w:val="auto"/>
                <w:highlight w:val="none"/>
              </w:rPr>
              <w:t>2</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投标文件是否退还</w:t>
            </w:r>
          </w:p>
        </w:tc>
        <w:tc>
          <w:tcPr>
            <w:tcW w:w="5985" w:type="dxa"/>
            <w:noWrap w:val="0"/>
            <w:vAlign w:val="center"/>
          </w:tcPr>
          <w:p>
            <w:pPr>
              <w:pStyle w:val="15"/>
              <w:topLinePunct/>
              <w:spacing w:line="500" w:lineRule="exact"/>
              <w:rPr>
                <w:rFonts w:ascii="Times New Roman" w:hAnsi="Times New Roman"/>
                <w:color w:val="auto"/>
                <w:szCs w:val="22"/>
                <w:highlight w:val="none"/>
              </w:rPr>
            </w:pPr>
            <w:r>
              <w:rPr>
                <w:rFonts w:ascii="Times New Roman" w:hAnsi="Times New Roman"/>
                <w:b/>
                <w:bCs/>
                <w:color w:val="auto"/>
                <w:szCs w:val="21"/>
                <w:highlight w:val="none"/>
              </w:rPr>
              <w:sym w:font="Wingdings" w:char="F0FE"/>
            </w:r>
            <w:r>
              <w:rPr>
                <w:rFonts w:ascii="Times New Roman" w:hAnsi="Times New Roman"/>
                <w:color w:val="auto"/>
                <w:sz w:val="21"/>
                <w:szCs w:val="21"/>
                <w:highlight w:val="none"/>
              </w:rPr>
              <w:t>否</w:t>
            </w:r>
          </w:p>
          <w:p>
            <w:pPr>
              <w:pStyle w:val="15"/>
              <w:topLinePunct/>
              <w:spacing w:line="500" w:lineRule="exact"/>
              <w:rPr>
                <w:rFonts w:ascii="Times New Roman" w:hAnsi="Times New Roman"/>
                <w:color w:val="auto"/>
                <w:sz w:val="21"/>
                <w:szCs w:val="22"/>
                <w:highlight w:val="none"/>
                <w:u w:val="single"/>
              </w:rPr>
            </w:pPr>
            <w:r>
              <w:rPr>
                <w:rFonts w:ascii="Times New Roman" w:hAnsi="Times New Roman"/>
                <w:color w:val="auto"/>
                <w:sz w:val="32"/>
                <w:highlight w:val="none"/>
              </w:rPr>
              <w:t>□</w:t>
            </w:r>
            <w:r>
              <w:rPr>
                <w:rFonts w:ascii="Times New Roman" w:hAnsi="Times New Roman"/>
                <w:color w:val="auto"/>
                <w:sz w:val="21"/>
                <w:szCs w:val="22"/>
                <w:highlight w:val="none"/>
              </w:rPr>
              <w:t>是，退还安排：</w:t>
            </w:r>
            <w:r>
              <w:rPr>
                <w:rFonts w:ascii="Times New Roman" w:hAnsi="Times New Roman"/>
                <w:color w:val="auto"/>
                <w:sz w:val="21"/>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5.1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szCs w:val="21"/>
                <w:highlight w:val="none"/>
              </w:rPr>
              <w:t>开标时间和地点</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开标时间：</w:t>
            </w:r>
            <w:r>
              <w:rPr>
                <w:rFonts w:hint="eastAsia" w:ascii="Times New Roman" w:hAnsi="Times New Roman"/>
                <w:bCs/>
                <w:snapToGrid w:val="0"/>
                <w:color w:val="auto"/>
                <w:szCs w:val="24"/>
                <w:highlight w:val="none"/>
              </w:rPr>
              <w:t>见招标公告</w:t>
            </w:r>
          </w:p>
          <w:p>
            <w:pPr>
              <w:spacing w:line="500" w:lineRule="exact"/>
              <w:rPr>
                <w:rFonts w:ascii="Times New Roman" w:hAnsi="Times New Roman"/>
                <w:color w:val="auto"/>
                <w:highlight w:val="none"/>
              </w:rPr>
            </w:pPr>
            <w:r>
              <w:rPr>
                <w:rFonts w:ascii="Times New Roman" w:hAnsi="Times New Roman"/>
                <w:color w:val="auto"/>
                <w:highlight w:val="none"/>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5.2</w:t>
            </w:r>
          </w:p>
        </w:tc>
        <w:tc>
          <w:tcPr>
            <w:tcW w:w="2172" w:type="dxa"/>
            <w:noWrap w:val="0"/>
            <w:vAlign w:val="center"/>
          </w:tcPr>
          <w:p>
            <w:pPr>
              <w:spacing w:line="500" w:lineRule="exact"/>
              <w:jc w:val="center"/>
              <w:rPr>
                <w:rFonts w:ascii="Times New Roman" w:hAnsi="Times New Roman"/>
                <w:color w:val="auto"/>
                <w:szCs w:val="21"/>
                <w:highlight w:val="none"/>
              </w:rPr>
            </w:pPr>
            <w:r>
              <w:rPr>
                <w:rFonts w:ascii="Times New Roman" w:hAnsi="Times New Roman"/>
                <w:color w:val="auto"/>
                <w:highlight w:val="none"/>
              </w:rPr>
              <w:t>开标程序</w:t>
            </w:r>
          </w:p>
        </w:tc>
        <w:tc>
          <w:tcPr>
            <w:tcW w:w="5985" w:type="dxa"/>
            <w:noWrap w:val="0"/>
            <w:vAlign w:val="center"/>
          </w:tcPr>
          <w:p>
            <w:pPr>
              <w:snapToGrid w:val="0"/>
              <w:spacing w:line="500" w:lineRule="exact"/>
              <w:rPr>
                <w:rFonts w:ascii="Times New Roman" w:hAnsi="Times New Roman"/>
                <w:bCs/>
                <w:snapToGrid w:val="0"/>
                <w:color w:val="auto"/>
                <w:kern w:val="0"/>
                <w:szCs w:val="21"/>
                <w:highlight w:val="none"/>
              </w:rPr>
            </w:pPr>
            <w:r>
              <w:rPr>
                <w:rFonts w:hint="eastAsia" w:ascii="Times New Roman" w:hAnsi="Times New Roman"/>
                <w:color w:val="auto"/>
                <w:sz w:val="32"/>
                <w:highlight w:val="none"/>
              </w:rPr>
              <w:t>☑</w:t>
            </w:r>
            <w:r>
              <w:rPr>
                <w:rFonts w:ascii="Times New Roman" w:hAnsi="Times New Roman"/>
                <w:bCs/>
                <w:snapToGrid w:val="0"/>
                <w:color w:val="auto"/>
                <w:kern w:val="0"/>
                <w:szCs w:val="21"/>
                <w:highlight w:val="none"/>
              </w:rPr>
              <w:t>公布投标人名称、标段名称、投标报价（或定价）、服务期限及其他内容。</w:t>
            </w:r>
          </w:p>
          <w:p>
            <w:pPr>
              <w:snapToGrid w:val="0"/>
              <w:spacing w:line="500" w:lineRule="exact"/>
              <w:rPr>
                <w:rFonts w:ascii="Times New Roman" w:hAnsi="Times New Roman"/>
                <w:bCs/>
                <w:snapToGrid w:val="0"/>
                <w:color w:val="auto"/>
                <w:kern w:val="0"/>
                <w:szCs w:val="21"/>
                <w:highlight w:val="none"/>
              </w:rPr>
            </w:pPr>
            <w:r>
              <w:rPr>
                <w:rFonts w:ascii="Times New Roman" w:hAnsi="Times New Roman"/>
                <w:color w:val="auto"/>
                <w:sz w:val="32"/>
                <w:highlight w:val="none"/>
              </w:rPr>
              <w:t>□</w:t>
            </w:r>
            <w:r>
              <w:rPr>
                <w:rFonts w:ascii="Times New Roman" w:hAnsi="Times New Roman"/>
                <w:bCs/>
                <w:snapToGrid w:val="0"/>
                <w:color w:val="auto"/>
                <w:kern w:val="0"/>
                <w:szCs w:val="21"/>
                <w:highlight w:val="none"/>
              </w:rPr>
              <w:t>对技术</w:t>
            </w:r>
            <w:r>
              <w:rPr>
                <w:rFonts w:hint="eastAsia" w:ascii="Times New Roman" w:hAnsi="Times New Roman"/>
                <w:bCs/>
                <w:snapToGrid w:val="0"/>
                <w:color w:val="auto"/>
                <w:kern w:val="0"/>
                <w:szCs w:val="21"/>
                <w:highlight w:val="none"/>
                <w:lang w:val="en-US" w:eastAsia="zh-CN"/>
              </w:rPr>
              <w:t>及资信</w:t>
            </w:r>
            <w:r>
              <w:rPr>
                <w:rFonts w:ascii="Times New Roman" w:hAnsi="Times New Roman"/>
                <w:bCs/>
                <w:snapToGrid w:val="0"/>
                <w:color w:val="auto"/>
                <w:kern w:val="0"/>
                <w:szCs w:val="21"/>
                <w:highlight w:val="none"/>
              </w:rPr>
              <w:t>文件评审完成后，再开启投标人的报价文件并进行评审。</w:t>
            </w:r>
          </w:p>
          <w:p>
            <w:pPr>
              <w:snapToGrid w:val="0"/>
              <w:spacing w:line="500" w:lineRule="exact"/>
              <w:rPr>
                <w:rFonts w:ascii="Times New Roman" w:hAnsi="Times New Roman"/>
                <w:b/>
                <w:color w:val="auto"/>
                <w:sz w:val="32"/>
                <w:highlight w:val="none"/>
                <w:u w:val="single"/>
              </w:rPr>
            </w:pPr>
            <w:r>
              <w:rPr>
                <w:rFonts w:ascii="Times New Roman" w:hAnsi="Times New Roman"/>
                <w:b/>
                <w:color w:val="auto"/>
                <w:szCs w:val="24"/>
                <w:highlight w:val="none"/>
              </w:rPr>
              <w:t>多标段开标顺序：</w:t>
            </w:r>
            <w:r>
              <w:rPr>
                <w:rFonts w:ascii="Times New Roman" w:hAnsi="Times New Roman"/>
                <w:b/>
                <w:color w:val="auto"/>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6.1.1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评标委员会的组建</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评标委员会构成：</w:t>
            </w:r>
            <w:r>
              <w:rPr>
                <w:rFonts w:ascii="Times New Roman" w:hAnsi="Times New Roman"/>
                <w:color w:val="auto"/>
                <w:highlight w:val="none"/>
                <w:u w:val="single"/>
              </w:rPr>
              <w:t>依法组建</w:t>
            </w:r>
            <w:r>
              <w:rPr>
                <w:rFonts w:ascii="Times New Roman" w:hAnsi="Times New Roman"/>
                <w:color w:val="auto"/>
                <w:highlight w:val="none"/>
              </w:rPr>
              <w:t>；</w:t>
            </w:r>
          </w:p>
          <w:p>
            <w:pPr>
              <w:spacing w:line="500" w:lineRule="exact"/>
              <w:rPr>
                <w:rFonts w:ascii="Times New Roman" w:hAnsi="Times New Roman"/>
                <w:color w:val="auto"/>
                <w:highlight w:val="none"/>
                <w:u w:val="single"/>
              </w:rPr>
            </w:pPr>
            <w:r>
              <w:rPr>
                <w:rFonts w:ascii="Times New Roman" w:hAnsi="Times New Roman"/>
                <w:color w:val="auto"/>
                <w:highlight w:val="none"/>
              </w:rPr>
              <w:t>评标专家确定方式：</w:t>
            </w:r>
            <w:r>
              <w:rPr>
                <w:rFonts w:ascii="Times New Roman" w:hAnsi="Times New Roman"/>
                <w:color w:val="auto"/>
                <w:highlight w:val="none"/>
                <w:u w:val="single"/>
              </w:rPr>
              <w:t>依法确定</w:t>
            </w:r>
            <w:r>
              <w:rPr>
                <w:rFonts w:ascii="Times New Roman" w:hAnsi="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6.3.2</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评标委员会推荐中标候选人的人数</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szCs w:val="24"/>
                <w:highlight w:val="none"/>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7.1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中标候选人公示媒介及期限</w:t>
            </w:r>
          </w:p>
        </w:tc>
        <w:tc>
          <w:tcPr>
            <w:tcW w:w="5985" w:type="dxa"/>
            <w:noWrap w:val="0"/>
            <w:vAlign w:val="center"/>
          </w:tcPr>
          <w:p>
            <w:pPr>
              <w:snapToGrid w:val="0"/>
              <w:spacing w:line="500" w:lineRule="exact"/>
              <w:rPr>
                <w:rFonts w:ascii="Times New Roman" w:hAnsi="Times New Roman"/>
                <w:color w:val="auto"/>
                <w:highlight w:val="none"/>
              </w:rPr>
            </w:pPr>
            <w:r>
              <w:rPr>
                <w:rFonts w:ascii="Times New Roman" w:hAnsi="Times New Roman"/>
                <w:color w:val="auto"/>
                <w:highlight w:val="none"/>
              </w:rPr>
              <w:t>公示媒介：同招标公告发布媒介</w:t>
            </w:r>
          </w:p>
          <w:p>
            <w:pPr>
              <w:spacing w:line="500" w:lineRule="exact"/>
              <w:rPr>
                <w:rFonts w:ascii="Times New Roman" w:hAnsi="Times New Roman"/>
                <w:color w:val="auto"/>
                <w:highlight w:val="none"/>
              </w:rPr>
            </w:pPr>
            <w:r>
              <w:rPr>
                <w:rFonts w:ascii="Times New Roman" w:hAnsi="Times New Roman"/>
                <w:color w:val="auto"/>
                <w:highlight w:val="none"/>
              </w:rPr>
              <w:t>公示期限：</w:t>
            </w:r>
            <w:r>
              <w:rPr>
                <w:rFonts w:ascii="Times New Roman" w:hAnsi="Times New Roman"/>
                <w:color w:val="auto"/>
                <w:highlight w:val="none"/>
                <w:u w:val="single"/>
              </w:rPr>
              <w:t xml:space="preserve"> 3 </w:t>
            </w:r>
            <w:r>
              <w:rPr>
                <w:rFonts w:ascii="Times New Roman" w:hAnsi="Times New Roman"/>
                <w:color w:val="auto"/>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7.4</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是否授权评标委员会确定中标人</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eastAsia="MS Mincho"/>
                <w:color w:val="auto"/>
                <w:szCs w:val="24"/>
                <w:highlight w:val="none"/>
              </w:rPr>
              <w:t>☑</w:t>
            </w:r>
            <w:r>
              <w:rPr>
                <w:rFonts w:ascii="Times New Roman" w:hAnsi="Times New Roman"/>
                <w:color w:val="auto"/>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7.5</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中标通知书和中标结果通知发出的形式</w:t>
            </w:r>
          </w:p>
        </w:tc>
        <w:tc>
          <w:tcPr>
            <w:tcW w:w="5985" w:type="dxa"/>
            <w:noWrap w:val="0"/>
            <w:vAlign w:val="center"/>
          </w:tcPr>
          <w:p>
            <w:pPr>
              <w:snapToGrid w:val="0"/>
              <w:spacing w:line="500" w:lineRule="exact"/>
              <w:rPr>
                <w:rFonts w:ascii="Times New Roman" w:hAnsi="Times New Roman"/>
                <w:color w:val="auto"/>
                <w:highlight w:val="none"/>
              </w:rPr>
            </w:pPr>
            <w:r>
              <w:rPr>
                <w:rFonts w:ascii="Times New Roman" w:hAnsi="Times New Roman"/>
                <w:color w:val="auto"/>
                <w:szCs w:val="21"/>
                <w:highlight w:val="none"/>
              </w:rPr>
              <w:t>☑</w:t>
            </w:r>
            <w:r>
              <w:rPr>
                <w:rFonts w:ascii="Times New Roman" w:hAnsi="Times New Roman"/>
                <w:color w:val="auto"/>
                <w:highlight w:val="none"/>
              </w:rPr>
              <w:t xml:space="preserve">书面  </w:t>
            </w:r>
            <w:r>
              <w:rPr>
                <w:rFonts w:ascii="Times New Roman" w:hAnsi="Times New Roman"/>
                <w:b/>
                <w:color w:val="auto"/>
                <w:sz w:val="24"/>
                <w:highlight w:val="none"/>
              </w:rPr>
              <w:sym w:font="Wingdings" w:char="00A8"/>
            </w:r>
            <w:r>
              <w:rPr>
                <w:rFonts w:ascii="Times New Roman" w:hAnsi="Times New Roman"/>
                <w:color w:val="auto"/>
                <w:highlight w:val="none"/>
              </w:rPr>
              <w:t>数据电文</w:t>
            </w:r>
          </w:p>
          <w:p>
            <w:pPr>
              <w:spacing w:line="500" w:lineRule="exact"/>
              <w:ind w:firstLine="2" w:firstLineChars="1"/>
              <w:jc w:val="left"/>
              <w:textAlignment w:val="center"/>
              <w:rPr>
                <w:rFonts w:ascii="Times New Roman" w:hAnsi="Times New Roman"/>
                <w:color w:val="auto"/>
                <w:sz w:val="32"/>
                <w:highlight w:val="none"/>
              </w:rPr>
            </w:pPr>
            <w:r>
              <w:rPr>
                <w:rFonts w:ascii="Times New Roman" w:hAnsi="Times New Roman"/>
                <w:color w:val="auto"/>
                <w:szCs w:val="21"/>
                <w:highlight w:val="none"/>
              </w:rPr>
              <w:t>特别提醒：</w:t>
            </w:r>
            <w:r>
              <w:rPr>
                <w:rFonts w:ascii="Times New Roman" w:hAnsi="Times New Roman"/>
                <w:b/>
                <w:bCs/>
                <w:color w:val="auto"/>
                <w:szCs w:val="24"/>
                <w:highlight w:val="none"/>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7.6</w:t>
            </w:r>
          </w:p>
        </w:tc>
        <w:tc>
          <w:tcPr>
            <w:tcW w:w="2172" w:type="dxa"/>
            <w:noWrap w:val="0"/>
            <w:vAlign w:val="center"/>
          </w:tcPr>
          <w:p>
            <w:pPr>
              <w:spacing w:line="500" w:lineRule="exact"/>
              <w:jc w:val="center"/>
              <w:rPr>
                <w:rFonts w:ascii="Times New Roman" w:hAnsi="Times New Roman" w:eastAsia="楷体"/>
                <w:color w:val="auto"/>
                <w:highlight w:val="none"/>
              </w:rPr>
            </w:pPr>
            <w:r>
              <w:rPr>
                <w:rFonts w:ascii="Times New Roman" w:hAnsi="Times New Roman"/>
                <w:color w:val="auto"/>
                <w:highlight w:val="none"/>
              </w:rPr>
              <w:t>中标结果公示媒介</w:t>
            </w:r>
          </w:p>
        </w:tc>
        <w:tc>
          <w:tcPr>
            <w:tcW w:w="5985" w:type="dxa"/>
            <w:noWrap w:val="0"/>
            <w:vAlign w:val="center"/>
          </w:tcPr>
          <w:p>
            <w:pPr>
              <w:spacing w:line="500" w:lineRule="exact"/>
              <w:rPr>
                <w:rFonts w:ascii="Times New Roman" w:hAnsi="Times New Roman"/>
                <w:color w:val="auto"/>
                <w:sz w:val="32"/>
                <w:highlight w:val="none"/>
              </w:rPr>
            </w:pPr>
            <w:r>
              <w:rPr>
                <w:rFonts w:ascii="Times New Roman" w:hAnsi="Times New Roman"/>
                <w:color w:val="auto"/>
                <w:highlight w:val="none"/>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7.7.1</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szCs w:val="21"/>
                <w:highlight w:val="none"/>
              </w:rPr>
              <w:t>履约保证金</w:t>
            </w:r>
          </w:p>
        </w:tc>
        <w:tc>
          <w:tcPr>
            <w:tcW w:w="5985" w:type="dxa"/>
            <w:noWrap w:val="0"/>
            <w:vAlign w:val="center"/>
          </w:tcPr>
          <w:p>
            <w:pPr>
              <w:snapToGrid w:val="0"/>
              <w:spacing w:line="500" w:lineRule="exact"/>
              <w:rPr>
                <w:rFonts w:ascii="Times New Roman" w:hAnsi="Times New Roman"/>
                <w:b/>
                <w:bCs/>
                <w:snapToGrid w:val="0"/>
                <w:color w:val="auto"/>
                <w:highlight w:val="none"/>
              </w:rPr>
            </w:pPr>
            <w:r>
              <w:rPr>
                <w:rFonts w:ascii="Times New Roman" w:hAnsi="Times New Roman"/>
                <w:b/>
                <w:bCs/>
                <w:snapToGrid w:val="0"/>
                <w:color w:val="auto"/>
                <w:highlight w:val="none"/>
              </w:rPr>
              <w:t>是否要求投标人递交</w:t>
            </w:r>
            <w:r>
              <w:rPr>
                <w:rFonts w:ascii="Times New Roman" w:hAnsi="Times New Roman"/>
                <w:b/>
                <w:bCs/>
                <w:color w:val="auto"/>
                <w:szCs w:val="24"/>
                <w:highlight w:val="none"/>
              </w:rPr>
              <w:t>履约保证金</w:t>
            </w:r>
            <w:r>
              <w:rPr>
                <w:rFonts w:ascii="Times New Roman" w:hAnsi="Times New Roman"/>
                <w:b/>
                <w:bCs/>
                <w:snapToGrid w:val="0"/>
                <w:color w:val="auto"/>
                <w:highlight w:val="none"/>
              </w:rPr>
              <w:t>：</w:t>
            </w:r>
          </w:p>
          <w:p>
            <w:pPr>
              <w:snapToGrid w:val="0"/>
              <w:spacing w:line="500" w:lineRule="exact"/>
              <w:rPr>
                <w:rFonts w:ascii="Times New Roman" w:hAnsi="Times New Roman"/>
                <w:b/>
                <w:bCs/>
                <w:snapToGrid w:val="0"/>
                <w:color w:val="auto"/>
                <w:highlight w:val="none"/>
              </w:rPr>
            </w:pPr>
            <w:r>
              <w:rPr>
                <w:rFonts w:hint="eastAsia" w:ascii="Times New Roman" w:hAnsi="Times New Roman"/>
                <w:b/>
                <w:bCs/>
                <w:snapToGrid w:val="0"/>
                <w:color w:val="auto"/>
                <w:highlight w:val="none"/>
              </w:rPr>
              <w:t>☑</w:t>
            </w:r>
            <w:r>
              <w:rPr>
                <w:rFonts w:ascii="Times New Roman" w:hAnsi="Times New Roman"/>
                <w:b/>
                <w:bCs/>
                <w:snapToGrid w:val="0"/>
                <w:color w:val="auto"/>
                <w:highlight w:val="none"/>
              </w:rPr>
              <w:t xml:space="preserve">不要求  </w:t>
            </w:r>
            <w:r>
              <w:rPr>
                <w:rFonts w:hint="eastAsia" w:ascii="Times New Roman" w:hAnsi="Times New Roman"/>
                <w:color w:val="auto"/>
                <w:szCs w:val="24"/>
                <w:highlight w:val="none"/>
              </w:rPr>
              <w:t>□</w:t>
            </w:r>
            <w:r>
              <w:rPr>
                <w:rFonts w:ascii="Times New Roman" w:hAnsi="Times New Roman"/>
                <w:b/>
                <w:bCs/>
                <w:snapToGrid w:val="0"/>
                <w:color w:val="auto"/>
                <w:highlight w:val="none"/>
              </w:rPr>
              <w:t>要求</w:t>
            </w:r>
          </w:p>
          <w:p>
            <w:pPr>
              <w:snapToGrid w:val="0"/>
              <w:spacing w:line="500" w:lineRule="exact"/>
              <w:rPr>
                <w:rFonts w:ascii="Times New Roman" w:hAnsi="Times New Roman"/>
                <w:bCs/>
                <w:snapToGrid w:val="0"/>
                <w:color w:val="auto"/>
                <w:highlight w:val="none"/>
              </w:rPr>
            </w:pPr>
            <w:r>
              <w:rPr>
                <w:rFonts w:ascii="Times New Roman" w:hAnsi="Times New Roman"/>
                <w:bCs/>
                <w:snapToGrid w:val="0"/>
                <w:color w:val="auto"/>
                <w:highlight w:val="none"/>
              </w:rPr>
              <w:t>（1）递交形式：</w:t>
            </w:r>
          </w:p>
          <w:p>
            <w:pPr>
              <w:snapToGrid w:val="0"/>
              <w:spacing w:line="500" w:lineRule="exact"/>
              <w:rPr>
                <w:rFonts w:ascii="Times New Roman" w:hAnsi="Times New Roman"/>
                <w:bCs/>
                <w:snapToGrid w:val="0"/>
                <w:color w:val="auto"/>
                <w:highlight w:val="none"/>
              </w:rPr>
            </w:pPr>
            <w:r>
              <w:rPr>
                <w:rFonts w:ascii="Times New Roman" w:hAnsi="Times New Roman"/>
                <w:bCs/>
                <w:snapToGrid w:val="0"/>
                <w:color w:val="auto"/>
                <w:highlight w:val="none"/>
              </w:rPr>
              <w:fldChar w:fldCharType="begin"/>
            </w:r>
            <w:r>
              <w:rPr>
                <w:rFonts w:ascii="Times New Roman" w:hAnsi="Times New Roman"/>
                <w:bCs/>
                <w:snapToGrid w:val="0"/>
                <w:color w:val="auto"/>
                <w:highlight w:val="none"/>
              </w:rPr>
              <w:instrText xml:space="preserve"> eq \o\ac(□,</w:instrText>
            </w:r>
            <w:r>
              <w:rPr>
                <w:rFonts w:ascii="Times New Roman" w:hAnsi="Times New Roman"/>
                <w:bCs/>
                <w:snapToGrid w:val="0"/>
                <w:color w:val="auto"/>
                <w:position w:val="1"/>
                <w:highlight w:val="none"/>
              </w:rPr>
              <w:instrText xml:space="preserve">√</w:instrText>
            </w:r>
            <w:r>
              <w:rPr>
                <w:rFonts w:ascii="Times New Roman" w:hAnsi="Times New Roman"/>
                <w:bCs/>
                <w:snapToGrid w:val="0"/>
                <w:color w:val="auto"/>
                <w:highlight w:val="none"/>
              </w:rPr>
              <w:instrText xml:space="preserve">)</w:instrText>
            </w:r>
            <w:r>
              <w:rPr>
                <w:rFonts w:ascii="Times New Roman" w:hAnsi="Times New Roman"/>
                <w:bCs/>
                <w:snapToGrid w:val="0"/>
                <w:color w:val="auto"/>
                <w:highlight w:val="none"/>
              </w:rPr>
              <w:fldChar w:fldCharType="end"/>
            </w:r>
            <w:r>
              <w:rPr>
                <w:rFonts w:ascii="Times New Roman" w:hAnsi="Times New Roman"/>
                <w:bCs/>
                <w:snapToGrid w:val="0"/>
                <w:color w:val="auto"/>
                <w:highlight w:val="none"/>
              </w:rPr>
              <w:t xml:space="preserve">银行转账  </w:t>
            </w:r>
            <w:r>
              <w:rPr>
                <w:rFonts w:ascii="Times New Roman" w:hAnsi="Times New Roman"/>
                <w:bCs/>
                <w:snapToGrid w:val="0"/>
                <w:color w:val="auto"/>
                <w:highlight w:val="none"/>
              </w:rPr>
              <w:fldChar w:fldCharType="begin"/>
            </w:r>
            <w:r>
              <w:rPr>
                <w:rFonts w:ascii="Times New Roman" w:hAnsi="Times New Roman"/>
                <w:bCs/>
                <w:snapToGrid w:val="0"/>
                <w:color w:val="auto"/>
                <w:highlight w:val="none"/>
              </w:rPr>
              <w:instrText xml:space="preserve"> eq \o\ac(□)</w:instrText>
            </w:r>
            <w:r>
              <w:rPr>
                <w:rFonts w:ascii="Times New Roman" w:hAnsi="Times New Roman"/>
                <w:bCs/>
                <w:snapToGrid w:val="0"/>
                <w:color w:val="auto"/>
                <w:highlight w:val="none"/>
              </w:rPr>
              <w:fldChar w:fldCharType="end"/>
            </w:r>
            <w:r>
              <w:rPr>
                <w:rFonts w:ascii="Times New Roman" w:hAnsi="Times New Roman"/>
                <w:bCs/>
                <w:snapToGrid w:val="0"/>
                <w:color w:val="auto"/>
                <w:highlight w:val="none"/>
              </w:rPr>
              <w:t xml:space="preserve">银行电汇  </w:t>
            </w:r>
          </w:p>
          <w:p>
            <w:pPr>
              <w:numPr>
                <w:ilvl w:val="0"/>
                <w:numId w:val="2"/>
              </w:numPr>
              <w:snapToGrid w:val="0"/>
              <w:spacing w:line="500" w:lineRule="exact"/>
              <w:rPr>
                <w:rFonts w:ascii="Times New Roman" w:hAnsi="Times New Roman"/>
                <w:color w:val="auto"/>
                <w:highlight w:val="none"/>
              </w:rPr>
            </w:pPr>
            <w:r>
              <w:rPr>
                <w:rFonts w:ascii="Times New Roman" w:hAnsi="Times New Roman"/>
                <w:bCs/>
                <w:snapToGrid w:val="0"/>
                <w:color w:val="auto"/>
                <w:highlight w:val="none"/>
              </w:rPr>
              <w:t>递交金额：</w:t>
            </w:r>
            <w:r>
              <w:rPr>
                <w:rFonts w:ascii="Times New Roman" w:hAnsi="Times New Roman"/>
                <w:bCs/>
                <w:snapToGrid w:val="0"/>
                <w:color w:val="auto"/>
                <w:szCs w:val="24"/>
                <w:highlight w:val="none"/>
              </w:rPr>
              <w:t>中标金</w:t>
            </w:r>
            <w:r>
              <w:rPr>
                <w:rFonts w:ascii="Times New Roman" w:hAnsi="Times New Roman"/>
                <w:color w:val="auto"/>
                <w:szCs w:val="24"/>
                <w:highlight w:val="none"/>
              </w:rPr>
              <w:t xml:space="preserve">额的 </w:t>
            </w:r>
            <w:r>
              <w:rPr>
                <w:rFonts w:ascii="Times New Roman" w:hAnsi="Times New Roman"/>
                <w:b/>
                <w:color w:val="auto"/>
                <w:szCs w:val="24"/>
                <w:highlight w:val="none"/>
                <w:u w:val="single"/>
              </w:rPr>
              <w:t xml:space="preserve"> </w:t>
            </w:r>
            <w:r>
              <w:rPr>
                <w:rFonts w:hint="eastAsia" w:ascii="Times New Roman" w:hAnsi="Times New Roman"/>
                <w:b/>
                <w:color w:val="auto"/>
                <w:szCs w:val="24"/>
                <w:highlight w:val="none"/>
                <w:u w:val="single"/>
                <w:lang w:val="en-US" w:eastAsia="zh-CN"/>
              </w:rPr>
              <w:t>/</w:t>
            </w:r>
            <w:r>
              <w:rPr>
                <w:rFonts w:ascii="Times New Roman" w:hAnsi="Times New Roman"/>
                <w:b/>
                <w:color w:val="auto"/>
                <w:szCs w:val="24"/>
                <w:highlight w:val="none"/>
                <w:u w:val="single"/>
              </w:rPr>
              <w:t xml:space="preserve"> </w:t>
            </w:r>
            <w:r>
              <w:rPr>
                <w:rFonts w:ascii="Times New Roman" w:hAnsi="Times New Roman"/>
                <w:b/>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10.1</w:t>
            </w:r>
          </w:p>
        </w:tc>
        <w:tc>
          <w:tcPr>
            <w:tcW w:w="2172" w:type="dxa"/>
            <w:noWrap w:val="0"/>
            <w:vAlign w:val="center"/>
          </w:tcPr>
          <w:p>
            <w:pPr>
              <w:spacing w:line="500" w:lineRule="exact"/>
              <w:jc w:val="center"/>
              <w:rPr>
                <w:rFonts w:ascii="Times New Roman" w:hAnsi="Times New Roman" w:eastAsia="楷体"/>
                <w:bCs/>
                <w:snapToGrid w:val="0"/>
                <w:color w:val="auto"/>
                <w:kern w:val="0"/>
                <w:szCs w:val="21"/>
                <w:highlight w:val="none"/>
              </w:rPr>
            </w:pPr>
            <w:r>
              <w:rPr>
                <w:rFonts w:hint="eastAsia" w:ascii="Times New Roman" w:hAnsi="Times New Roman"/>
                <w:color w:val="auto"/>
                <w:szCs w:val="21"/>
                <w:highlight w:val="none"/>
              </w:rPr>
              <w:t>重点提示</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（1）项目负责人必须是投标人本单位工作人员。</w:t>
            </w:r>
          </w:p>
          <w:p>
            <w:pPr>
              <w:spacing w:line="500" w:lineRule="exact"/>
              <w:rPr>
                <w:rFonts w:ascii="Times New Roman" w:hAnsi="Times New Roman"/>
                <w:color w:val="auto"/>
                <w:highlight w:val="none"/>
              </w:rPr>
            </w:pPr>
            <w:r>
              <w:rPr>
                <w:rFonts w:ascii="Times New Roman" w:hAnsi="Times New Roman"/>
                <w:color w:val="auto"/>
                <w:highlight w:val="none"/>
              </w:rPr>
              <w:t xml:space="preserve">（2）投标人对所提交的投标人或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rFonts w:ascii="Times New Roman" w:hAnsi="Times New Roman"/>
                <w:color w:val="auto"/>
                <w:highlight w:val="none"/>
              </w:rPr>
            </w:pPr>
            <w:r>
              <w:rPr>
                <w:rFonts w:ascii="Times New Roman" w:hAnsi="Times New Roman"/>
                <w:color w:val="auto"/>
                <w:highlight w:val="none"/>
              </w:rPr>
              <w:t>（3）中标人应在规定期限内提交履约保证金并与招标人签订合同，若中标人未能在规定期限内提交履约保证金或签订合同，招标人有权取消中标人中标资格。</w:t>
            </w:r>
          </w:p>
          <w:p>
            <w:pPr>
              <w:spacing w:line="500" w:lineRule="exact"/>
              <w:rPr>
                <w:rFonts w:ascii="Times New Roman" w:hAnsi="Times New Roman"/>
                <w:color w:val="auto"/>
                <w:highlight w:val="none"/>
              </w:rPr>
            </w:pPr>
            <w:r>
              <w:rPr>
                <w:rFonts w:ascii="Times New Roman" w:hAnsi="Times New Roman"/>
                <w:color w:val="auto"/>
                <w:highlight w:val="none"/>
              </w:rPr>
              <w:t>（4）合同签订后，中标人存在规定时间内不组织人员进场开工，不履行合同义务等情况，招标人有权解除合同，并追究违约责任。</w:t>
            </w:r>
          </w:p>
          <w:p>
            <w:pPr>
              <w:spacing w:line="500" w:lineRule="exact"/>
              <w:rPr>
                <w:rFonts w:ascii="Times New Roman" w:hAnsi="Times New Roman"/>
                <w:color w:val="auto"/>
                <w:highlight w:val="none"/>
              </w:rPr>
            </w:pPr>
            <w:r>
              <w:rPr>
                <w:rFonts w:ascii="Times New Roman" w:hAnsi="Times New Roman"/>
                <w:color w:val="auto"/>
                <w:highlight w:val="none"/>
              </w:rPr>
              <w:t>（5）中标人中标后被监管部门查实存在违法行为，不满足中标条件的，由</w:t>
            </w:r>
            <w:r>
              <w:rPr>
                <w:rFonts w:hint="eastAsia"/>
                <w:color w:val="auto"/>
                <w:highlight w:val="none"/>
              </w:rPr>
              <w:t>招标</w:t>
            </w:r>
            <w:r>
              <w:rPr>
                <w:rFonts w:ascii="Times New Roman" w:hAnsi="Times New Roman"/>
                <w:color w:val="auto"/>
                <w:highlight w:val="none"/>
              </w:rPr>
              <w:t>人取消中标资格，并做好项目后续工作；</w:t>
            </w:r>
          </w:p>
          <w:p>
            <w:pPr>
              <w:spacing w:line="500" w:lineRule="exact"/>
              <w:rPr>
                <w:rFonts w:ascii="Times New Roman" w:hAnsi="Times New Roman"/>
                <w:bCs/>
                <w:snapToGrid w:val="0"/>
                <w:color w:val="auto"/>
                <w:kern w:val="0"/>
                <w:szCs w:val="21"/>
                <w:highlight w:val="none"/>
              </w:rPr>
            </w:pPr>
            <w:r>
              <w:rPr>
                <w:rFonts w:ascii="Times New Roman" w:hAnsi="Times New Roman"/>
                <w:color w:val="auto"/>
                <w:highlight w:val="none"/>
              </w:rPr>
              <w:t>（6）中标人在中标项目发生投诉、信访举报</w:t>
            </w:r>
            <w:r>
              <w:rPr>
                <w:rFonts w:hint="eastAsia" w:ascii="Times New Roman" w:hAnsi="Times New Roman"/>
                <w:color w:val="auto"/>
                <w:highlight w:val="none"/>
                <w:lang w:eastAsia="zh-CN"/>
              </w:rPr>
              <w:t>案例</w:t>
            </w:r>
            <w:r>
              <w:rPr>
                <w:rFonts w:ascii="Times New Roman" w:hAnsi="Times New Roman"/>
                <w:color w:val="auto"/>
                <w:highlight w:val="none"/>
              </w:rPr>
              <w:t>、履约存在争议时，拒绝协助配合有关部门调查</w:t>
            </w:r>
            <w:r>
              <w:rPr>
                <w:rFonts w:hint="eastAsia" w:ascii="Times New Roman" w:hAnsi="Times New Roman"/>
                <w:color w:val="auto"/>
                <w:highlight w:val="none"/>
                <w:lang w:eastAsia="zh-CN"/>
              </w:rPr>
              <w:t>案例</w:t>
            </w:r>
            <w:r>
              <w:rPr>
                <w:rFonts w:ascii="Times New Roman" w:hAnsi="Times New Roman"/>
                <w:color w:val="auto"/>
                <w:highlight w:val="none"/>
              </w:rPr>
              <w:t>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pPr>
              <w:spacing w:line="500" w:lineRule="exact"/>
              <w:jc w:val="center"/>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w:t>
            </w:r>
          </w:p>
        </w:tc>
        <w:tc>
          <w:tcPr>
            <w:tcW w:w="2172" w:type="dxa"/>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其他补充说明</w:t>
            </w:r>
          </w:p>
        </w:tc>
        <w:tc>
          <w:tcPr>
            <w:tcW w:w="5985" w:type="dxa"/>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 xml:space="preserve">   无   </w:t>
            </w:r>
          </w:p>
        </w:tc>
      </w:tr>
    </w:tbl>
    <w:p>
      <w:pPr>
        <w:pStyle w:val="3"/>
        <w:spacing w:before="120" w:beforeLines="50" w:after="120" w:afterLines="50" w:line="500" w:lineRule="exact"/>
        <w:jc w:val="center"/>
        <w:rPr>
          <w:rFonts w:hint="eastAsia" w:ascii="黑体" w:hAnsi="黑体" w:eastAsia="黑体" w:cs="黑体"/>
          <w:b w:val="0"/>
          <w:color w:val="auto"/>
          <w:sz w:val="28"/>
          <w:szCs w:val="28"/>
          <w:highlight w:val="none"/>
        </w:rPr>
      </w:pPr>
      <w:r>
        <w:rPr>
          <w:rFonts w:ascii="Times New Roman" w:hAnsi="Times New Roman"/>
          <w:color w:val="auto"/>
          <w:highlight w:val="none"/>
        </w:rPr>
        <w:br w:type="page"/>
      </w:r>
      <w:bookmarkStart w:id="40" w:name="_Toc24429"/>
      <w:bookmarkStart w:id="41" w:name="_Toc11078137"/>
      <w:bookmarkStart w:id="42" w:name="_Toc12533"/>
      <w:bookmarkStart w:id="43" w:name="_Toc460226989"/>
      <w:bookmarkStart w:id="44" w:name="_Toc460660062"/>
      <w:bookmarkStart w:id="45" w:name="_Toc14409"/>
      <w:bookmarkStart w:id="46" w:name="_Toc22490"/>
      <w:bookmarkStart w:id="47" w:name="_Toc421916975"/>
      <w:bookmarkStart w:id="48" w:name="_Toc460226720"/>
      <w:bookmarkStart w:id="49" w:name="_Toc10046"/>
      <w:bookmarkStart w:id="50" w:name="_Toc31368"/>
      <w:bookmarkStart w:id="51" w:name="_Toc12462189"/>
      <w:bookmarkStart w:id="52" w:name="_Toc1280"/>
      <w:bookmarkStart w:id="53" w:name="_Toc283798416"/>
      <w:bookmarkStart w:id="54" w:name="_Toc26050"/>
      <w:bookmarkStart w:id="55" w:name="_Toc32634"/>
      <w:r>
        <w:rPr>
          <w:rFonts w:hint="eastAsia" w:ascii="黑体" w:hAnsi="黑体" w:eastAsia="黑体" w:cs="黑体"/>
          <w:b w:val="0"/>
          <w:color w:val="auto"/>
          <w:sz w:val="28"/>
          <w:szCs w:val="28"/>
          <w:highlight w:val="none"/>
        </w:rPr>
        <w:t>附录1  资格审查条件(资质最低条件)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pPr>
              <w:pStyle w:val="109"/>
              <w:adjustRightInd w:val="0"/>
              <w:snapToGrid w:val="0"/>
              <w:jc w:val="center"/>
              <w:rPr>
                <w:rFonts w:ascii="Times New Roman" w:hAnsi="Times New Roman"/>
                <w:b/>
                <w:bCs/>
                <w:color w:val="auto"/>
                <w:szCs w:val="21"/>
                <w:highlight w:val="none"/>
              </w:rPr>
            </w:pPr>
            <w:r>
              <w:rPr>
                <w:rFonts w:ascii="Times New Roman" w:hAnsi="Times New Roman"/>
                <w:b/>
                <w:bCs/>
                <w:color w:val="auto"/>
                <w:szCs w:val="21"/>
                <w:highlight w:val="none"/>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pPr>
              <w:pStyle w:val="109"/>
              <w:adjustRightInd w:val="0"/>
              <w:snapToGrid w:val="0"/>
              <w:spacing w:before="120" w:beforeLines="50" w:line="360" w:lineRule="auto"/>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1.具备有效的营业执照</w:t>
            </w:r>
            <w:r>
              <w:rPr>
                <w:rFonts w:ascii="Times New Roman" w:hAnsi="Times New Roman"/>
                <w:color w:val="auto"/>
                <w:szCs w:val="21"/>
                <w:highlight w:val="none"/>
              </w:rPr>
              <w:t>/事业单位法人证书</w:t>
            </w:r>
            <w:r>
              <w:rPr>
                <w:rFonts w:ascii="Times New Roman" w:hAnsi="Times New Roman"/>
                <w:bCs/>
                <w:snapToGrid w:val="0"/>
                <w:color w:val="auto"/>
                <w:kern w:val="0"/>
                <w:szCs w:val="21"/>
                <w:highlight w:val="none"/>
              </w:rPr>
              <w:t>。</w:t>
            </w:r>
          </w:p>
          <w:p>
            <w:pPr>
              <w:pStyle w:val="109"/>
              <w:adjustRightInd w:val="0"/>
              <w:snapToGrid w:val="0"/>
              <w:spacing w:line="360" w:lineRule="auto"/>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 xml:space="preserve">...... </w:t>
            </w:r>
          </w:p>
        </w:tc>
      </w:tr>
    </w:tbl>
    <w:p>
      <w:pPr>
        <w:pStyle w:val="109"/>
        <w:adjustRightInd w:val="0"/>
        <w:snapToGrid w:val="0"/>
        <w:spacing w:line="300" w:lineRule="exact"/>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 xml:space="preserve">  注：投标人应提供营业执照</w:t>
      </w:r>
      <w:r>
        <w:rPr>
          <w:rFonts w:ascii="Times New Roman" w:hAnsi="Times New Roman"/>
          <w:color w:val="auto"/>
          <w:szCs w:val="21"/>
          <w:highlight w:val="none"/>
        </w:rPr>
        <w:t>/事业单位法人证书</w:t>
      </w:r>
      <w:r>
        <w:rPr>
          <w:rFonts w:ascii="Times New Roman" w:hAnsi="Times New Roman"/>
          <w:bCs/>
          <w:snapToGrid w:val="0"/>
          <w:color w:val="auto"/>
          <w:kern w:val="0"/>
          <w:szCs w:val="21"/>
          <w:highlight w:val="none"/>
        </w:rPr>
        <w:t>等材料扫描件。</w:t>
      </w:r>
    </w:p>
    <w:p>
      <w:pPr>
        <w:pStyle w:val="109"/>
        <w:adjustRightInd w:val="0"/>
        <w:snapToGrid w:val="0"/>
        <w:spacing w:line="300" w:lineRule="exact"/>
        <w:ind w:firstLine="648" w:firstLineChars="270"/>
        <w:rPr>
          <w:rFonts w:ascii="Times New Roman" w:hAnsi="Times New Roman" w:eastAsia="黑体"/>
          <w:color w:val="auto"/>
          <w:sz w:val="24"/>
          <w:highlight w:val="none"/>
        </w:rPr>
      </w:pPr>
    </w:p>
    <w:p>
      <w:pPr>
        <w:widowControl/>
        <w:jc w:val="left"/>
        <w:rPr>
          <w:rFonts w:ascii="Times New Roman" w:hAnsi="Times New Roman" w:eastAsia="黑体"/>
          <w:color w:val="auto"/>
          <w:sz w:val="32"/>
          <w:szCs w:val="20"/>
          <w:highlight w:val="none"/>
        </w:rPr>
      </w:pPr>
      <w:bookmarkStart w:id="56" w:name="_Toc283798418"/>
      <w:bookmarkStart w:id="57" w:name="_Toc421916977"/>
      <w:bookmarkStart w:id="58" w:name="_Toc11078139"/>
      <w:bookmarkStart w:id="59" w:name="_Toc460226722"/>
      <w:bookmarkStart w:id="60" w:name="_Toc12462191"/>
      <w:bookmarkStart w:id="61" w:name="_Toc460226991"/>
      <w:bookmarkStart w:id="62" w:name="_Toc460660064"/>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p>
      <w:pPr>
        <w:widowControl/>
        <w:jc w:val="left"/>
        <w:rPr>
          <w:rFonts w:ascii="Times New Roman" w:hAnsi="Times New Roman" w:eastAsia="黑体"/>
          <w:color w:val="auto"/>
          <w:sz w:val="32"/>
          <w:szCs w:val="20"/>
          <w:highlight w:val="none"/>
        </w:rPr>
      </w:pPr>
    </w:p>
    <w:bookmarkEnd w:id="56"/>
    <w:bookmarkEnd w:id="57"/>
    <w:bookmarkEnd w:id="58"/>
    <w:bookmarkEnd w:id="59"/>
    <w:bookmarkEnd w:id="60"/>
    <w:bookmarkEnd w:id="61"/>
    <w:bookmarkEnd w:id="62"/>
    <w:p>
      <w:pPr>
        <w:spacing w:line="500" w:lineRule="exact"/>
        <w:jc w:val="both"/>
        <w:outlineLvl w:val="1"/>
        <w:rPr>
          <w:rFonts w:ascii="Times New Roman" w:hAnsi="Times New Roman" w:eastAsia="黑体" w:cs="Times New Roman"/>
          <w:b w:val="0"/>
          <w:color w:val="auto"/>
          <w:kern w:val="2"/>
          <w:sz w:val="28"/>
          <w:szCs w:val="18"/>
          <w:highlight w:val="none"/>
          <w:lang w:val="en-US" w:eastAsia="zh-CN" w:bidi="ar-SA"/>
        </w:rPr>
      </w:pPr>
      <w:bookmarkStart w:id="63" w:name="_Toc152045529"/>
      <w:bookmarkStart w:id="64" w:name="_Toc152042305"/>
      <w:bookmarkStart w:id="65" w:name="_Toc144974497"/>
      <w:bookmarkStart w:id="66" w:name="_Toc14860"/>
      <w:bookmarkStart w:id="67" w:name="_Toc179632546"/>
      <w:bookmarkStart w:id="68" w:name="_Toc15587"/>
      <w:bookmarkStart w:id="69" w:name="_Toc18354"/>
      <w:bookmarkStart w:id="70" w:name="_Toc1590"/>
      <w:bookmarkStart w:id="71" w:name="_Toc3399"/>
      <w:bookmarkStart w:id="72" w:name="_Toc11558"/>
      <w:bookmarkStart w:id="73" w:name="_Toc19300"/>
      <w:bookmarkStart w:id="74" w:name="_Toc24347"/>
      <w:bookmarkStart w:id="75" w:name="_Toc14931"/>
      <w:r>
        <w:rPr>
          <w:rFonts w:hint="eastAsia" w:ascii="Times New Roman" w:hAnsi="Times New Roman" w:eastAsia="黑体" w:cs="Times New Roman"/>
          <w:b w:val="0"/>
          <w:color w:val="auto"/>
          <w:kern w:val="2"/>
          <w:sz w:val="28"/>
          <w:szCs w:val="18"/>
          <w:highlight w:val="none"/>
          <w:lang w:val="en-US" w:eastAsia="zh-CN" w:bidi="ar-SA"/>
        </w:rPr>
        <w:t>1.</w:t>
      </w:r>
      <w:r>
        <w:rPr>
          <w:rFonts w:ascii="Times New Roman" w:hAnsi="Times New Roman" w:eastAsia="黑体" w:cs="Times New Roman"/>
          <w:b w:val="0"/>
          <w:color w:val="auto"/>
          <w:kern w:val="2"/>
          <w:sz w:val="28"/>
          <w:szCs w:val="18"/>
          <w:highlight w:val="none"/>
          <w:lang w:val="en-US" w:eastAsia="zh-CN" w:bidi="ar-SA"/>
        </w:rPr>
        <w:t>总则</w:t>
      </w:r>
      <w:bookmarkEnd w:id="63"/>
      <w:bookmarkEnd w:id="64"/>
      <w:bookmarkEnd w:id="65"/>
      <w:bookmarkEnd w:id="66"/>
      <w:bookmarkEnd w:id="67"/>
      <w:bookmarkEnd w:id="68"/>
      <w:bookmarkEnd w:id="69"/>
      <w:bookmarkEnd w:id="70"/>
      <w:bookmarkEnd w:id="71"/>
      <w:bookmarkEnd w:id="72"/>
      <w:bookmarkEnd w:id="73"/>
      <w:bookmarkEnd w:id="74"/>
      <w:bookmarkEnd w:id="75"/>
      <w:bookmarkStart w:id="76" w:name="_Toc152045530"/>
      <w:bookmarkStart w:id="77" w:name="_Toc179632547"/>
      <w:bookmarkStart w:id="78" w:name="_Toc152042306"/>
      <w:bookmarkStart w:id="79" w:name="_Toc144974498"/>
    </w:p>
    <w:p>
      <w:pPr>
        <w:spacing w:line="500" w:lineRule="exact"/>
        <w:jc w:val="both"/>
        <w:outlineLvl w:val="2"/>
        <w:rPr>
          <w:rFonts w:ascii="Times New Roman" w:hAnsi="Times New Roman"/>
          <w:snapToGrid w:val="0"/>
          <w:color w:val="auto"/>
          <w:sz w:val="24"/>
          <w:szCs w:val="18"/>
          <w:highlight w:val="none"/>
          <w:shd w:val="clear" w:color="auto" w:fill="FFFFFF"/>
        </w:rPr>
      </w:pPr>
      <w:r>
        <w:rPr>
          <w:rFonts w:ascii="Times New Roman" w:hAnsi="Times New Roman"/>
          <w:snapToGrid w:val="0"/>
          <w:color w:val="auto"/>
          <w:sz w:val="24"/>
          <w:szCs w:val="18"/>
          <w:highlight w:val="none"/>
          <w:shd w:val="clear" w:color="auto" w:fill="FFFFFF"/>
          <w:lang w:val="zh-CN"/>
        </w:rPr>
        <w:t>1.1 项目概况</w:t>
      </w:r>
      <w:bookmarkEnd w:id="76"/>
      <w:bookmarkEnd w:id="77"/>
      <w:bookmarkEnd w:id="78"/>
      <w:bookmarkEnd w:id="79"/>
      <w:r>
        <w:rPr>
          <w:rFonts w:ascii="Times New Roman" w:hAnsi="Times New Roman"/>
          <w:snapToGrid w:val="0"/>
          <w:color w:val="auto"/>
          <w:sz w:val="24"/>
          <w:szCs w:val="18"/>
          <w:highlight w:val="none"/>
          <w:shd w:val="clear" w:color="auto" w:fill="FFFFFF"/>
        </w:rPr>
        <w:t xml:space="preserve"> </w:t>
      </w:r>
    </w:p>
    <w:p>
      <w:pPr>
        <w:spacing w:line="50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1.1.1根据《</w:t>
      </w:r>
      <w:r>
        <w:rPr>
          <w:rFonts w:hint="eastAsia" w:ascii="Times New Roman" w:hAnsi="Times New Roman"/>
          <w:color w:val="auto"/>
          <w:highlight w:val="none"/>
          <w:lang w:val="en-US" w:eastAsia="zh-CN"/>
        </w:rPr>
        <w:t>合肥体育产业投资</w:t>
      </w:r>
      <w:r>
        <w:rPr>
          <w:rFonts w:hint="eastAsia" w:ascii="Times New Roman" w:hAnsi="Times New Roman"/>
          <w:color w:val="auto"/>
          <w:highlight w:val="none"/>
        </w:rPr>
        <w:t>有限公司招标采购管理办法》，参照《中华人民共和国招标投标法》《中华人民共和国招标投标法实施条例》等有关法律、法规和规章的规定，本招标项目已具备招标条件，现对本项目进行招标。</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1.1.2招标人：见投标人须知前附表。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3</w:t>
      </w:r>
      <w:r>
        <w:rPr>
          <w:rFonts w:ascii="Times New Roman" w:hAnsi="Times New Roman"/>
          <w:color w:val="auto"/>
          <w:highlight w:val="none"/>
        </w:rPr>
        <w:t>招标项目名称：见投标人须知前附表。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4</w:t>
      </w:r>
      <w:r>
        <w:rPr>
          <w:rFonts w:ascii="Times New Roman" w:hAnsi="Times New Roman"/>
          <w:color w:val="auto"/>
          <w:highlight w:val="none"/>
        </w:rPr>
        <w:t xml:space="preserve"> 招标项目地点：见投标人须知前附表。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5</w:t>
      </w:r>
      <w:r>
        <w:rPr>
          <w:rFonts w:ascii="Times New Roman" w:hAnsi="Times New Roman"/>
          <w:color w:val="auto"/>
          <w:highlight w:val="none"/>
        </w:rPr>
        <w:t>招标项目规模：见投标人须知前附表。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6</w:t>
      </w:r>
      <w:r>
        <w:rPr>
          <w:rFonts w:ascii="Times New Roman" w:hAnsi="Times New Roman"/>
          <w:color w:val="auto"/>
          <w:highlight w:val="none"/>
        </w:rPr>
        <w:t>招标项目预计进场日期：见投标人须知前附表。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7</w:t>
      </w:r>
      <w:r>
        <w:rPr>
          <w:rFonts w:ascii="Times New Roman" w:hAnsi="Times New Roman"/>
          <w:color w:val="auto"/>
          <w:highlight w:val="none"/>
        </w:rPr>
        <w:t>合同估算价：见投标人须知前附表。</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1.2 资金来源和落实情况</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1.2.1资金来源：见投标人须知前附表。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1.2.2资金落实情况：见投标人须知前附表。</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1.3招标范围、服务期限和质量标准</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1.3.1招标范围：见投标人须知前附表。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1.3.2服务期限：见投标人须知前附表。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1.3.3质量要求：见投标人须知前附表。</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1.4投标人资格要求</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1.4.1 投标人应具备承担本招标项目的资质条件、能力和信誉：</w:t>
      </w:r>
    </w:p>
    <w:p>
      <w:pPr>
        <w:spacing w:line="500" w:lineRule="exact"/>
        <w:ind w:firstLine="315" w:firstLineChars="150"/>
        <w:rPr>
          <w:rFonts w:ascii="Times New Roman" w:hAnsi="Times New Roman"/>
          <w:color w:val="auto"/>
          <w:highlight w:val="none"/>
        </w:rPr>
      </w:pPr>
      <w:r>
        <w:rPr>
          <w:rFonts w:ascii="Times New Roman" w:hAnsi="Times New Roman"/>
          <w:color w:val="auto"/>
          <w:highlight w:val="none"/>
        </w:rPr>
        <w:t>（1）资质要求：见投标人须知前附表；</w:t>
      </w:r>
    </w:p>
    <w:p>
      <w:pPr>
        <w:spacing w:line="500" w:lineRule="exact"/>
        <w:ind w:firstLine="315" w:firstLineChars="15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2</w:t>
      </w:r>
      <w:r>
        <w:rPr>
          <w:rFonts w:ascii="Times New Roman" w:hAnsi="Times New Roman"/>
          <w:color w:val="auto"/>
          <w:highlight w:val="none"/>
        </w:rPr>
        <w:t>）其他要求：见投标人须知前附表。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需要提交的相关证明材料见本章第3.5款的规定。</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1.4.2投标人须知前附表规定接受联合体投标的，联合体除应符合本章第1.4.1项和投标人须知前附表的要求外，还应遵守以下规定：</w:t>
      </w:r>
    </w:p>
    <w:p>
      <w:pPr>
        <w:spacing w:line="500" w:lineRule="exact"/>
        <w:ind w:firstLine="315" w:firstLineChars="150"/>
        <w:rPr>
          <w:rFonts w:ascii="Times New Roman" w:hAnsi="Times New Roman"/>
          <w:color w:val="auto"/>
          <w:highlight w:val="none"/>
        </w:rPr>
      </w:pPr>
      <w:r>
        <w:rPr>
          <w:rFonts w:ascii="Times New Roman" w:hAnsi="Times New Roman"/>
          <w:color w:val="auto"/>
          <w:highlight w:val="none"/>
        </w:rPr>
        <w:t>（1）联合体各方应按招标文件提供的格式签订联合体协议书，明确联合体牵头人和各方权利义务，并承诺就中标项目向招标人承担连带责任；</w:t>
      </w:r>
    </w:p>
    <w:p>
      <w:pPr>
        <w:spacing w:line="500" w:lineRule="exact"/>
        <w:ind w:firstLine="315" w:firstLineChars="150"/>
        <w:rPr>
          <w:rFonts w:ascii="Times New Roman" w:hAnsi="Times New Roman"/>
          <w:color w:val="auto"/>
          <w:highlight w:val="none"/>
        </w:rPr>
      </w:pPr>
      <w:r>
        <w:rPr>
          <w:rFonts w:ascii="Times New Roman" w:hAnsi="Times New Roman"/>
          <w:color w:val="auto"/>
          <w:highlight w:val="none"/>
        </w:rPr>
        <w:t>（2）由同一专业的单位组成的联合体，按照资质等级较低的单位确定资质等级；</w:t>
      </w:r>
    </w:p>
    <w:p>
      <w:pPr>
        <w:spacing w:line="500" w:lineRule="exact"/>
        <w:ind w:firstLine="315" w:firstLineChars="150"/>
        <w:rPr>
          <w:rFonts w:ascii="Times New Roman" w:hAnsi="Times New Roman"/>
          <w:color w:val="auto"/>
          <w:highlight w:val="none"/>
        </w:rPr>
      </w:pPr>
      <w:r>
        <w:rPr>
          <w:rFonts w:ascii="Times New Roman" w:hAnsi="Times New Roman"/>
          <w:color w:val="auto"/>
          <w:highlight w:val="none"/>
        </w:rPr>
        <w:t>（3）联合体各方不得再以自己名义单独或参加其他联合体在同一标段中投标；</w:t>
      </w:r>
    </w:p>
    <w:p>
      <w:pPr>
        <w:spacing w:line="500" w:lineRule="exact"/>
        <w:ind w:firstLine="315" w:firstLineChars="150"/>
        <w:rPr>
          <w:rFonts w:ascii="Times New Roman" w:hAnsi="Times New Roman"/>
          <w:color w:val="auto"/>
          <w:highlight w:val="none"/>
        </w:rPr>
      </w:pPr>
      <w:r>
        <w:rPr>
          <w:rFonts w:ascii="Times New Roman" w:hAnsi="Times New Roman"/>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315" w:firstLineChars="150"/>
        <w:rPr>
          <w:rFonts w:ascii="Times New Roman" w:hAnsi="Times New Roman"/>
          <w:color w:val="auto"/>
          <w:highlight w:val="none"/>
        </w:rPr>
      </w:pPr>
      <w:r>
        <w:rPr>
          <w:rFonts w:ascii="Times New Roman" w:hAnsi="Times New Roman"/>
          <w:color w:val="auto"/>
          <w:highlight w:val="none"/>
        </w:rPr>
        <w:t>（5）尽管委任了联合体牵头人，但联合体各成员在投标、签约与履行合同过程中，仍负有连带的和各自的法律责任。</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1.4.3 </w:t>
      </w:r>
      <w:r>
        <w:rPr>
          <w:rFonts w:ascii="Times New Roman" w:hAnsi="Times New Roman"/>
          <w:snapToGrid w:val="0"/>
          <w:color w:val="auto"/>
          <w:kern w:val="0"/>
          <w:szCs w:val="21"/>
          <w:highlight w:val="none"/>
          <w:shd w:val="clear" w:color="auto" w:fill="FFFFFF"/>
          <w:lang w:val="zh-CN"/>
        </w:rPr>
        <w:t>投标人（包括联合体各成员</w:t>
      </w:r>
      <w:r>
        <w:rPr>
          <w:rFonts w:ascii="Times New Roman" w:hAnsi="Times New Roman"/>
          <w:snapToGrid w:val="0"/>
          <w:color w:val="auto"/>
          <w:kern w:val="0"/>
          <w:szCs w:val="21"/>
          <w:highlight w:val="none"/>
          <w:shd w:val="clear" w:color="auto" w:fill="FFFFFF"/>
        </w:rPr>
        <w:t>）</w:t>
      </w:r>
      <w:r>
        <w:rPr>
          <w:rFonts w:ascii="Times New Roman" w:hAnsi="Times New Roman"/>
          <w:snapToGrid w:val="0"/>
          <w:color w:val="auto"/>
          <w:kern w:val="0"/>
          <w:szCs w:val="21"/>
          <w:highlight w:val="none"/>
          <w:shd w:val="clear" w:color="auto" w:fill="FFFFFF"/>
          <w:lang w:val="zh-CN"/>
        </w:rPr>
        <w:t>不得与本标段相关单位存在下列关联关系：</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（1）为招标人不具有独立法人资格的附属机构（单位）；</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（2）与招标人存在利害关系且可能影响招标公正性；</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（3）与本招标项目的其他投标人为同一个单位负责人；</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（4）与本招标项目的其他投标人存在控股、管理关系；</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（5）为本招标项目的代建人；</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6</w:t>
      </w:r>
      <w:r>
        <w:rPr>
          <w:rFonts w:ascii="Times New Roman" w:hAnsi="Times New Roman"/>
          <w:color w:val="auto"/>
          <w:szCs w:val="21"/>
          <w:highlight w:val="none"/>
        </w:rPr>
        <w:t>）与本招标项目的代建人同为一个法定代表人；</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7</w:t>
      </w:r>
      <w:r>
        <w:rPr>
          <w:rFonts w:ascii="Times New Roman" w:hAnsi="Times New Roman"/>
          <w:color w:val="auto"/>
          <w:szCs w:val="21"/>
          <w:highlight w:val="none"/>
        </w:rPr>
        <w:t>）与本招标项目的代建人在控股或参股关系；</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8</w:t>
      </w:r>
      <w:r>
        <w:rPr>
          <w:rFonts w:ascii="Times New Roman" w:hAnsi="Times New Roman"/>
          <w:color w:val="auto"/>
          <w:szCs w:val="21"/>
          <w:highlight w:val="none"/>
        </w:rPr>
        <w:t>）与本工程项目的其他工程咨询施工承包人以及建筑材料、建筑构配件和设备供应商有隶属关系或者其他利害关系；</w:t>
      </w:r>
    </w:p>
    <w:p>
      <w:pPr>
        <w:spacing w:line="500" w:lineRule="exact"/>
        <w:ind w:firstLine="420" w:firstLineChars="200"/>
        <w:outlineLvl w:val="3"/>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9</w:t>
      </w:r>
      <w:r>
        <w:rPr>
          <w:rFonts w:ascii="Times New Roman" w:hAnsi="Times New Roman"/>
          <w:color w:val="auto"/>
          <w:szCs w:val="21"/>
          <w:highlight w:val="none"/>
        </w:rPr>
        <w:t>）法律法规或投标人须知前附表规定的其他情形。</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1.4.4投标人（包括联合体各成员）不得存在下列不良状况或不良信用记录：</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（1）被</w:t>
      </w:r>
      <w:bookmarkStart w:id="80" w:name="_Hlk26632162"/>
      <w:r>
        <w:rPr>
          <w:rFonts w:ascii="Times New Roman" w:hAnsi="Times New Roman"/>
          <w:bCs/>
          <w:snapToGrid w:val="0"/>
          <w:color w:val="auto"/>
          <w:kern w:val="0"/>
          <w:szCs w:val="21"/>
          <w:highlight w:val="none"/>
        </w:rPr>
        <w:t>设区的</w:t>
      </w:r>
      <w:bookmarkEnd w:id="80"/>
      <w:r>
        <w:rPr>
          <w:rFonts w:ascii="Times New Roman" w:hAnsi="Times New Roman"/>
          <w:bCs/>
          <w:snapToGrid w:val="0"/>
          <w:color w:val="auto"/>
          <w:kern w:val="0"/>
          <w:szCs w:val="21"/>
          <w:highlight w:val="none"/>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（3）被责令停业，暂扣或吊销执照，或吊销资质证书；</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（4）进入清算程序，或被宣告破产，或其他丧失履约能力的情形；</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（5）在国家企业信用信息公示系统（http://www.gsxt.gov.cn/）中被列入严重违法失信企业名单；</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 xml:space="preserve">（6）在“信用中国”网站（http://www.creditchina.gov.cn/）中被列入失信被执行人名单； </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（7）在“信用中国”网站（http://www.creditchina.gov.cn/）中被列入重大税收违法失信主体名单；</w:t>
      </w:r>
    </w:p>
    <w:p>
      <w:pPr>
        <w:tabs>
          <w:tab w:val="left" w:pos="3828"/>
        </w:tabs>
        <w:spacing w:line="500" w:lineRule="exact"/>
        <w:ind w:firstLine="5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（8）投标人或其法定代表人在近三年内有行贿犯罪行为的；</w:t>
      </w:r>
    </w:p>
    <w:p>
      <w:pPr>
        <w:tabs>
          <w:tab w:val="left" w:pos="3828"/>
        </w:tabs>
        <w:spacing w:line="500" w:lineRule="exact"/>
        <w:ind w:firstLine="520"/>
        <w:outlineLvl w:val="3"/>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（9）法律法规或投标人须知前附表规定的其他情形。</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1.5 费用承担</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投标人准备和参加投标活动发生的费用自理。</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1.6 保密</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参与招标投标活动的各方应对招标文件和投标文件中</w:t>
      </w:r>
      <w:bookmarkStart w:id="81" w:name="_Toc384308214"/>
      <w:bookmarkStart w:id="82" w:name="_Toc361508589"/>
      <w:bookmarkStart w:id="83" w:name="_Toc369531519"/>
      <w:bookmarkStart w:id="84" w:name="_Toc5326"/>
      <w:bookmarkStart w:id="85" w:name="_Toc352691477"/>
      <w:r>
        <w:rPr>
          <w:rFonts w:ascii="Times New Roman" w:hAnsi="Times New Roman"/>
          <w:color w:val="auto"/>
          <w:highlight w:val="none"/>
        </w:rPr>
        <w:t>的商业和技术等秘密保密</w:t>
      </w:r>
      <w:bookmarkEnd w:id="81"/>
      <w:bookmarkEnd w:id="82"/>
      <w:bookmarkEnd w:id="83"/>
      <w:bookmarkEnd w:id="84"/>
      <w:bookmarkEnd w:id="85"/>
      <w:r>
        <w:rPr>
          <w:rFonts w:ascii="Times New Roman" w:hAnsi="Times New Roman"/>
          <w:color w:val="auto"/>
          <w:highlight w:val="none"/>
        </w:rPr>
        <w:t>，否则应承担相应的法律责任。</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1.7 语言文字</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招标投标文件使用的语言文字为中文。专用术语使用外文的，应附有中文注释。</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1.8 计量单位</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所有计量均采用中华人民共和国法定计量单位。</w:t>
      </w:r>
    </w:p>
    <w:p>
      <w:pPr>
        <w:pStyle w:val="4"/>
        <w:spacing w:before="0" w:after="0" w:line="500" w:lineRule="exact"/>
        <w:ind w:firstLine="118"/>
        <w:rPr>
          <w:rFonts w:ascii="Times New Roman" w:hAnsi="Times New Roman"/>
          <w:color w:val="auto"/>
          <w:sz w:val="24"/>
          <w:szCs w:val="24"/>
          <w:highlight w:val="none"/>
        </w:rPr>
      </w:pPr>
      <w:bookmarkStart w:id="86" w:name="_Toc247513962"/>
      <w:bookmarkStart w:id="87" w:name="_Toc152042315"/>
      <w:bookmarkStart w:id="88" w:name="_Toc482188480"/>
      <w:bookmarkStart w:id="89" w:name="_Toc247527563"/>
      <w:bookmarkStart w:id="90" w:name="_Toc391393967"/>
      <w:bookmarkStart w:id="91" w:name="_Toc384308219"/>
      <w:bookmarkStart w:id="92" w:name="_Toc144974507"/>
      <w:bookmarkStart w:id="93" w:name="_Toc370676289"/>
      <w:bookmarkStart w:id="94" w:name="_Toc361508594"/>
      <w:bookmarkStart w:id="95" w:name="_Toc152045539"/>
      <w:bookmarkStart w:id="96" w:name="_Toc300834959"/>
      <w:r>
        <w:rPr>
          <w:rFonts w:ascii="Times New Roman" w:hAnsi="Times New Roman"/>
          <w:color w:val="auto"/>
          <w:sz w:val="24"/>
          <w:szCs w:val="24"/>
          <w:highlight w:val="none"/>
        </w:rPr>
        <w:t>1.9 踏勘现场</w:t>
      </w:r>
      <w:bookmarkEnd w:id="86"/>
      <w:bookmarkEnd w:id="87"/>
      <w:bookmarkEnd w:id="88"/>
      <w:bookmarkEnd w:id="89"/>
      <w:bookmarkEnd w:id="90"/>
      <w:bookmarkEnd w:id="91"/>
      <w:bookmarkEnd w:id="92"/>
      <w:bookmarkEnd w:id="93"/>
      <w:bookmarkEnd w:id="94"/>
      <w:bookmarkEnd w:id="95"/>
      <w:bookmarkEnd w:id="96"/>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color w:val="auto"/>
          <w:highlight w:val="none"/>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color w:val="auto"/>
          <w:kern w:val="0"/>
          <w:szCs w:val="21"/>
          <w:highlight w:val="none"/>
        </w:rPr>
        <w:t>招标人不得组织单个或部分投标人踏勘项目现场。</w:t>
      </w:r>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1.9.2 投标人踏勘现场发生的费用自理。</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1.9.3 除招标人的原因外，投标人自行负责在踏勘现场中所发生的人员伤亡和财产损失。</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1.9.5 无论投标人是否到施工现场实地踏勘，中标后签订合同时和履约过程中，投标人不得以不完全了解现场情况或现场情况与招标文件描述不一致等为由，提出任何形式的增加服务费用或索赔的要求。</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1.10 分包</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 xml:space="preserve">1.10.1 投标人拟在中标后将中标项目的部分非主体、非关键性工作进行分包的，应符合以下规定： </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1.10.2 中标人不得向他人转让中标项目，接受分包的人不得再次分包。中标人应就分包项目向招标人负责，接受分包的人就分包项目承担连带责任。</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1.11 响应和偏差</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1.11.1 投标文件偏离招标文件某些要求，视为投标文件存在偏差。偏差包括重大偏差和细微偏差。</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1.11.2 投标文件应对招标文件的实质性要求和条件作出满足性或更有利于招标人的响应，否则，视为投标文件存在重大偏差，投标人的投标将被否决。</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投标文件存在第三章“评标办法”中所列任一否决投标情形的，均属于存在重大偏差。</w:t>
      </w:r>
    </w:p>
    <w:p>
      <w:pPr>
        <w:spacing w:line="500" w:lineRule="exact"/>
        <w:ind w:firstLine="420" w:firstLineChars="200"/>
        <w:outlineLvl w:val="3"/>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1.11.3 投标文件中的下列偏差为细微偏差：</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pPr>
        <w:tabs>
          <w:tab w:val="left" w:pos="1014"/>
        </w:tabs>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（2）投标文件个别文字有遗漏错误等不影响投标文件实质性内容的偏差。</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1.11.4 评标委员会对投标文件中的细微偏差按如下规定处理：</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（1）对于本章第1.11.3项（1）目所述的细微偏差，按照第三章“评标办法”的规定予以修正并要求投标人进行澄清；</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（2）对于本章第1.11.3项（2）目所述的细微偏差，可要求投标人对细微偏差进行澄清。</w:t>
      </w:r>
    </w:p>
    <w:p>
      <w:pPr>
        <w:pStyle w:val="3"/>
        <w:spacing w:before="0" w:after="0" w:line="500" w:lineRule="exact"/>
        <w:rPr>
          <w:rFonts w:ascii="Times New Roman" w:hAnsi="Times New Roman"/>
          <w:b w:val="0"/>
          <w:color w:val="auto"/>
          <w:sz w:val="28"/>
          <w:szCs w:val="18"/>
          <w:highlight w:val="none"/>
        </w:rPr>
      </w:pPr>
      <w:bookmarkStart w:id="97" w:name="_Toc13096"/>
      <w:bookmarkStart w:id="98" w:name="_Toc4655"/>
      <w:bookmarkStart w:id="99" w:name="_Toc4415"/>
      <w:bookmarkStart w:id="100" w:name="_Toc8902"/>
      <w:bookmarkStart w:id="101" w:name="_Toc16224"/>
      <w:bookmarkStart w:id="102" w:name="_Toc24399"/>
      <w:bookmarkStart w:id="103" w:name="_Toc12216"/>
      <w:bookmarkStart w:id="104" w:name="_Toc16403"/>
      <w:bookmarkStart w:id="105" w:name="_Toc20118"/>
      <w:r>
        <w:rPr>
          <w:rFonts w:ascii="Times New Roman" w:hAnsi="Times New Roman"/>
          <w:b w:val="0"/>
          <w:color w:val="auto"/>
          <w:sz w:val="28"/>
          <w:szCs w:val="18"/>
          <w:highlight w:val="none"/>
        </w:rPr>
        <w:t>2. 招标文件</w:t>
      </w:r>
      <w:bookmarkEnd w:id="97"/>
      <w:bookmarkEnd w:id="98"/>
      <w:bookmarkEnd w:id="99"/>
      <w:bookmarkEnd w:id="100"/>
      <w:bookmarkEnd w:id="101"/>
      <w:bookmarkEnd w:id="102"/>
      <w:bookmarkEnd w:id="103"/>
      <w:bookmarkEnd w:id="104"/>
      <w:bookmarkEnd w:id="105"/>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2.1 招标文件的组成</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本招标文件包括：</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（1）招标公告（或投标邀请书）；</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（2）投标人须知；</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（3）评标办法；</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（4）合同条款及格式；</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招标</w:t>
      </w:r>
      <w:r>
        <w:rPr>
          <w:rFonts w:ascii="Times New Roman" w:hAnsi="Times New Roman"/>
          <w:color w:val="auto"/>
          <w:highlight w:val="none"/>
        </w:rPr>
        <w:t>人要求；</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（6）投标文件格式；</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（7）投标人须知前附表规定的其他资料。</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根据本章第2.3款对招标文件所做的澄清、修改，构成招标文件的组成部分。</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当招标文件、招标文件的澄清或修改等在同一内容的表述上不一致时，以最后发出的文件为准。</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2.2 招标文件的澄清</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2.2.2</w:t>
      </w:r>
      <w:r>
        <w:rPr>
          <w:rFonts w:ascii="Times New Roman" w:hAnsi="Times New Roman"/>
          <w:color w:val="auto"/>
          <w:szCs w:val="21"/>
          <w:highlight w:val="none"/>
        </w:rPr>
        <w:t xml:space="preserve"> </w:t>
      </w:r>
      <w:r>
        <w:rPr>
          <w:rFonts w:ascii="Times New Roman" w:hAnsi="Times New Roman"/>
          <w:bCs/>
          <w:snapToGrid w:val="0"/>
          <w:color w:val="auto"/>
          <w:kern w:val="0"/>
          <w:szCs w:val="21"/>
          <w:highlight w:val="none"/>
        </w:rPr>
        <w:t>招标文件的澄清以投标人须知前附表规定的形式发给</w:t>
      </w:r>
      <w:r>
        <w:rPr>
          <w:rFonts w:ascii="Times New Roman" w:hAnsi="Times New Roman"/>
          <w:color w:val="auto"/>
          <w:highlight w:val="none"/>
        </w:rPr>
        <w:t>所有获取招标文件的投标人</w:t>
      </w:r>
      <w:r>
        <w:rPr>
          <w:rFonts w:ascii="Times New Roman" w:hAnsi="Times New Roman"/>
          <w:bCs/>
          <w:snapToGrid w:val="0"/>
          <w:color w:val="auto"/>
          <w:kern w:val="0"/>
          <w:szCs w:val="21"/>
          <w:highlight w:val="none"/>
        </w:rPr>
        <w:t>，但不指明澄清问题的来源。澄清发出的时间距本章第4.2.1项规定的投标截止时间不足5日，且澄清内容可能影响投标文件编制的，将相应延长投标截止时间。</w:t>
      </w:r>
    </w:p>
    <w:p>
      <w:pPr>
        <w:pStyle w:val="4"/>
        <w:spacing w:before="0" w:after="0" w:line="500" w:lineRule="exact"/>
        <w:ind w:firstLine="118"/>
        <w:rPr>
          <w:rFonts w:ascii="Times New Roman" w:hAnsi="Times New Roman"/>
          <w:color w:val="auto"/>
          <w:sz w:val="24"/>
          <w:szCs w:val="24"/>
          <w:highlight w:val="none"/>
        </w:rPr>
      </w:pPr>
      <w:bookmarkStart w:id="106" w:name="_Toc352691479"/>
      <w:r>
        <w:rPr>
          <w:rFonts w:ascii="Times New Roman" w:hAnsi="Times New Roman"/>
          <w:color w:val="auto"/>
          <w:sz w:val="24"/>
          <w:szCs w:val="24"/>
          <w:highlight w:val="none"/>
        </w:rPr>
        <w:t>2.3 招标文件的修</w:t>
      </w:r>
      <w:bookmarkStart w:id="107" w:name="_Toc16514"/>
      <w:bookmarkStart w:id="108" w:name="_Toc369531521"/>
      <w:r>
        <w:rPr>
          <w:rFonts w:ascii="Times New Roman" w:hAnsi="Times New Roman"/>
          <w:color w:val="auto"/>
          <w:sz w:val="24"/>
          <w:szCs w:val="24"/>
          <w:highlight w:val="none"/>
        </w:rPr>
        <w:t>改</w:t>
      </w:r>
    </w:p>
    <w:bookmarkEnd w:id="106"/>
    <w:bookmarkEnd w:id="107"/>
    <w:bookmarkEnd w:id="108"/>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2.3.1</w:t>
      </w:r>
      <w:r>
        <w:rPr>
          <w:rFonts w:ascii="Times New Roman" w:hAnsi="Times New Roman"/>
          <w:color w:val="auto"/>
          <w:szCs w:val="21"/>
          <w:highlight w:val="none"/>
        </w:rPr>
        <w:t xml:space="preserve"> </w:t>
      </w:r>
      <w:r>
        <w:rPr>
          <w:rFonts w:ascii="Times New Roman" w:hAnsi="Times New Roman"/>
          <w:bCs/>
          <w:snapToGrid w:val="0"/>
          <w:color w:val="auto"/>
          <w:kern w:val="0"/>
          <w:szCs w:val="21"/>
          <w:highlight w:val="none"/>
        </w:rPr>
        <w:t>招标人以投标人须知前附表规定的形式修改招标文件，并通知</w:t>
      </w:r>
      <w:r>
        <w:rPr>
          <w:rFonts w:ascii="Times New Roman" w:hAnsi="Times New Roman"/>
          <w:color w:val="auto"/>
          <w:highlight w:val="none"/>
        </w:rPr>
        <w:t>所有获取招标文件的投标人</w:t>
      </w:r>
      <w:r>
        <w:rPr>
          <w:rFonts w:ascii="Times New Roman" w:hAnsi="Times New Roman"/>
          <w:bCs/>
          <w:snapToGrid w:val="0"/>
          <w:color w:val="auto"/>
          <w:kern w:val="0"/>
          <w:szCs w:val="21"/>
          <w:highlight w:val="none"/>
        </w:rPr>
        <w:t>。修改招标文件的时间距本章第4.2.1项规定的投标截止时间不足5日，且修改内容可能影响投标文件编制的，将相应延长投标截止时间。</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2.3.2 投标人收到修改内容</w:t>
      </w:r>
      <w:bookmarkStart w:id="109" w:name="_Toc152045538"/>
      <w:bookmarkStart w:id="110" w:name="_Toc144974506"/>
      <w:bookmarkStart w:id="111" w:name="_Toc352691482"/>
      <w:bookmarkStart w:id="112" w:name="_Toc361508593"/>
      <w:bookmarkStart w:id="113" w:name="_Toc247527562"/>
      <w:bookmarkStart w:id="114" w:name="_Toc300834958"/>
      <w:bookmarkStart w:id="115" w:name="_Toc152042314"/>
      <w:bookmarkStart w:id="116" w:name="_Toc247513961"/>
      <w:bookmarkStart w:id="117" w:name="_Toc24632"/>
      <w:bookmarkStart w:id="118" w:name="_Toc384308218"/>
      <w:bookmarkStart w:id="119" w:name="_Toc369531524"/>
      <w:r>
        <w:rPr>
          <w:rFonts w:ascii="Times New Roman" w:hAnsi="Times New Roman"/>
          <w:color w:val="auto"/>
          <w:highlight w:val="none"/>
        </w:rPr>
        <w:t>后，</w:t>
      </w:r>
      <w:bookmarkEnd w:id="109"/>
      <w:bookmarkEnd w:id="110"/>
      <w:bookmarkEnd w:id="111"/>
      <w:bookmarkEnd w:id="112"/>
      <w:bookmarkEnd w:id="113"/>
      <w:bookmarkEnd w:id="114"/>
      <w:bookmarkEnd w:id="115"/>
      <w:bookmarkEnd w:id="116"/>
      <w:bookmarkEnd w:id="117"/>
      <w:bookmarkEnd w:id="118"/>
      <w:bookmarkEnd w:id="119"/>
      <w:bookmarkStart w:id="120" w:name="_Toc369531526"/>
      <w:bookmarkStart w:id="121" w:name="_Toc152045540"/>
      <w:bookmarkStart w:id="122" w:name="_Toc152042316"/>
      <w:bookmarkStart w:id="123" w:name="_Toc144974508"/>
      <w:bookmarkStart w:id="124" w:name="_Toc16623"/>
      <w:bookmarkStart w:id="125" w:name="_Toc352691484"/>
      <w:bookmarkStart w:id="126" w:name="_Toc361508595"/>
      <w:bookmarkStart w:id="127" w:name="_Toc247513963"/>
      <w:bookmarkStart w:id="128" w:name="_Toc384308220"/>
      <w:bookmarkStart w:id="129" w:name="_Toc300834960"/>
      <w:bookmarkStart w:id="130" w:name="_Toc247527564"/>
      <w:r>
        <w:rPr>
          <w:rFonts w:ascii="Times New Roman" w:hAnsi="Times New Roman"/>
          <w:color w:val="auto"/>
          <w:highlight w:val="none"/>
        </w:rPr>
        <w:t>应按投标人须知前附表规定的时间和形式通知招标人，确认已收到该修改。</w:t>
      </w:r>
    </w:p>
    <w:bookmarkEnd w:id="120"/>
    <w:bookmarkEnd w:id="121"/>
    <w:bookmarkEnd w:id="122"/>
    <w:bookmarkEnd w:id="123"/>
    <w:bookmarkEnd w:id="124"/>
    <w:bookmarkEnd w:id="125"/>
    <w:bookmarkEnd w:id="126"/>
    <w:bookmarkEnd w:id="127"/>
    <w:bookmarkEnd w:id="128"/>
    <w:bookmarkEnd w:id="129"/>
    <w:bookmarkEnd w:id="130"/>
    <w:p>
      <w:pPr>
        <w:pStyle w:val="3"/>
        <w:spacing w:before="0" w:after="0" w:line="500" w:lineRule="exact"/>
        <w:rPr>
          <w:rFonts w:ascii="Times New Roman" w:hAnsi="Times New Roman"/>
          <w:b w:val="0"/>
          <w:color w:val="auto"/>
          <w:sz w:val="28"/>
          <w:szCs w:val="18"/>
          <w:highlight w:val="none"/>
        </w:rPr>
      </w:pPr>
      <w:bookmarkStart w:id="131" w:name="_Toc27316"/>
      <w:bookmarkStart w:id="132" w:name="_Toc6815"/>
      <w:bookmarkStart w:id="133" w:name="_Toc28151"/>
      <w:bookmarkStart w:id="134" w:name="_Toc4941"/>
      <w:bookmarkStart w:id="135" w:name="_Toc17508"/>
      <w:bookmarkStart w:id="136" w:name="_Toc15985"/>
      <w:bookmarkStart w:id="137" w:name="_Toc22624"/>
      <w:bookmarkStart w:id="138" w:name="_Toc16234"/>
      <w:bookmarkStart w:id="139" w:name="_Toc6140"/>
      <w:r>
        <w:rPr>
          <w:rFonts w:ascii="Times New Roman" w:hAnsi="Times New Roman"/>
          <w:b w:val="0"/>
          <w:color w:val="auto"/>
          <w:sz w:val="28"/>
          <w:szCs w:val="18"/>
          <w:highlight w:val="none"/>
        </w:rPr>
        <w:t>3. 投标文件</w:t>
      </w:r>
      <w:bookmarkEnd w:id="131"/>
      <w:bookmarkEnd w:id="132"/>
      <w:bookmarkEnd w:id="133"/>
      <w:bookmarkEnd w:id="134"/>
      <w:bookmarkEnd w:id="135"/>
      <w:bookmarkEnd w:id="136"/>
      <w:bookmarkEnd w:id="137"/>
      <w:bookmarkEnd w:id="138"/>
      <w:bookmarkEnd w:id="139"/>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3.1 投标文件的组成</w:t>
      </w:r>
    </w:p>
    <w:p>
      <w:pPr>
        <w:spacing w:line="500" w:lineRule="exact"/>
        <w:ind w:firstLine="420"/>
        <w:outlineLvl w:val="3"/>
        <w:rPr>
          <w:rFonts w:ascii="Times New Roman" w:hAnsi="Times New Roman"/>
          <w:color w:val="auto"/>
          <w:highlight w:val="none"/>
        </w:rPr>
      </w:pPr>
      <w:r>
        <w:rPr>
          <w:rFonts w:ascii="Times New Roman" w:hAnsi="Times New Roman"/>
          <w:color w:val="auto"/>
          <w:highlight w:val="none"/>
        </w:rPr>
        <w:t>3.1.1 投标文件应包括下列内容：</w:t>
      </w:r>
    </w:p>
    <w:p>
      <w:pPr>
        <w:spacing w:line="500" w:lineRule="exact"/>
        <w:ind w:firstLine="420" w:firstLineChars="200"/>
        <w:rPr>
          <w:rFonts w:ascii="Times New Roman" w:hAnsi="Times New Roman"/>
          <w:bCs/>
          <w:snapToGrid w:val="0"/>
          <w:color w:val="auto"/>
          <w:kern w:val="0"/>
          <w:szCs w:val="21"/>
          <w:highlight w:val="none"/>
        </w:rPr>
      </w:pPr>
      <w:r>
        <w:rPr>
          <w:rFonts w:hint="eastAsia" w:ascii="Times New Roman" w:hAnsi="Times New Roman"/>
          <w:bCs/>
          <w:snapToGrid w:val="0"/>
          <w:color w:val="auto"/>
          <w:kern w:val="0"/>
          <w:szCs w:val="21"/>
          <w:highlight w:val="none"/>
          <w:lang w:val="en-US" w:eastAsia="zh-CN"/>
        </w:rPr>
        <w:t>技术及资信</w:t>
      </w:r>
      <w:r>
        <w:rPr>
          <w:rFonts w:ascii="Times New Roman" w:hAnsi="Times New Roman"/>
          <w:bCs/>
          <w:snapToGrid w:val="0"/>
          <w:color w:val="auto"/>
          <w:kern w:val="0"/>
          <w:szCs w:val="21"/>
          <w:highlight w:val="none"/>
        </w:rPr>
        <w:t>文件：</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（1）投标函（不含报价）；</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（2）法定代表人身份证明或授权委托书；</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（3）联合体协议书；</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（4）投标保证金；</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（5）拟委任的主要人员汇总表；</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（6）资格审查资料；</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（7）</w:t>
      </w:r>
      <w:r>
        <w:rPr>
          <w:rFonts w:hint="eastAsia" w:ascii="Times New Roman" w:hAnsi="Times New Roman"/>
          <w:bCs/>
          <w:snapToGrid w:val="0"/>
          <w:color w:val="auto"/>
          <w:kern w:val="0"/>
          <w:szCs w:val="21"/>
          <w:highlight w:val="none"/>
          <w:lang w:val="en-US" w:eastAsia="zh-CN"/>
        </w:rPr>
        <w:t>服务</w:t>
      </w:r>
      <w:r>
        <w:rPr>
          <w:rFonts w:ascii="Times New Roman" w:hAnsi="Times New Roman"/>
          <w:bCs/>
          <w:snapToGrid w:val="0"/>
          <w:color w:val="auto"/>
          <w:kern w:val="0"/>
          <w:szCs w:val="21"/>
          <w:highlight w:val="none"/>
        </w:rPr>
        <w:t>方案；</w:t>
      </w:r>
    </w:p>
    <w:p>
      <w:pPr>
        <w:spacing w:line="500" w:lineRule="exact"/>
        <w:ind w:firstLine="42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（8）其他资料。</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报价文件：</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（1）投标函（含报价）；</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（2）</w:t>
      </w:r>
      <w:r>
        <w:rPr>
          <w:rFonts w:ascii="Times New Roman" w:hAnsi="Times New Roman"/>
          <w:color w:val="auto"/>
          <w:highlight w:val="none"/>
        </w:rPr>
        <w:t>分项报价表（如有）</w:t>
      </w:r>
      <w:r>
        <w:rPr>
          <w:rFonts w:ascii="Times New Roman" w:hAnsi="Times New Roman"/>
          <w:bCs/>
          <w:snapToGrid w:val="0"/>
          <w:color w:val="auto"/>
          <w:kern w:val="0"/>
          <w:szCs w:val="21"/>
          <w:highlight w:val="none"/>
        </w:rPr>
        <w:t>；</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（3）其他资料。</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3.1.2 投标人须知前附表规定不接受联合体投标的，或投标人没有组成联合体的，投标文件不包括本章第3.1.1（3）目所指的联合体协议书。</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3.1.3 投标人须知前附表未要求提交投标保证金的，投标文件不包括本章第3.1.1（4）目所指的投标保证金。</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3.2 投标报价</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3.2.1 投标报价应包括国家规定的增值税税金，除投标人须知前附表另有规定外，增值税税金按一般计税方法计算。投标人应按第六章“投标文件格式”的要求在投标函中进行报价并填写分项报价表（如有）。</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3.2.2 投标人应充分了解该项目的总体情况以及影响投标报价的其他要素。</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3.2.3</w:t>
      </w:r>
      <w:bookmarkStart w:id="140" w:name="_Toc144974511"/>
      <w:bookmarkEnd w:id="140"/>
      <w:bookmarkStart w:id="141" w:name="_Toc300834964"/>
      <w:bookmarkEnd w:id="141"/>
      <w:bookmarkStart w:id="142" w:name="_Toc352691487"/>
      <w:bookmarkEnd w:id="142"/>
      <w:bookmarkStart w:id="143" w:name="_Toc369531530"/>
      <w:bookmarkEnd w:id="143"/>
      <w:bookmarkStart w:id="144" w:name="_Toc247527568"/>
      <w:bookmarkEnd w:id="144"/>
      <w:bookmarkStart w:id="145" w:name="_Toc361508599"/>
      <w:bookmarkEnd w:id="145"/>
      <w:bookmarkStart w:id="146" w:name="_Toc15242"/>
      <w:bookmarkEnd w:id="146"/>
      <w:bookmarkStart w:id="147" w:name="_Toc152042319"/>
      <w:bookmarkEnd w:id="147"/>
      <w:bookmarkStart w:id="148" w:name="_Toc152045543"/>
      <w:bookmarkEnd w:id="148"/>
      <w:bookmarkStart w:id="149" w:name="_Toc247513967"/>
      <w:bookmarkEnd w:id="149"/>
      <w:bookmarkStart w:id="150" w:name="_Toc384308224"/>
      <w:bookmarkEnd w:id="150"/>
      <w:r>
        <w:rPr>
          <w:rFonts w:ascii="Times New Roman" w:hAnsi="Times New Roman"/>
          <w:color w:val="auto"/>
          <w:highlight w:val="none"/>
        </w:rPr>
        <w:t xml:space="preserve"> 本项目的报价方式见投标人须知前附表。投标人在投标截止时间前修改投标函中的投标报价总额，应同时修改投标文件“分项报价表”（如有）中的相应报价。此修改须符合本章第4.3款的有关要求。</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3.2.4 招标人设有最高投标限价的，投标人的投标报价不得超过最高投标限价，最高投标限价在投标</w:t>
      </w:r>
      <w:bookmarkStart w:id="151" w:name="_Toc247513968"/>
      <w:bookmarkStart w:id="152" w:name="_Toc152045544"/>
      <w:bookmarkStart w:id="153" w:name="_Toc384308225"/>
      <w:bookmarkStart w:id="154" w:name="_Toc10429"/>
      <w:bookmarkStart w:id="155" w:name="_Toc247527569"/>
      <w:bookmarkStart w:id="156" w:name="_Toc352691488"/>
      <w:bookmarkStart w:id="157" w:name="_Toc152042320"/>
      <w:bookmarkStart w:id="158" w:name="_Toc369531531"/>
      <w:bookmarkStart w:id="159" w:name="_Toc361508600"/>
      <w:bookmarkStart w:id="160" w:name="_Toc144974512"/>
      <w:bookmarkStart w:id="161" w:name="_Toc300834965"/>
      <w:r>
        <w:rPr>
          <w:rFonts w:ascii="Times New Roman" w:hAnsi="Times New Roman"/>
          <w:color w:val="auto"/>
          <w:highlight w:val="none"/>
        </w:rPr>
        <w:t>人须知前附表中载明。</w:t>
      </w:r>
      <w:bookmarkEnd w:id="151"/>
      <w:bookmarkEnd w:id="152"/>
      <w:bookmarkEnd w:id="153"/>
      <w:bookmarkEnd w:id="154"/>
      <w:bookmarkEnd w:id="155"/>
      <w:bookmarkEnd w:id="156"/>
      <w:bookmarkEnd w:id="157"/>
      <w:bookmarkEnd w:id="158"/>
      <w:bookmarkEnd w:id="159"/>
      <w:bookmarkEnd w:id="160"/>
      <w:bookmarkEnd w:id="161"/>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3.2.5 投标报价的其他要求见投标人须知前附表。</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3.3 投标有效期</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3.3.1 除投标人须知前附表另有规定外，投标有效期为120日。</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3.3.2 在投标有效期内，投标人撤销投标文件的，应承担招标文件和法律规定的责任。</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spacing w:before="0" w:after="0" w:line="500" w:lineRule="exact"/>
        <w:ind w:firstLine="118"/>
        <w:rPr>
          <w:rFonts w:ascii="Times New Roman" w:hAnsi="Times New Roman"/>
          <w:color w:val="auto"/>
          <w:sz w:val="24"/>
          <w:szCs w:val="24"/>
          <w:highlight w:val="none"/>
        </w:rPr>
      </w:pPr>
      <w:r>
        <w:rPr>
          <w:rFonts w:ascii="Times New Roman" w:hAnsi="Times New Roman"/>
          <w:color w:val="auto"/>
          <w:sz w:val="24"/>
          <w:szCs w:val="24"/>
          <w:highlight w:val="none"/>
        </w:rPr>
        <w:t>3.4 投标保证金</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jc w:val="left"/>
        <w:rPr>
          <w:rFonts w:ascii="Times New Roman" w:hAnsi="Times New Roman"/>
          <w:color w:val="auto"/>
          <w:highlight w:val="none"/>
        </w:rPr>
      </w:pPr>
      <w:r>
        <w:rPr>
          <w:rFonts w:ascii="Times New Roman" w:hAnsi="Times New Roman"/>
          <w:color w:val="auto"/>
          <w:highlight w:val="none"/>
        </w:rPr>
        <w:t>3.4.2 投标人不按本章第3.4.1项</w:t>
      </w:r>
      <w:bookmarkStart w:id="162" w:name="_Toc352691490"/>
      <w:bookmarkStart w:id="163" w:name="_Toc29025"/>
      <w:bookmarkStart w:id="164" w:name="_Toc361508602"/>
      <w:bookmarkStart w:id="165" w:name="_Toc384308227"/>
      <w:bookmarkStart w:id="166" w:name="_Toc369531533"/>
      <w:r>
        <w:rPr>
          <w:rFonts w:ascii="Times New Roman" w:hAnsi="Times New Roman"/>
          <w:color w:val="auto"/>
          <w:highlight w:val="none"/>
        </w:rPr>
        <w:t>要求提交投标保证金的，</w:t>
      </w:r>
      <w:bookmarkEnd w:id="162"/>
      <w:bookmarkEnd w:id="163"/>
      <w:bookmarkEnd w:id="164"/>
      <w:bookmarkEnd w:id="165"/>
      <w:bookmarkEnd w:id="166"/>
      <w:r>
        <w:rPr>
          <w:rFonts w:ascii="Times New Roman" w:hAnsi="Times New Roman"/>
          <w:color w:val="auto"/>
          <w:highlight w:val="none"/>
        </w:rPr>
        <w:t>评标委员会将否决其投标。</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color w:val="auto"/>
          <w:highlight w:val="none"/>
        </w:rPr>
        <w:t xml:space="preserve">3.4.3 </w:t>
      </w:r>
      <w:r>
        <w:rPr>
          <w:rFonts w:ascii="Times New Roman" w:hAnsi="Times New Roman"/>
          <w:bCs/>
          <w:snapToGrid w:val="0"/>
          <w:color w:val="auto"/>
          <w:kern w:val="0"/>
          <w:szCs w:val="21"/>
          <w:highlight w:val="none"/>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 xml:space="preserve">3.4.4 有下列情形之一的，投标保证金将不予退还： </w:t>
      </w:r>
    </w:p>
    <w:p>
      <w:pPr>
        <w:spacing w:line="500" w:lineRule="exact"/>
        <w:ind w:firstLine="420" w:firstLineChars="200"/>
        <w:outlineLvl w:val="4"/>
        <w:rPr>
          <w:rFonts w:ascii="Times New Roman" w:hAnsi="Times New Roman"/>
          <w:color w:val="auto"/>
          <w:highlight w:val="none"/>
        </w:rPr>
      </w:pPr>
      <w:r>
        <w:rPr>
          <w:rFonts w:ascii="Times New Roman" w:hAnsi="Times New Roman"/>
          <w:color w:val="auto"/>
          <w:highlight w:val="none"/>
        </w:rPr>
        <w:t>（1）投标人在规定的投标有效期内撤销其投标文件；</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（3）发生投标人须知前附表规定的其他可以不予退还投标保证金的情形。</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3.5 资格审查资料</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3.5.1投标人应按投标人须知前附表附录要求提供资格审查资料，内容及格式见第六章“投标文件格式”要求。</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3.5.2 投标人须知前附表规定接受联合体投标的，资格审查资料应包括联合体各方相关情况。</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3.6 备选投标方案</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3.6.1 除投标人须知前附表规定允许外，投标人不得递交备选投标方案，否则其投标将被否决。</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3.6.3 投标人提供两个或两个以上投标报价，或者在投标文件中提供一个报价，但同时提供两个或两个以上</w:t>
      </w:r>
      <w:bookmarkStart w:id="167" w:name="_Toc352691495"/>
      <w:bookmarkStart w:id="168" w:name="_Toc152042326"/>
      <w:bookmarkStart w:id="169" w:name="_Toc300834971"/>
      <w:bookmarkStart w:id="170" w:name="_Toc369531538"/>
      <w:bookmarkStart w:id="171" w:name="_Toc144974518"/>
      <w:bookmarkStart w:id="172" w:name="_Toc247527575"/>
      <w:bookmarkStart w:id="173" w:name="_Toc29902"/>
      <w:bookmarkStart w:id="174" w:name="_Toc361508607"/>
      <w:bookmarkStart w:id="175" w:name="_Toc384308232"/>
      <w:bookmarkStart w:id="176" w:name="_Toc247513974"/>
      <w:bookmarkStart w:id="177" w:name="_Toc152045550"/>
      <w:r>
        <w:rPr>
          <w:rFonts w:ascii="Times New Roman" w:hAnsi="Times New Roman"/>
          <w:color w:val="auto"/>
          <w:highlight w:val="none"/>
        </w:rPr>
        <w:t>技术方案的</w:t>
      </w:r>
      <w:bookmarkEnd w:id="167"/>
      <w:bookmarkEnd w:id="168"/>
      <w:bookmarkEnd w:id="169"/>
      <w:bookmarkEnd w:id="170"/>
      <w:bookmarkEnd w:id="171"/>
      <w:bookmarkEnd w:id="172"/>
      <w:bookmarkEnd w:id="173"/>
      <w:bookmarkEnd w:id="174"/>
      <w:bookmarkEnd w:id="175"/>
      <w:bookmarkEnd w:id="176"/>
      <w:bookmarkEnd w:id="177"/>
      <w:r>
        <w:rPr>
          <w:rFonts w:ascii="Times New Roman" w:hAnsi="Times New Roman"/>
          <w:color w:val="auto"/>
          <w:highlight w:val="none"/>
        </w:rPr>
        <w:t>，视为提供备选方案。</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3.7 投标文件的编制</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color w:val="auto"/>
          <w:kern w:val="0"/>
          <w:szCs w:val="21"/>
          <w:highlight w:val="none"/>
        </w:rPr>
        <w:t>技术方案编制的特殊要求见投标人须知前附表。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3.7.2 投标文件应当对招标文件有关</w:t>
      </w:r>
      <w:r>
        <w:rPr>
          <w:rFonts w:ascii="Times New Roman" w:hAnsi="Times New Roman"/>
          <w:bCs/>
          <w:snapToGrid w:val="0"/>
          <w:color w:val="auto"/>
          <w:kern w:val="0"/>
          <w:szCs w:val="21"/>
          <w:highlight w:val="none"/>
        </w:rPr>
        <w:t>服务期限、</w:t>
      </w:r>
      <w:r>
        <w:rPr>
          <w:rFonts w:ascii="Times New Roman" w:hAnsi="Times New Roman"/>
          <w:color w:val="auto"/>
          <w:highlight w:val="none"/>
        </w:rPr>
        <w:t>投标有效期、</w:t>
      </w:r>
      <w:r>
        <w:rPr>
          <w:rFonts w:hint="eastAsia" w:ascii="Times New Roman" w:hAnsi="Times New Roman"/>
          <w:color w:val="auto"/>
          <w:highlight w:val="none"/>
        </w:rPr>
        <w:t>招标人</w:t>
      </w:r>
      <w:r>
        <w:rPr>
          <w:rFonts w:ascii="Times New Roman" w:hAnsi="Times New Roman"/>
          <w:color w:val="auto"/>
          <w:highlight w:val="none"/>
        </w:rPr>
        <w:t>要求、招标范围等实质性内容作出响应。</w:t>
      </w:r>
    </w:p>
    <w:p>
      <w:pPr>
        <w:spacing w:line="500" w:lineRule="exact"/>
        <w:ind w:firstLine="5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 xml:space="preserve">3.7.3 </w:t>
      </w:r>
      <w:r>
        <w:rPr>
          <w:rFonts w:ascii="Times New Roman" w:hAnsi="Times New Roman" w:eastAsia="楷体"/>
          <w:snapToGrid w:val="0"/>
          <w:color w:val="auto"/>
          <w:kern w:val="0"/>
          <w:szCs w:val="21"/>
          <w:highlight w:val="none"/>
          <w:shd w:val="clear" w:color="auto" w:fill="FFFFFF"/>
        </w:rPr>
        <w:t xml:space="preserve"> </w:t>
      </w:r>
      <w:r>
        <w:rPr>
          <w:rFonts w:ascii="Times New Roman" w:hAnsi="Times New Roman"/>
          <w:color w:val="auto"/>
          <w:highlight w:val="none"/>
        </w:rPr>
        <w:t>本项目要求提供纸质版投标文件，</w:t>
      </w:r>
      <w:r>
        <w:rPr>
          <w:rFonts w:ascii="Times New Roman" w:hAnsi="Times New Roman"/>
          <w:bCs/>
          <w:snapToGrid w:val="0"/>
          <w:color w:val="auto"/>
          <w:kern w:val="0"/>
          <w:szCs w:val="21"/>
          <w:highlight w:val="none"/>
        </w:rPr>
        <w:t>投标文件的制作应满足以下规定：</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（1）投标文件应装订成册、密封，并在封面注明招标编号、投标项目等，同时在密封处加盖骑缝章；投标文件要求：正、副本各一份。</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（3）投标文件制作完成后，投标人应对投标文件进行装订成册、密封，形成密封的投标文件，否则引起的责任由投标人自行承担。</w:t>
      </w:r>
    </w:p>
    <w:p>
      <w:pPr>
        <w:spacing w:line="500" w:lineRule="exact"/>
        <w:ind w:firstLine="435"/>
        <w:rPr>
          <w:rFonts w:ascii="Times New Roman" w:hAnsi="Times New Roman" w:eastAsia="等线"/>
          <w:color w:val="auto"/>
          <w:sz w:val="24"/>
          <w:highlight w:val="none"/>
        </w:rPr>
      </w:pPr>
      <w:r>
        <w:rPr>
          <w:rFonts w:ascii="Times New Roman" w:hAnsi="Times New Roman"/>
          <w:snapToGrid w:val="0"/>
          <w:color w:val="auto"/>
          <w:kern w:val="0"/>
          <w:szCs w:val="21"/>
          <w:highlight w:val="none"/>
          <w:shd w:val="clear" w:color="auto" w:fill="FFFFFF"/>
        </w:rPr>
        <w:t xml:space="preserve">3.7.4 </w:t>
      </w:r>
      <w:r>
        <w:rPr>
          <w:rFonts w:ascii="Times New Roman" w:hAnsi="Times New Roman"/>
          <w:color w:val="auto"/>
          <w:highlight w:val="none"/>
        </w:rPr>
        <w:t>因投标人自身原因而导致投标文件无法开标、评标，该投标视为无效投标，投标人自行承担由此导致的全部责任。</w:t>
      </w:r>
    </w:p>
    <w:p>
      <w:pPr>
        <w:pStyle w:val="3"/>
        <w:spacing w:before="0" w:after="0" w:line="500" w:lineRule="exact"/>
        <w:rPr>
          <w:rFonts w:ascii="Times New Roman" w:hAnsi="Times New Roman"/>
          <w:b w:val="0"/>
          <w:bCs/>
          <w:color w:val="auto"/>
          <w:sz w:val="28"/>
          <w:szCs w:val="18"/>
          <w:highlight w:val="none"/>
        </w:rPr>
      </w:pPr>
      <w:bookmarkStart w:id="178" w:name="_Toc740"/>
      <w:bookmarkStart w:id="179" w:name="_Toc13811"/>
      <w:bookmarkStart w:id="180" w:name="_Toc10295"/>
      <w:bookmarkStart w:id="181" w:name="_Toc19021"/>
      <w:bookmarkStart w:id="182" w:name="_Toc17124"/>
      <w:bookmarkStart w:id="183" w:name="_Toc20567"/>
      <w:bookmarkStart w:id="184" w:name="_Toc410"/>
      <w:bookmarkStart w:id="185" w:name="_Toc18891"/>
      <w:bookmarkStart w:id="186" w:name="_Toc22326"/>
      <w:r>
        <w:rPr>
          <w:rFonts w:ascii="Times New Roman" w:hAnsi="Times New Roman"/>
          <w:b w:val="0"/>
          <w:bCs/>
          <w:color w:val="auto"/>
          <w:sz w:val="28"/>
          <w:szCs w:val="18"/>
          <w:highlight w:val="none"/>
        </w:rPr>
        <w:t>4. 投标</w:t>
      </w:r>
      <w:bookmarkEnd w:id="178"/>
      <w:bookmarkEnd w:id="179"/>
      <w:bookmarkEnd w:id="180"/>
      <w:bookmarkEnd w:id="181"/>
      <w:bookmarkEnd w:id="182"/>
      <w:bookmarkEnd w:id="183"/>
      <w:bookmarkEnd w:id="184"/>
      <w:bookmarkEnd w:id="185"/>
      <w:bookmarkEnd w:id="186"/>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4.1 投标文件的密封和标记</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 xml:space="preserve"> 投标文件应按照本章第 3.7.3 项要求制作并加密，未按要求加密的投标文件将被拒绝接收。</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4.2 投标文件的递交</w:t>
      </w:r>
    </w:p>
    <w:p>
      <w:pPr>
        <w:spacing w:line="500" w:lineRule="exact"/>
        <w:ind w:firstLine="435"/>
        <w:rPr>
          <w:rFonts w:ascii="Times New Roman" w:hAnsi="Times New Roman"/>
          <w:snapToGrid w:val="0"/>
          <w:color w:val="auto"/>
          <w:kern w:val="0"/>
          <w:szCs w:val="21"/>
          <w:highlight w:val="none"/>
          <w:lang w:bidi="en-US"/>
        </w:rPr>
      </w:pPr>
      <w:r>
        <w:rPr>
          <w:rFonts w:ascii="Times New Roman" w:hAnsi="Times New Roman"/>
          <w:color w:val="auto"/>
          <w:highlight w:val="none"/>
        </w:rPr>
        <w:t>4.2.1</w:t>
      </w:r>
      <w:r>
        <w:rPr>
          <w:rFonts w:ascii="Times New Roman" w:hAnsi="Times New Roman"/>
          <w:snapToGrid w:val="0"/>
          <w:color w:val="auto"/>
          <w:kern w:val="0"/>
          <w:szCs w:val="21"/>
          <w:highlight w:val="none"/>
          <w:shd w:val="clear" w:color="auto" w:fill="FFFFFF"/>
        </w:rPr>
        <w:t>投标人应当在第一章“招标公告”规定的投标截止时间前，</w:t>
      </w:r>
      <w:r>
        <w:rPr>
          <w:rFonts w:ascii="Times New Roman" w:hAnsi="Times New Roman"/>
          <w:snapToGrid w:val="0"/>
          <w:color w:val="auto"/>
          <w:kern w:val="0"/>
          <w:szCs w:val="21"/>
          <w:highlight w:val="none"/>
          <w:lang w:bidi="en-US"/>
        </w:rPr>
        <w:t>将封装的投标文件送到指定开标地点。</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4.2.2 除投标人须知前附表另有规定外，投标人所递交的投标文件不予退还。</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4.3 投标文件的修改与撤回</w:t>
      </w:r>
    </w:p>
    <w:p>
      <w:pPr>
        <w:spacing w:line="500" w:lineRule="exact"/>
        <w:ind w:firstLine="420" w:firstLineChars="200"/>
        <w:rPr>
          <w:rFonts w:ascii="Times New Roman" w:hAnsi="Times New Roman"/>
          <w:color w:val="auto"/>
          <w:highlight w:val="none"/>
        </w:rPr>
      </w:pPr>
      <w:r>
        <w:rPr>
          <w:rFonts w:ascii="Times New Roman" w:hAnsi="Times New Roman"/>
          <w:snapToGrid w:val="0"/>
          <w:color w:val="auto"/>
          <w:kern w:val="0"/>
          <w:szCs w:val="21"/>
          <w:highlight w:val="none"/>
          <w:shd w:val="clear" w:color="auto" w:fill="FFFFFF"/>
        </w:rPr>
        <w:t>在本章第4.2.1项规定的投标截止时间前，投标人可以修改或撤回已递交的投标文件。</w:t>
      </w:r>
      <w:r>
        <w:rPr>
          <w:rFonts w:ascii="Times New Roman" w:hAnsi="Times New Roman"/>
          <w:bCs/>
          <w:snapToGrid w:val="0"/>
          <w:color w:val="auto"/>
          <w:kern w:val="0"/>
          <w:szCs w:val="21"/>
          <w:highlight w:val="none"/>
        </w:rPr>
        <w:t>投标截止时间前未提交投标文件的，视为无效投标文件。未按规定密封或投标截止时间后送达的投标文件，应当拒收。</w:t>
      </w:r>
    </w:p>
    <w:p>
      <w:pPr>
        <w:pStyle w:val="3"/>
        <w:spacing w:before="0" w:after="0" w:line="500" w:lineRule="exact"/>
        <w:rPr>
          <w:rFonts w:ascii="Times New Roman" w:hAnsi="Times New Roman"/>
          <w:b w:val="0"/>
          <w:bCs/>
          <w:color w:val="auto"/>
          <w:sz w:val="28"/>
          <w:szCs w:val="18"/>
          <w:highlight w:val="none"/>
        </w:rPr>
      </w:pPr>
      <w:bookmarkStart w:id="187" w:name="_Toc1387"/>
      <w:bookmarkStart w:id="188" w:name="_Toc15131"/>
      <w:bookmarkStart w:id="189" w:name="_Toc147"/>
      <w:bookmarkStart w:id="190" w:name="_Toc12916"/>
      <w:bookmarkStart w:id="191" w:name="_Toc12326"/>
      <w:bookmarkStart w:id="192" w:name="_Toc5983"/>
      <w:bookmarkStart w:id="193" w:name="_Toc22290"/>
      <w:bookmarkStart w:id="194" w:name="_Toc14680"/>
      <w:bookmarkStart w:id="195" w:name="_Toc31922"/>
      <w:r>
        <w:rPr>
          <w:rFonts w:ascii="Times New Roman" w:hAnsi="Times New Roman"/>
          <w:b w:val="0"/>
          <w:bCs/>
          <w:color w:val="auto"/>
          <w:sz w:val="28"/>
          <w:szCs w:val="18"/>
          <w:highlight w:val="none"/>
        </w:rPr>
        <w:t>5. 开标</w:t>
      </w:r>
      <w:bookmarkEnd w:id="187"/>
      <w:bookmarkEnd w:id="188"/>
      <w:bookmarkEnd w:id="189"/>
      <w:bookmarkEnd w:id="190"/>
      <w:bookmarkEnd w:id="191"/>
      <w:bookmarkEnd w:id="192"/>
      <w:bookmarkEnd w:id="193"/>
      <w:bookmarkEnd w:id="194"/>
      <w:bookmarkEnd w:id="195"/>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5.1 开标时间和地点</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招标人在本章第4.2.1项规定的投标截止时间（开标时间）</w:t>
      </w:r>
      <w:r>
        <w:rPr>
          <w:rFonts w:ascii="Times New Roman" w:hAnsi="Times New Roman"/>
          <w:bCs/>
          <w:snapToGrid w:val="0"/>
          <w:color w:val="auto"/>
          <w:kern w:val="0"/>
          <w:szCs w:val="21"/>
          <w:highlight w:val="none"/>
        </w:rPr>
        <w:t>和地点组织公开开标，</w:t>
      </w:r>
      <w:r>
        <w:rPr>
          <w:rFonts w:ascii="Times New Roman" w:hAnsi="Times New Roman"/>
          <w:color w:val="auto"/>
          <w:highlight w:val="none"/>
        </w:rPr>
        <w:t>所有投标人的法定代表人或其委托代理人应当准时参加。</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5.2 开标程序</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开标时，招标人现场公布开标结果，公布内容包括投标人名称、投标价格及招标文件规定的内容。</w:t>
      </w:r>
    </w:p>
    <w:p>
      <w:pPr>
        <w:spacing w:line="500" w:lineRule="exact"/>
        <w:ind w:firstLine="420" w:firstLineChars="200"/>
        <w:rPr>
          <w:rFonts w:ascii="Times New Roman" w:hAnsi="Times New Roman"/>
          <w:bCs/>
          <w:snapToGrid w:val="0"/>
          <w:color w:val="auto"/>
          <w:kern w:val="0"/>
          <w:szCs w:val="21"/>
          <w:highlight w:val="none"/>
        </w:rPr>
      </w:pPr>
      <w:r>
        <w:rPr>
          <w:rFonts w:ascii="Times New Roman" w:hAnsi="Times New Roman"/>
          <w:bCs/>
          <w:snapToGrid w:val="0"/>
          <w:color w:val="auto"/>
          <w:kern w:val="0"/>
          <w:szCs w:val="21"/>
          <w:highlight w:val="none"/>
        </w:rPr>
        <w:t>招标人将对开标过程进行记录，由参加开标的各投标人代表和相关工作人员签字确认，并存档备查。</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5.3 开标异议</w:t>
      </w:r>
    </w:p>
    <w:p>
      <w:pPr>
        <w:spacing w:line="500" w:lineRule="exact"/>
        <w:ind w:firstLine="359" w:firstLineChars="171"/>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投标人对开标有异议的，应当在开标过程中提出；招标人当场对异议作出答复，并记入开标记录。</w:t>
      </w:r>
    </w:p>
    <w:p>
      <w:pPr>
        <w:pStyle w:val="3"/>
        <w:spacing w:before="0" w:after="0" w:line="500" w:lineRule="exact"/>
        <w:rPr>
          <w:rFonts w:ascii="Times New Roman" w:hAnsi="Times New Roman"/>
          <w:b w:val="0"/>
          <w:bCs/>
          <w:color w:val="auto"/>
          <w:sz w:val="28"/>
          <w:szCs w:val="18"/>
          <w:highlight w:val="none"/>
        </w:rPr>
      </w:pPr>
      <w:bookmarkStart w:id="196" w:name="_Toc24911"/>
      <w:bookmarkStart w:id="197" w:name="_Toc26341"/>
      <w:bookmarkStart w:id="198" w:name="_Toc3498"/>
      <w:bookmarkStart w:id="199" w:name="_Toc16998"/>
      <w:bookmarkStart w:id="200" w:name="_Toc6176"/>
      <w:bookmarkStart w:id="201" w:name="_Toc31570"/>
      <w:bookmarkStart w:id="202" w:name="_Toc31311"/>
      <w:bookmarkStart w:id="203" w:name="_Toc5504"/>
      <w:bookmarkStart w:id="204" w:name="_Toc2817"/>
      <w:r>
        <w:rPr>
          <w:rFonts w:ascii="Times New Roman" w:hAnsi="Times New Roman"/>
          <w:b w:val="0"/>
          <w:bCs/>
          <w:color w:val="auto"/>
          <w:sz w:val="28"/>
          <w:szCs w:val="18"/>
          <w:highlight w:val="none"/>
        </w:rPr>
        <w:t>6. 评标</w:t>
      </w:r>
      <w:bookmarkEnd w:id="196"/>
      <w:bookmarkEnd w:id="197"/>
      <w:bookmarkEnd w:id="198"/>
      <w:bookmarkEnd w:id="199"/>
      <w:bookmarkEnd w:id="200"/>
      <w:bookmarkEnd w:id="201"/>
      <w:bookmarkEnd w:id="202"/>
      <w:bookmarkEnd w:id="203"/>
      <w:bookmarkEnd w:id="204"/>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6.1 评标委员会</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6.1.2 评标委员会成员有下列情形之一的，应当回避：</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（1）投标人或投标人主要负责人的近亲属；</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（2）项目主管部门或者行政监督部门的人员；</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（3）与投标人有经济利益关系，可能影响对投标公正评审的；</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（4）曾因在招标、评</w:t>
      </w:r>
      <w:bookmarkStart w:id="205" w:name="_Toc247527580"/>
      <w:bookmarkStart w:id="206" w:name="_Toc152042331"/>
      <w:bookmarkStart w:id="207" w:name="_Toc6230"/>
      <w:bookmarkStart w:id="208" w:name="_Toc361508612"/>
      <w:bookmarkStart w:id="209" w:name="_Toc247513979"/>
      <w:bookmarkStart w:id="210" w:name="_Toc152045555"/>
      <w:bookmarkStart w:id="211" w:name="_Toc144974523"/>
      <w:bookmarkStart w:id="212" w:name="_Toc384308237"/>
      <w:bookmarkStart w:id="213" w:name="_Toc352691499"/>
      <w:bookmarkStart w:id="214" w:name="_Toc300834976"/>
      <w:bookmarkStart w:id="215" w:name="_Toc369531543"/>
      <w:r>
        <w:rPr>
          <w:rFonts w:ascii="Times New Roman" w:hAnsi="Times New Roman"/>
          <w:color w:val="auto"/>
          <w:highlight w:val="none"/>
        </w:rPr>
        <w:t>标以及其他</w:t>
      </w:r>
      <w:bookmarkEnd w:id="205"/>
      <w:bookmarkEnd w:id="206"/>
      <w:bookmarkEnd w:id="207"/>
      <w:bookmarkEnd w:id="208"/>
      <w:bookmarkEnd w:id="209"/>
      <w:bookmarkEnd w:id="210"/>
      <w:bookmarkEnd w:id="211"/>
      <w:bookmarkEnd w:id="212"/>
      <w:bookmarkEnd w:id="213"/>
      <w:bookmarkEnd w:id="214"/>
      <w:bookmarkEnd w:id="215"/>
      <w:r>
        <w:rPr>
          <w:rFonts w:ascii="Times New Roman" w:hAnsi="Times New Roman"/>
          <w:color w:val="auto"/>
          <w:highlight w:val="none"/>
        </w:rPr>
        <w:t>与</w:t>
      </w:r>
      <w:bookmarkStart w:id="216" w:name="_Toc369531544"/>
      <w:bookmarkStart w:id="217" w:name="_Toc247513980"/>
      <w:bookmarkStart w:id="218" w:name="_Toc152045556"/>
      <w:bookmarkStart w:id="219" w:name="_Toc247527581"/>
      <w:bookmarkStart w:id="220" w:name="_Toc152042332"/>
      <w:bookmarkStart w:id="221" w:name="_Toc300834977"/>
      <w:bookmarkStart w:id="222" w:name="_Toc17703"/>
      <w:bookmarkStart w:id="223" w:name="_Toc352691500"/>
      <w:bookmarkStart w:id="224" w:name="_Toc361508613"/>
      <w:bookmarkStart w:id="225" w:name="_Toc384308238"/>
      <w:bookmarkStart w:id="226" w:name="_Toc144974524"/>
      <w:r>
        <w:rPr>
          <w:rFonts w:ascii="Times New Roman" w:hAnsi="Times New Roman"/>
          <w:color w:val="auto"/>
          <w:highlight w:val="none"/>
        </w:rPr>
        <w:t>招标投标有关活动中从事违法行</w:t>
      </w:r>
      <w:bookmarkEnd w:id="216"/>
      <w:bookmarkEnd w:id="217"/>
      <w:bookmarkEnd w:id="218"/>
      <w:bookmarkEnd w:id="219"/>
      <w:bookmarkEnd w:id="220"/>
      <w:bookmarkEnd w:id="221"/>
      <w:bookmarkEnd w:id="222"/>
      <w:bookmarkEnd w:id="223"/>
      <w:bookmarkEnd w:id="224"/>
      <w:bookmarkEnd w:id="225"/>
      <w:bookmarkEnd w:id="226"/>
      <w:r>
        <w:rPr>
          <w:rFonts w:ascii="Times New Roman" w:hAnsi="Times New Roman"/>
          <w:color w:val="auto"/>
          <w:highlight w:val="none"/>
        </w:rPr>
        <w:t>为而受过行政处罚或刑事处罚的；</w:t>
      </w:r>
    </w:p>
    <w:p>
      <w:pPr>
        <w:spacing w:line="500" w:lineRule="exact"/>
        <w:ind w:firstLine="420" w:firstLineChars="200"/>
        <w:outlineLvl w:val="4"/>
        <w:rPr>
          <w:rFonts w:ascii="Times New Roman" w:hAnsi="Times New Roman"/>
          <w:color w:val="auto"/>
          <w:highlight w:val="none"/>
        </w:rPr>
      </w:pPr>
      <w:r>
        <w:rPr>
          <w:rFonts w:ascii="Times New Roman" w:hAnsi="Times New Roman"/>
          <w:color w:val="auto"/>
          <w:highlight w:val="none"/>
        </w:rPr>
        <w:t>（5）与投标人有其他利害关系。</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6.2 评标原则</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评标活动遵循公平、公正、科学和择优的原</w:t>
      </w:r>
      <w:bookmarkStart w:id="227" w:name="_Toc247513981"/>
      <w:bookmarkStart w:id="228" w:name="_Toc300834978"/>
      <w:bookmarkStart w:id="229" w:name="_Toc361508614"/>
      <w:bookmarkStart w:id="230" w:name="_Toc352691501"/>
      <w:bookmarkStart w:id="231" w:name="_Toc152042333"/>
      <w:bookmarkStart w:id="232" w:name="_Toc152045557"/>
      <w:bookmarkStart w:id="233" w:name="_Toc369531545"/>
      <w:bookmarkStart w:id="234" w:name="_Toc384308239"/>
      <w:bookmarkStart w:id="235" w:name="_Toc18949"/>
      <w:bookmarkStart w:id="236" w:name="_Toc144974525"/>
      <w:bookmarkStart w:id="237" w:name="_Toc247527582"/>
      <w:r>
        <w:rPr>
          <w:rFonts w:ascii="Times New Roman" w:hAnsi="Times New Roman"/>
          <w:color w:val="auto"/>
          <w:highlight w:val="none"/>
        </w:rPr>
        <w:t>则。</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6.3 评标</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6</w:t>
      </w:r>
      <w:bookmarkEnd w:id="227"/>
      <w:bookmarkEnd w:id="228"/>
      <w:bookmarkEnd w:id="229"/>
      <w:bookmarkEnd w:id="230"/>
      <w:bookmarkEnd w:id="231"/>
      <w:bookmarkEnd w:id="232"/>
      <w:bookmarkEnd w:id="233"/>
      <w:bookmarkEnd w:id="234"/>
      <w:bookmarkEnd w:id="235"/>
      <w:bookmarkEnd w:id="236"/>
      <w:bookmarkEnd w:id="237"/>
      <w:r>
        <w:rPr>
          <w:rFonts w:ascii="Times New Roman" w:hAnsi="Times New Roman"/>
          <w:color w:val="auto"/>
          <w:highlight w:val="none"/>
        </w:rPr>
        <w:t>.3.1评标委员会按照第三章“评标办法”规定的方法、评审因素、标准和程序对投标文件进行评审。第三章“评标办法”没有规定的方法、评审因素和标准，不作为评标依据。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6.3.2评标完成后，评标委员会应当向招标人提交书面评标报告和中标候选人名单。评标委员会推荐中标</w:t>
      </w:r>
      <w:bookmarkStart w:id="238" w:name="_Toc12259"/>
      <w:bookmarkStart w:id="239" w:name="_Toc300834979"/>
      <w:bookmarkStart w:id="240" w:name="_Toc152042334"/>
      <w:bookmarkStart w:id="241" w:name="_Toc384308240"/>
      <w:bookmarkStart w:id="242" w:name="_Toc144974526"/>
      <w:bookmarkStart w:id="243" w:name="_Toc369531546"/>
      <w:bookmarkStart w:id="244" w:name="_Toc247527583"/>
      <w:bookmarkStart w:id="245" w:name="_Toc361508615"/>
      <w:bookmarkStart w:id="246" w:name="_Toc247513982"/>
      <w:bookmarkStart w:id="247" w:name="_Toc352691502"/>
      <w:bookmarkStart w:id="248" w:name="_Toc152045558"/>
      <w:r>
        <w:rPr>
          <w:rFonts w:ascii="Times New Roman" w:hAnsi="Times New Roman"/>
          <w:color w:val="auto"/>
          <w:highlight w:val="none"/>
        </w:rPr>
        <w:t>候选人的人数见投标人须知前附</w:t>
      </w:r>
      <w:bookmarkEnd w:id="238"/>
      <w:bookmarkEnd w:id="239"/>
      <w:bookmarkEnd w:id="240"/>
      <w:bookmarkEnd w:id="241"/>
      <w:bookmarkEnd w:id="242"/>
      <w:bookmarkEnd w:id="243"/>
      <w:bookmarkEnd w:id="244"/>
      <w:bookmarkEnd w:id="245"/>
      <w:bookmarkEnd w:id="246"/>
      <w:bookmarkEnd w:id="247"/>
      <w:bookmarkEnd w:id="248"/>
      <w:r>
        <w:rPr>
          <w:rFonts w:ascii="Times New Roman" w:hAnsi="Times New Roman"/>
          <w:color w:val="auto"/>
          <w:highlight w:val="none"/>
        </w:rPr>
        <w:t>表。</w:t>
      </w:r>
    </w:p>
    <w:p>
      <w:pPr>
        <w:pStyle w:val="3"/>
        <w:spacing w:before="0" w:after="0" w:line="500" w:lineRule="exact"/>
        <w:rPr>
          <w:rFonts w:ascii="Times New Roman" w:hAnsi="Times New Roman"/>
          <w:b w:val="0"/>
          <w:bCs/>
          <w:color w:val="auto"/>
          <w:sz w:val="28"/>
          <w:szCs w:val="18"/>
          <w:highlight w:val="none"/>
        </w:rPr>
      </w:pPr>
      <w:bookmarkStart w:id="249" w:name="_Toc2937"/>
      <w:bookmarkStart w:id="250" w:name="_Toc16927"/>
      <w:bookmarkStart w:id="251" w:name="_Toc27425"/>
      <w:bookmarkStart w:id="252" w:name="_Toc16272"/>
      <w:bookmarkStart w:id="253" w:name="_Toc26859"/>
      <w:bookmarkStart w:id="254" w:name="_Toc2724"/>
      <w:bookmarkStart w:id="255" w:name="_Toc22287"/>
      <w:bookmarkStart w:id="256" w:name="_Toc24558"/>
      <w:bookmarkStart w:id="257" w:name="_Toc24116"/>
      <w:r>
        <w:rPr>
          <w:rFonts w:ascii="Times New Roman" w:hAnsi="Times New Roman"/>
          <w:b w:val="0"/>
          <w:bCs/>
          <w:color w:val="auto"/>
          <w:sz w:val="28"/>
          <w:szCs w:val="18"/>
          <w:highlight w:val="none"/>
        </w:rPr>
        <w:t>7. 合同授予</w:t>
      </w:r>
      <w:bookmarkEnd w:id="249"/>
      <w:bookmarkEnd w:id="250"/>
      <w:bookmarkEnd w:id="251"/>
      <w:bookmarkEnd w:id="252"/>
      <w:bookmarkEnd w:id="253"/>
      <w:bookmarkEnd w:id="254"/>
      <w:bookmarkEnd w:id="255"/>
      <w:bookmarkEnd w:id="256"/>
      <w:bookmarkEnd w:id="257"/>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7.1 中标候选人公示</w:t>
      </w:r>
    </w:p>
    <w:p>
      <w:pPr>
        <w:spacing w:line="500" w:lineRule="exact"/>
        <w:ind w:firstLine="420" w:firstLineChars="200"/>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7.2 评标结果异议</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投标人或者其他利</w:t>
      </w:r>
      <w:bookmarkStart w:id="258" w:name="_Toc30095"/>
      <w:bookmarkStart w:id="259" w:name="_Toc247527586"/>
      <w:bookmarkStart w:id="260" w:name="_Toc369531549"/>
      <w:bookmarkStart w:id="261" w:name="_Toc247513985"/>
      <w:bookmarkStart w:id="262" w:name="_Toc384308243"/>
      <w:bookmarkStart w:id="263" w:name="_Toc361508618"/>
      <w:bookmarkStart w:id="264" w:name="_Toc352691505"/>
      <w:bookmarkStart w:id="265" w:name="_Toc300834982"/>
      <w:r>
        <w:rPr>
          <w:rFonts w:ascii="Times New Roman" w:hAnsi="Times New Roman"/>
          <w:color w:val="auto"/>
          <w:highlight w:val="none"/>
        </w:rPr>
        <w:t>害关系人对评标结</w:t>
      </w:r>
      <w:bookmarkEnd w:id="258"/>
      <w:bookmarkEnd w:id="259"/>
      <w:bookmarkEnd w:id="260"/>
      <w:bookmarkEnd w:id="261"/>
      <w:bookmarkEnd w:id="262"/>
      <w:bookmarkEnd w:id="263"/>
      <w:bookmarkEnd w:id="264"/>
      <w:bookmarkEnd w:id="265"/>
      <w:r>
        <w:rPr>
          <w:rFonts w:ascii="Times New Roman" w:hAnsi="Times New Roman"/>
          <w:color w:val="auto"/>
          <w:highlight w:val="none"/>
        </w:rPr>
        <w:t>果有异议的，应当在中标候选人公示期间提出。招标人将在收到异议之日起3日内作出答复；作出答复前，将暂停招标投标活动。</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7.3 中标候选人履约能力审查</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7.4 定标</w:t>
      </w:r>
    </w:p>
    <w:p>
      <w:pPr>
        <w:spacing w:line="500" w:lineRule="exact"/>
        <w:ind w:firstLine="420" w:firstLineChars="200"/>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7.5 中标通知</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在本章第3.3款规定的投标有效期内，</w:t>
      </w:r>
      <w:bookmarkStart w:id="266" w:name="_Toc300834983"/>
      <w:bookmarkStart w:id="267" w:name="_Toc352691506"/>
      <w:bookmarkStart w:id="268" w:name="_Toc361508619"/>
      <w:bookmarkStart w:id="269" w:name="_Toc369531550"/>
      <w:bookmarkStart w:id="270" w:name="_Toc384308244"/>
      <w:bookmarkStart w:id="271" w:name="_Toc5668"/>
      <w:r>
        <w:rPr>
          <w:rFonts w:ascii="Times New Roman" w:hAnsi="Times New Roman"/>
          <w:color w:val="auto"/>
          <w:highlight w:val="none"/>
        </w:rPr>
        <w:t>招标人按投标人须知前附表规定的形式向中标人发出中标通知书，同时将中</w:t>
      </w:r>
      <w:bookmarkEnd w:id="266"/>
      <w:bookmarkEnd w:id="267"/>
      <w:bookmarkEnd w:id="268"/>
      <w:bookmarkEnd w:id="269"/>
      <w:bookmarkEnd w:id="270"/>
      <w:bookmarkEnd w:id="271"/>
      <w:r>
        <w:rPr>
          <w:rFonts w:ascii="Times New Roman" w:hAnsi="Times New Roman"/>
          <w:color w:val="auto"/>
          <w:highlight w:val="none"/>
        </w:rPr>
        <w:t>标结果通知未中标的投标人。</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snapToGrid w:val="0"/>
          <w:color w:val="auto"/>
          <w:sz w:val="24"/>
          <w:szCs w:val="18"/>
          <w:highlight w:val="none"/>
        </w:rPr>
        <w:t>7.6 中标结果公示</w:t>
      </w:r>
    </w:p>
    <w:p>
      <w:pPr>
        <w:spacing w:line="500" w:lineRule="exact"/>
        <w:ind w:firstLine="420" w:firstLineChars="200"/>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招标人在确定中标人之日起3日内，按照投标人须知前附表规定的公示媒介和期限依法公示中标结果。</w:t>
      </w:r>
    </w:p>
    <w:p>
      <w:pPr>
        <w:pStyle w:val="4"/>
        <w:spacing w:before="0" w:after="0" w:line="500" w:lineRule="exact"/>
        <w:ind w:firstLine="118"/>
        <w:rPr>
          <w:rFonts w:ascii="Times New Roman" w:hAnsi="Times New Roman"/>
          <w:color w:val="auto"/>
          <w:sz w:val="24"/>
          <w:szCs w:val="18"/>
          <w:highlight w:val="none"/>
        </w:rPr>
      </w:pPr>
      <w:bookmarkStart w:id="272" w:name="_Toc12462202"/>
      <w:bookmarkStart w:id="273" w:name="_Toc152042347"/>
      <w:bookmarkStart w:id="274" w:name="_Toc144974539"/>
      <w:bookmarkStart w:id="275" w:name="_Toc27420"/>
      <w:bookmarkStart w:id="276" w:name="_Toc152045571"/>
      <w:bookmarkStart w:id="277" w:name="_Toc179632589"/>
      <w:bookmarkStart w:id="278" w:name="_Toc24067"/>
      <w:bookmarkStart w:id="279" w:name="_Toc384308252"/>
      <w:bookmarkStart w:id="280" w:name="_Toc361508627"/>
      <w:bookmarkStart w:id="281" w:name="_Toc247527593"/>
      <w:bookmarkStart w:id="282" w:name="_Toc144974536"/>
      <w:bookmarkStart w:id="283" w:name="_Toc152042344"/>
      <w:bookmarkStart w:id="284" w:name="_Toc247513992"/>
      <w:bookmarkStart w:id="285" w:name="_Toc152045568"/>
      <w:bookmarkStart w:id="286" w:name="_Toc300834991"/>
      <w:r>
        <w:rPr>
          <w:rFonts w:ascii="Times New Roman" w:hAnsi="Times New Roman"/>
          <w:color w:val="auto"/>
          <w:sz w:val="24"/>
          <w:szCs w:val="18"/>
          <w:highlight w:val="none"/>
        </w:rPr>
        <w:t>7.7履约保证金</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7.8 签订合同</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highlight w:val="none"/>
        </w:rPr>
        <w:t xml:space="preserve">7.8.3 </w:t>
      </w:r>
      <w:r>
        <w:rPr>
          <w:rFonts w:ascii="Times New Roman" w:hAnsi="Times New Roman"/>
          <w:color w:val="auto"/>
          <w:szCs w:val="21"/>
          <w:highlight w:val="none"/>
        </w:rPr>
        <w:t>联合体中标的，联合体各方应当共同与招标人签订合同，就中标项目向招标人承担连带责任。</w:t>
      </w:r>
    </w:p>
    <w:p>
      <w:pPr>
        <w:pStyle w:val="3"/>
        <w:spacing w:before="0" w:after="0" w:line="500" w:lineRule="exact"/>
        <w:rPr>
          <w:rFonts w:ascii="Times New Roman" w:hAnsi="Times New Roman"/>
          <w:b w:val="0"/>
          <w:bCs/>
          <w:color w:val="auto"/>
          <w:sz w:val="28"/>
          <w:szCs w:val="18"/>
          <w:highlight w:val="none"/>
        </w:rPr>
      </w:pPr>
      <w:bookmarkStart w:id="287" w:name="_Toc4896"/>
      <w:bookmarkStart w:id="288" w:name="_Toc175"/>
      <w:bookmarkStart w:id="289" w:name="_Toc17091"/>
      <w:bookmarkStart w:id="290" w:name="_Toc12660"/>
      <w:bookmarkStart w:id="291" w:name="_Toc152"/>
      <w:bookmarkStart w:id="292" w:name="_Toc17957"/>
      <w:bookmarkStart w:id="293" w:name="_Toc6697"/>
      <w:bookmarkStart w:id="294" w:name="_Toc11913"/>
      <w:r>
        <w:rPr>
          <w:rFonts w:ascii="Times New Roman" w:hAnsi="Times New Roman"/>
          <w:b w:val="0"/>
          <w:bCs/>
          <w:color w:val="auto"/>
          <w:sz w:val="28"/>
          <w:szCs w:val="18"/>
          <w:highlight w:val="none"/>
        </w:rPr>
        <w:t>8. 重新招标和不再招标</w:t>
      </w:r>
      <w:bookmarkEnd w:id="272"/>
      <w:bookmarkEnd w:id="273"/>
      <w:bookmarkEnd w:id="274"/>
      <w:bookmarkEnd w:id="275"/>
      <w:bookmarkEnd w:id="276"/>
      <w:bookmarkEnd w:id="277"/>
      <w:bookmarkEnd w:id="287"/>
      <w:bookmarkEnd w:id="288"/>
      <w:bookmarkEnd w:id="289"/>
      <w:bookmarkEnd w:id="290"/>
      <w:bookmarkEnd w:id="291"/>
      <w:bookmarkEnd w:id="292"/>
      <w:bookmarkEnd w:id="293"/>
      <w:bookmarkEnd w:id="294"/>
    </w:p>
    <w:p>
      <w:pPr>
        <w:pStyle w:val="4"/>
        <w:spacing w:before="0" w:after="0" w:line="500" w:lineRule="exact"/>
        <w:ind w:firstLine="118"/>
        <w:rPr>
          <w:rFonts w:ascii="Times New Roman" w:hAnsi="Times New Roman"/>
          <w:bCs/>
          <w:color w:val="auto"/>
          <w:sz w:val="24"/>
          <w:szCs w:val="18"/>
          <w:highlight w:val="none"/>
        </w:rPr>
      </w:pPr>
      <w:bookmarkStart w:id="295" w:name="_Toc152045572"/>
      <w:bookmarkStart w:id="296" w:name="_Toc144974540"/>
      <w:bookmarkStart w:id="297" w:name="_Toc179632590"/>
      <w:bookmarkStart w:id="298" w:name="_Toc152042348"/>
      <w:r>
        <w:rPr>
          <w:rFonts w:ascii="Times New Roman" w:hAnsi="Times New Roman"/>
          <w:bCs/>
          <w:color w:val="auto"/>
          <w:sz w:val="24"/>
          <w:szCs w:val="18"/>
          <w:highlight w:val="none"/>
        </w:rPr>
        <w:t>8.1 重新招标</w:t>
      </w:r>
      <w:bookmarkEnd w:id="295"/>
      <w:bookmarkEnd w:id="296"/>
      <w:bookmarkEnd w:id="297"/>
      <w:bookmarkEnd w:id="298"/>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依法必须招标的项目有下列情形之一的，招标人将重新招标：</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（1）投标截止时间止，投标人少于3个的；</w:t>
      </w:r>
    </w:p>
    <w:p>
      <w:pPr>
        <w:spacing w:line="500" w:lineRule="exact"/>
        <w:ind w:firstLine="359" w:firstLineChars="171"/>
        <w:rPr>
          <w:rFonts w:ascii="Times New Roman" w:hAnsi="Times New Roman"/>
          <w:color w:val="auto"/>
          <w:highlight w:val="none"/>
        </w:rPr>
      </w:pPr>
      <w:r>
        <w:rPr>
          <w:rFonts w:ascii="Times New Roman" w:hAnsi="Times New Roman"/>
          <w:color w:val="auto"/>
          <w:highlight w:val="none"/>
        </w:rPr>
        <w:t>（2）经评标委员会评审后否决所有投标的；</w:t>
      </w:r>
    </w:p>
    <w:p>
      <w:pPr>
        <w:spacing w:line="500" w:lineRule="exact"/>
        <w:ind w:firstLine="359" w:firstLineChars="171"/>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（3）中标候选人均未与招标人签订合同的；</w:t>
      </w:r>
    </w:p>
    <w:p>
      <w:pPr>
        <w:spacing w:line="500" w:lineRule="exact"/>
        <w:ind w:firstLine="359" w:firstLineChars="171"/>
        <w:rPr>
          <w:rFonts w:ascii="Times New Roman" w:hAnsi="Times New Roman"/>
          <w:snapToGrid w:val="0"/>
          <w:color w:val="auto"/>
          <w:kern w:val="0"/>
          <w:szCs w:val="21"/>
          <w:highlight w:val="none"/>
          <w:shd w:val="clear" w:color="auto" w:fill="FFFFFF"/>
        </w:rPr>
      </w:pPr>
      <w:r>
        <w:rPr>
          <w:rFonts w:ascii="Times New Roman" w:hAnsi="Times New Roman"/>
          <w:snapToGrid w:val="0"/>
          <w:color w:val="auto"/>
          <w:kern w:val="0"/>
          <w:szCs w:val="21"/>
          <w:highlight w:val="none"/>
          <w:shd w:val="clear" w:color="auto" w:fill="FFFFFF"/>
        </w:rPr>
        <w:t>（4）法律、法规规定的其他情形。</w:t>
      </w:r>
    </w:p>
    <w:p>
      <w:pPr>
        <w:pStyle w:val="4"/>
        <w:spacing w:before="0" w:after="0" w:line="500" w:lineRule="exact"/>
        <w:ind w:firstLine="118"/>
        <w:rPr>
          <w:rFonts w:ascii="Times New Roman" w:hAnsi="Times New Roman"/>
          <w:bCs/>
          <w:color w:val="auto"/>
          <w:sz w:val="24"/>
          <w:szCs w:val="18"/>
          <w:highlight w:val="none"/>
        </w:rPr>
      </w:pPr>
      <w:bookmarkStart w:id="299" w:name="_Toc144974541"/>
      <w:bookmarkStart w:id="300" w:name="_Toc179632591"/>
      <w:bookmarkStart w:id="301" w:name="_Toc152042349"/>
      <w:bookmarkStart w:id="302" w:name="_Toc152045573"/>
      <w:r>
        <w:rPr>
          <w:rFonts w:ascii="Times New Roman" w:hAnsi="Times New Roman"/>
          <w:bCs/>
          <w:color w:val="auto"/>
          <w:sz w:val="24"/>
          <w:szCs w:val="18"/>
          <w:highlight w:val="none"/>
        </w:rPr>
        <w:t>8.2 不再招标</w:t>
      </w:r>
      <w:bookmarkEnd w:id="299"/>
      <w:bookmarkEnd w:id="300"/>
      <w:bookmarkEnd w:id="301"/>
      <w:bookmarkEnd w:id="302"/>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重新招标后投标人仍少于3个或者所有投标被否决的，属于必须审批或核准的项目，经原审批或核准部门批准后不再进行招标。</w:t>
      </w:r>
    </w:p>
    <w:p>
      <w:pPr>
        <w:pStyle w:val="3"/>
        <w:spacing w:before="0" w:after="0" w:line="500" w:lineRule="exact"/>
        <w:rPr>
          <w:rFonts w:ascii="Times New Roman" w:hAnsi="Times New Roman"/>
          <w:b w:val="0"/>
          <w:bCs/>
          <w:color w:val="auto"/>
          <w:sz w:val="28"/>
          <w:szCs w:val="18"/>
          <w:highlight w:val="none"/>
        </w:rPr>
      </w:pPr>
      <w:bookmarkStart w:id="303" w:name="_Toc3937"/>
      <w:bookmarkStart w:id="304" w:name="_Toc21145"/>
      <w:bookmarkStart w:id="305" w:name="_Toc26190"/>
      <w:bookmarkStart w:id="306" w:name="_Toc8989"/>
      <w:bookmarkStart w:id="307" w:name="_Toc10975"/>
      <w:bookmarkStart w:id="308" w:name="_Toc18408"/>
      <w:bookmarkStart w:id="309" w:name="_Toc2950"/>
      <w:bookmarkStart w:id="310" w:name="_Toc5726"/>
      <w:bookmarkStart w:id="311" w:name="_Toc13720"/>
      <w:r>
        <w:rPr>
          <w:rFonts w:ascii="Times New Roman" w:hAnsi="Times New Roman"/>
          <w:b w:val="0"/>
          <w:bCs/>
          <w:color w:val="auto"/>
          <w:sz w:val="28"/>
          <w:szCs w:val="18"/>
          <w:highlight w:val="none"/>
        </w:rPr>
        <w:t>9.</w:t>
      </w:r>
      <w:bookmarkEnd w:id="278"/>
      <w:bookmarkEnd w:id="279"/>
      <w:bookmarkEnd w:id="280"/>
      <w:r>
        <w:rPr>
          <w:rFonts w:ascii="Times New Roman" w:hAnsi="Times New Roman"/>
          <w:b w:val="0"/>
          <w:bCs/>
          <w:color w:val="auto"/>
          <w:sz w:val="28"/>
          <w:szCs w:val="18"/>
          <w:highlight w:val="none"/>
        </w:rPr>
        <w:t xml:space="preserve"> 纪律和监督</w:t>
      </w:r>
      <w:bookmarkEnd w:id="303"/>
      <w:bookmarkEnd w:id="304"/>
      <w:bookmarkEnd w:id="305"/>
      <w:bookmarkEnd w:id="306"/>
      <w:bookmarkEnd w:id="307"/>
      <w:bookmarkEnd w:id="308"/>
      <w:bookmarkEnd w:id="309"/>
      <w:bookmarkEnd w:id="310"/>
      <w:bookmarkEnd w:id="311"/>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9.1 对招标人的纪律要求</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招标人不得泄露招标投标活动中应当保密的情况和资料，不得与投标人串通损害国家利益、社会公共利益或者他人合法权益。</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9.2 对投标人的纪律要求</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9.3 对评标委员会成员的纪律要求</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评标委员会成员不得收受他人的财物或者其他好处，不得向他人透露对投标文件的评审</w:t>
      </w:r>
      <w:bookmarkStart w:id="312" w:name="_Toc369531559"/>
      <w:bookmarkStart w:id="313" w:name="_Toc361508628"/>
      <w:bookmarkStart w:id="314" w:name="_Toc352691515"/>
      <w:bookmarkStart w:id="315" w:name="_Toc13644"/>
      <w:bookmarkStart w:id="316" w:name="_Toc384308253"/>
      <w:r>
        <w:rPr>
          <w:rFonts w:ascii="Times New Roman" w:hAnsi="Times New Roman"/>
          <w:color w:val="auto"/>
          <w:highlight w:val="none"/>
        </w:rPr>
        <w:t>和比较、中标候选人</w:t>
      </w:r>
      <w:bookmarkEnd w:id="281"/>
      <w:bookmarkEnd w:id="282"/>
      <w:bookmarkEnd w:id="283"/>
      <w:bookmarkEnd w:id="284"/>
      <w:bookmarkEnd w:id="285"/>
      <w:bookmarkEnd w:id="286"/>
      <w:bookmarkEnd w:id="312"/>
      <w:bookmarkEnd w:id="313"/>
      <w:bookmarkEnd w:id="314"/>
      <w:bookmarkEnd w:id="315"/>
      <w:bookmarkEnd w:id="316"/>
      <w:r>
        <w:rPr>
          <w:rFonts w:ascii="Times New Roman" w:hAnsi="Times New Roman"/>
          <w:color w:val="auto"/>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9.4 对与评标活动有关的工作人员的纪律要求</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与评标活动有关的工作人员不得收受他人的财物或者其他好处，不得向他人透露对投标文件</w:t>
      </w:r>
      <w:bookmarkStart w:id="317" w:name="_Toc352691516"/>
      <w:bookmarkStart w:id="318" w:name="_Toc152042345"/>
      <w:bookmarkStart w:id="319" w:name="_Toc384308254"/>
      <w:bookmarkStart w:id="320" w:name="_Toc19429"/>
      <w:bookmarkStart w:id="321" w:name="_Toc361508629"/>
      <w:bookmarkStart w:id="322" w:name="_Toc247513993"/>
      <w:bookmarkStart w:id="323" w:name="_Toc152045569"/>
      <w:bookmarkStart w:id="324" w:name="_Toc247527594"/>
      <w:bookmarkStart w:id="325" w:name="_Toc369531560"/>
      <w:bookmarkStart w:id="326" w:name="_Toc144974537"/>
      <w:bookmarkStart w:id="327" w:name="_Toc300834992"/>
      <w:r>
        <w:rPr>
          <w:rFonts w:ascii="Times New Roman" w:hAnsi="Times New Roman"/>
          <w:color w:val="auto"/>
          <w:highlight w:val="none"/>
        </w:rPr>
        <w:t>的评审和比较、中标</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color w:val="auto"/>
          <w:highlight w:val="none"/>
        </w:rPr>
        <w:t>候选人的推荐情况以及评标有关的其他情况。在评标活动中，与评标活动有关的工作人员不得擅离职守，影响评标程序正常进行。</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9.5 投诉</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9.5.1 投标人或者其他利害关系人认为招标投标活动不符合法律、行政法规规定的，可以自知道或者应当知道之日起5日</w:t>
      </w:r>
      <w:r>
        <w:rPr>
          <w:bCs/>
          <w:snapToGrid w:val="0"/>
          <w:color w:val="auto"/>
          <w:kern w:val="0"/>
          <w:szCs w:val="21"/>
          <w:highlight w:val="none"/>
        </w:rPr>
        <w:t>内向</w:t>
      </w:r>
      <w:r>
        <w:rPr>
          <w:rFonts w:hint="eastAsia"/>
          <w:bCs/>
          <w:snapToGrid w:val="0"/>
          <w:color w:val="auto"/>
          <w:kern w:val="0"/>
          <w:szCs w:val="21"/>
          <w:highlight w:val="none"/>
        </w:rPr>
        <w:t>招标人监察部门</w:t>
      </w:r>
      <w:r>
        <w:rPr>
          <w:rFonts w:ascii="Times New Roman" w:hAnsi="Times New Roman"/>
          <w:color w:val="auto"/>
          <w:kern w:val="0"/>
          <w:szCs w:val="21"/>
          <w:highlight w:val="none"/>
        </w:rPr>
        <w:t>投诉</w:t>
      </w:r>
      <w:r>
        <w:rPr>
          <w:rFonts w:ascii="Times New Roman" w:hAnsi="Times New Roman"/>
          <w:color w:val="auto"/>
          <w:highlight w:val="none"/>
        </w:rPr>
        <w:t>。投诉应当有明确的请求和必要的证明材料。</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9.5.2 投标人或者其他利害关系人对招标文件、开标和评标结果提出投诉的，应当按照投标人须知第2.4款、第5.3款和第7.2款的规定先向招标人提出异议。异议答复期间</w:t>
      </w:r>
      <w:bookmarkStart w:id="328" w:name="_Toc361508630"/>
      <w:bookmarkStart w:id="329" w:name="_Toc369531561"/>
      <w:bookmarkStart w:id="330" w:name="_Toc384308255"/>
      <w:bookmarkStart w:id="331" w:name="_Toc12776"/>
      <w:bookmarkStart w:id="332" w:name="_Toc247513994"/>
      <w:bookmarkStart w:id="333" w:name="_Toc352691517"/>
      <w:bookmarkStart w:id="334" w:name="_Toc152042346"/>
      <w:bookmarkStart w:id="335" w:name="_Toc144974538"/>
      <w:bookmarkStart w:id="336" w:name="_Toc247527595"/>
      <w:bookmarkStart w:id="337" w:name="_Toc152045570"/>
      <w:bookmarkStart w:id="338" w:name="_Toc300834993"/>
      <w:r>
        <w:rPr>
          <w:rFonts w:ascii="Times New Roman" w:hAnsi="Times New Roman"/>
          <w:color w:val="auto"/>
          <w:highlight w:val="none"/>
        </w:rPr>
        <w:t>不计算在第9.5.</w:t>
      </w:r>
      <w:bookmarkEnd w:id="328"/>
      <w:bookmarkEnd w:id="329"/>
      <w:bookmarkEnd w:id="330"/>
      <w:bookmarkEnd w:id="331"/>
      <w:bookmarkEnd w:id="332"/>
      <w:bookmarkEnd w:id="333"/>
      <w:bookmarkEnd w:id="334"/>
      <w:bookmarkEnd w:id="335"/>
      <w:bookmarkEnd w:id="336"/>
      <w:bookmarkEnd w:id="337"/>
      <w:bookmarkEnd w:id="338"/>
      <w:r>
        <w:rPr>
          <w:rFonts w:ascii="Times New Roman" w:hAnsi="Times New Roman"/>
          <w:color w:val="auto"/>
          <w:highlight w:val="none"/>
        </w:rPr>
        <w:t>1项规定的期限内。</w:t>
      </w:r>
    </w:p>
    <w:p>
      <w:pPr>
        <w:pStyle w:val="3"/>
        <w:spacing w:before="0" w:after="0" w:line="500" w:lineRule="exact"/>
        <w:rPr>
          <w:rFonts w:ascii="Times New Roman" w:hAnsi="Times New Roman"/>
          <w:b w:val="0"/>
          <w:bCs/>
          <w:color w:val="auto"/>
          <w:sz w:val="28"/>
          <w:szCs w:val="18"/>
          <w:highlight w:val="none"/>
        </w:rPr>
      </w:pPr>
      <w:bookmarkStart w:id="339" w:name="_Toc25285"/>
      <w:bookmarkStart w:id="340" w:name="_Toc3484"/>
      <w:bookmarkStart w:id="341" w:name="_Toc31420"/>
      <w:bookmarkStart w:id="342" w:name="_Toc21077"/>
      <w:bookmarkStart w:id="343" w:name="_Toc31042"/>
      <w:bookmarkStart w:id="344" w:name="_Toc10847"/>
      <w:bookmarkStart w:id="345" w:name="_Toc18917"/>
      <w:bookmarkStart w:id="346" w:name="_Toc15539"/>
      <w:bookmarkStart w:id="347" w:name="_Toc27866"/>
      <w:r>
        <w:rPr>
          <w:rFonts w:ascii="Times New Roman" w:hAnsi="Times New Roman"/>
          <w:b w:val="0"/>
          <w:bCs/>
          <w:color w:val="auto"/>
          <w:sz w:val="28"/>
          <w:szCs w:val="18"/>
          <w:highlight w:val="none"/>
        </w:rPr>
        <w:t>10. 需要补充的其他内容</w:t>
      </w:r>
      <w:bookmarkEnd w:id="339"/>
      <w:bookmarkEnd w:id="340"/>
      <w:bookmarkEnd w:id="341"/>
      <w:bookmarkEnd w:id="342"/>
      <w:bookmarkEnd w:id="343"/>
      <w:bookmarkEnd w:id="344"/>
      <w:bookmarkEnd w:id="345"/>
      <w:bookmarkEnd w:id="346"/>
      <w:bookmarkEnd w:id="347"/>
    </w:p>
    <w:p>
      <w:pPr>
        <w:pStyle w:val="4"/>
        <w:spacing w:before="0" w:after="0" w:line="500" w:lineRule="exact"/>
        <w:ind w:firstLine="118"/>
        <w:rPr>
          <w:rFonts w:ascii="Times New Roman" w:hAnsi="Times New Roman"/>
          <w:bCs/>
          <w:color w:val="auto"/>
          <w:sz w:val="24"/>
          <w:szCs w:val="18"/>
          <w:highlight w:val="none"/>
        </w:rPr>
      </w:pPr>
      <w:r>
        <w:rPr>
          <w:rFonts w:ascii="Times New Roman" w:hAnsi="Times New Roman"/>
          <w:bCs/>
          <w:color w:val="auto"/>
          <w:sz w:val="24"/>
          <w:szCs w:val="18"/>
          <w:highlight w:val="none"/>
        </w:rPr>
        <w:t>10.1重要提示</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 xml:space="preserve">（1）投标人对所提交的投标人或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2</w:t>
      </w:r>
      <w:r>
        <w:rPr>
          <w:rFonts w:ascii="Times New Roman" w:hAnsi="Times New Roman"/>
          <w:color w:val="auto"/>
          <w:highlight w:val="none"/>
        </w:rPr>
        <w:t>）中标人应在规定期限内提交履约保证金并与招标人签订合同，若中标人未能在规定期限内提交履约保证金或签订合同，招标人有权取消中标人中标资格。</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3</w:t>
      </w:r>
      <w:r>
        <w:rPr>
          <w:rFonts w:ascii="Times New Roman" w:hAnsi="Times New Roman"/>
          <w:color w:val="auto"/>
          <w:highlight w:val="none"/>
        </w:rPr>
        <w:t>）合同签订后，中标人存在规定时间内不组织人员进场开工，不履行合同义务等情况，招标人有权解除合同，并追究违约责任。</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4</w:t>
      </w:r>
      <w:r>
        <w:rPr>
          <w:rFonts w:ascii="Times New Roman" w:hAnsi="Times New Roman"/>
          <w:color w:val="auto"/>
          <w:highlight w:val="none"/>
        </w:rPr>
        <w:t>）中标人在中标项目发生投诉、信访举报</w:t>
      </w:r>
      <w:r>
        <w:rPr>
          <w:rFonts w:hint="eastAsia" w:ascii="Times New Roman" w:hAnsi="Times New Roman"/>
          <w:color w:val="auto"/>
          <w:highlight w:val="none"/>
          <w:lang w:eastAsia="zh-CN"/>
        </w:rPr>
        <w:t>案例</w:t>
      </w:r>
      <w:r>
        <w:rPr>
          <w:rFonts w:ascii="Times New Roman" w:hAnsi="Times New Roman"/>
          <w:color w:val="auto"/>
          <w:highlight w:val="none"/>
        </w:rPr>
        <w:t>、履约存在争议时，拒绝协助配合有关部门调查</w:t>
      </w:r>
      <w:r>
        <w:rPr>
          <w:rFonts w:hint="eastAsia" w:ascii="Times New Roman" w:hAnsi="Times New Roman"/>
          <w:color w:val="auto"/>
          <w:highlight w:val="none"/>
          <w:lang w:eastAsia="zh-CN"/>
        </w:rPr>
        <w:t>案例</w:t>
      </w:r>
      <w:r>
        <w:rPr>
          <w:rFonts w:ascii="Times New Roman" w:hAnsi="Times New Roman"/>
          <w:color w:val="auto"/>
          <w:highlight w:val="none"/>
        </w:rPr>
        <w:t>的，招标人可以取消其中标资格或解除合同，并追究其违约责任。</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5</w:t>
      </w:r>
      <w:r>
        <w:rPr>
          <w:rFonts w:ascii="Times New Roman" w:hAnsi="Times New Roman"/>
          <w:color w:val="auto"/>
          <w:highlight w:val="none"/>
        </w:rPr>
        <w:t>）中标人在中标项目发生投诉、信访举报</w:t>
      </w:r>
      <w:r>
        <w:rPr>
          <w:rFonts w:hint="eastAsia" w:ascii="Times New Roman" w:hAnsi="Times New Roman"/>
          <w:color w:val="auto"/>
          <w:highlight w:val="none"/>
          <w:lang w:eastAsia="zh-CN"/>
        </w:rPr>
        <w:t>案例</w:t>
      </w:r>
      <w:r>
        <w:rPr>
          <w:rFonts w:ascii="Times New Roman" w:hAnsi="Times New Roman"/>
          <w:color w:val="auto"/>
          <w:highlight w:val="none"/>
        </w:rPr>
        <w:t>、履约存在争议时，拒绝协助配合执法部门调查</w:t>
      </w:r>
      <w:r>
        <w:rPr>
          <w:rFonts w:hint="eastAsia" w:ascii="Times New Roman" w:hAnsi="Times New Roman"/>
          <w:color w:val="auto"/>
          <w:highlight w:val="none"/>
          <w:lang w:eastAsia="zh-CN"/>
        </w:rPr>
        <w:t>案例</w:t>
      </w:r>
      <w:r>
        <w:rPr>
          <w:rFonts w:ascii="Times New Roman" w:hAnsi="Times New Roman"/>
          <w:color w:val="auto"/>
          <w:highlight w:val="none"/>
        </w:rPr>
        <w:t>的，招标人可以取消其中标资格或解除合同，并追究其违约责任。</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需要补充的其他内容：见投标人须知前附表。</w:t>
      </w:r>
    </w:p>
    <w:p>
      <w:pPr>
        <w:pStyle w:val="2"/>
        <w:spacing w:before="240" w:beforeLines="100" w:after="240" w:afterLines="100" w:line="360" w:lineRule="auto"/>
        <w:jc w:val="center"/>
        <w:rPr>
          <w:rFonts w:hint="eastAsia" w:eastAsia="黑体"/>
          <w:bCs/>
          <w:color w:val="auto"/>
          <w:kern w:val="2"/>
          <w:sz w:val="32"/>
          <w:szCs w:val="32"/>
          <w:highlight w:val="none"/>
          <w:lang w:eastAsia="zh-CN"/>
        </w:rPr>
      </w:pPr>
      <w:r>
        <w:rPr>
          <w:color w:val="auto"/>
          <w:highlight w:val="none"/>
        </w:rPr>
        <w:br w:type="page"/>
      </w:r>
      <w:bookmarkStart w:id="348" w:name="_Toc9407"/>
      <w:bookmarkStart w:id="349" w:name="_Toc20369"/>
      <w:bookmarkStart w:id="350" w:name="_Toc30169"/>
      <w:r>
        <w:rPr>
          <w:rFonts w:eastAsia="黑体"/>
          <w:bCs/>
          <w:color w:val="auto"/>
          <w:kern w:val="2"/>
          <w:sz w:val="32"/>
          <w:szCs w:val="32"/>
          <w:highlight w:val="none"/>
        </w:rPr>
        <w:t>第三章</w:t>
      </w:r>
      <w:r>
        <w:rPr>
          <w:rFonts w:hint="eastAsia" w:eastAsia="黑体"/>
          <w:bCs/>
          <w:color w:val="auto"/>
          <w:kern w:val="2"/>
          <w:sz w:val="32"/>
          <w:szCs w:val="32"/>
          <w:highlight w:val="none"/>
        </w:rPr>
        <w:t xml:space="preserve"> </w:t>
      </w:r>
      <w:r>
        <w:rPr>
          <w:rFonts w:eastAsia="黑体"/>
          <w:bCs/>
          <w:color w:val="auto"/>
          <w:kern w:val="2"/>
          <w:sz w:val="32"/>
          <w:szCs w:val="32"/>
          <w:highlight w:val="none"/>
        </w:rPr>
        <w:t>评标办法</w:t>
      </w:r>
      <w:bookmarkEnd w:id="348"/>
      <w:bookmarkEnd w:id="349"/>
    </w:p>
    <w:p>
      <w:pPr>
        <w:pStyle w:val="2"/>
        <w:spacing w:before="240" w:beforeLines="100" w:after="240" w:afterLines="100" w:line="360" w:lineRule="auto"/>
        <w:jc w:val="center"/>
        <w:outlineLvl w:val="1"/>
        <w:rPr>
          <w:rFonts w:eastAsia="黑体"/>
          <w:b w:val="0"/>
          <w:color w:val="auto"/>
          <w:sz w:val="32"/>
          <w:szCs w:val="32"/>
          <w:highlight w:val="none"/>
        </w:rPr>
      </w:pPr>
      <w:bookmarkStart w:id="351" w:name="_Toc12873"/>
      <w:bookmarkStart w:id="352" w:name="_Toc14463"/>
      <w:r>
        <w:rPr>
          <w:rFonts w:eastAsia="黑体"/>
          <w:b w:val="0"/>
          <w:color w:val="auto"/>
          <w:sz w:val="32"/>
          <w:szCs w:val="32"/>
          <w:highlight w:val="none"/>
        </w:rPr>
        <w:t>（综合评估法（有效价格））</w:t>
      </w:r>
      <w:bookmarkEnd w:id="350"/>
      <w:bookmarkEnd w:id="351"/>
      <w:bookmarkEnd w:id="352"/>
    </w:p>
    <w:p>
      <w:pPr>
        <w:spacing w:line="360" w:lineRule="auto"/>
        <w:jc w:val="center"/>
        <w:outlineLvl w:val="0"/>
        <w:rPr>
          <w:rFonts w:ascii="Times New Roman" w:hAnsi="Times New Roman" w:eastAsia="黑体"/>
          <w:color w:val="auto"/>
          <w:sz w:val="28"/>
          <w:szCs w:val="28"/>
          <w:highlight w:val="none"/>
        </w:rPr>
      </w:pPr>
      <w:bookmarkStart w:id="353" w:name="_Toc6840"/>
      <w:r>
        <w:rPr>
          <w:rFonts w:ascii="Times New Roman" w:hAnsi="Times New Roman" w:eastAsia="黑体"/>
          <w:color w:val="auto"/>
          <w:sz w:val="28"/>
          <w:szCs w:val="28"/>
          <w:highlight w:val="none"/>
        </w:rPr>
        <w:t>评标办法前附表</w:t>
      </w:r>
      <w:bookmarkEnd w:id="353"/>
    </w:p>
    <w:tbl>
      <w:tblPr>
        <w:tblStyle w:val="43"/>
        <w:tblW w:w="8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858"/>
        <w:gridCol w:w="1471"/>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42" w:type="dxa"/>
            <w:gridSpan w:val="2"/>
            <w:noWrap w:val="0"/>
            <w:vAlign w:val="center"/>
          </w:tcPr>
          <w:p>
            <w:pPr>
              <w:widowControl/>
              <w:spacing w:line="480" w:lineRule="auto"/>
              <w:jc w:val="center"/>
              <w:rPr>
                <w:rFonts w:ascii="Times New Roman" w:hAnsi="Times New Roman"/>
                <w:color w:val="auto"/>
                <w:kern w:val="0"/>
                <w:szCs w:val="21"/>
                <w:highlight w:val="none"/>
              </w:rPr>
            </w:pPr>
            <w:r>
              <w:rPr>
                <w:rFonts w:ascii="Times New Roman" w:hAnsi="Times New Roman"/>
                <w:b/>
                <w:bCs/>
                <w:color w:val="auto"/>
                <w:kern w:val="0"/>
                <w:szCs w:val="21"/>
                <w:highlight w:val="none"/>
              </w:rPr>
              <w:t>条款号</w:t>
            </w:r>
          </w:p>
        </w:tc>
        <w:tc>
          <w:tcPr>
            <w:tcW w:w="1471" w:type="dxa"/>
            <w:noWrap w:val="0"/>
            <w:vAlign w:val="center"/>
          </w:tcPr>
          <w:p>
            <w:pPr>
              <w:widowControl/>
              <w:spacing w:line="480" w:lineRule="auto"/>
              <w:ind w:firstLine="105" w:firstLineChars="50"/>
              <w:jc w:val="left"/>
              <w:rPr>
                <w:rFonts w:ascii="Times New Roman" w:hAnsi="Times New Roman"/>
                <w:color w:val="auto"/>
                <w:kern w:val="0"/>
                <w:szCs w:val="21"/>
                <w:highlight w:val="none"/>
              </w:rPr>
            </w:pPr>
            <w:r>
              <w:rPr>
                <w:rFonts w:ascii="Times New Roman" w:hAnsi="Times New Roman"/>
                <w:b/>
                <w:bCs/>
                <w:color w:val="auto"/>
                <w:kern w:val="0"/>
                <w:szCs w:val="21"/>
                <w:highlight w:val="none"/>
              </w:rPr>
              <w:t>评审因素</w:t>
            </w:r>
          </w:p>
        </w:tc>
        <w:tc>
          <w:tcPr>
            <w:tcW w:w="5869" w:type="dxa"/>
            <w:noWrap w:val="0"/>
            <w:vAlign w:val="center"/>
          </w:tcPr>
          <w:p>
            <w:pPr>
              <w:widowControl/>
              <w:spacing w:line="480" w:lineRule="auto"/>
              <w:ind w:firstLine="105" w:firstLineChars="50"/>
              <w:jc w:val="center"/>
              <w:rPr>
                <w:rFonts w:ascii="Times New Roman" w:hAnsi="Times New Roman"/>
                <w:color w:val="auto"/>
                <w:kern w:val="0"/>
                <w:szCs w:val="21"/>
                <w:highlight w:val="none"/>
              </w:rPr>
            </w:pPr>
            <w:r>
              <w:rPr>
                <w:rFonts w:ascii="Times New Roman" w:hAnsi="Times New Roman"/>
                <w:b/>
                <w:bCs/>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noWrap w:val="0"/>
            <w:vAlign w:val="center"/>
          </w:tcPr>
          <w:p>
            <w:pPr>
              <w:widowControl/>
              <w:spacing w:line="480" w:lineRule="auto"/>
              <w:jc w:val="center"/>
              <w:rPr>
                <w:rFonts w:ascii="Times New Roman" w:hAnsi="Times New Roman"/>
                <w:bCs/>
                <w:color w:val="auto"/>
                <w:kern w:val="0"/>
                <w:szCs w:val="21"/>
                <w:highlight w:val="none"/>
              </w:rPr>
            </w:pPr>
            <w:r>
              <w:rPr>
                <w:rFonts w:ascii="Times New Roman" w:hAnsi="Times New Roman"/>
                <w:bCs/>
                <w:color w:val="auto"/>
                <w:kern w:val="0"/>
                <w:szCs w:val="21"/>
                <w:highlight w:val="none"/>
              </w:rPr>
              <w:t>1</w:t>
            </w:r>
          </w:p>
        </w:tc>
        <w:tc>
          <w:tcPr>
            <w:tcW w:w="858" w:type="dxa"/>
            <w:vMerge w:val="restart"/>
            <w:noWrap w:val="0"/>
            <w:vAlign w:val="center"/>
          </w:tcPr>
          <w:p>
            <w:pPr>
              <w:widowControl/>
              <w:spacing w:line="480" w:lineRule="auto"/>
              <w:jc w:val="center"/>
              <w:rPr>
                <w:rFonts w:ascii="Times New Roman" w:hAnsi="Times New Roman"/>
                <w:bCs/>
                <w:color w:val="auto"/>
                <w:kern w:val="0"/>
                <w:szCs w:val="21"/>
                <w:highlight w:val="none"/>
              </w:rPr>
            </w:pPr>
            <w:r>
              <w:rPr>
                <w:rFonts w:ascii="Times New Roman" w:hAnsi="Times New Roman"/>
                <w:bCs/>
                <w:color w:val="auto"/>
                <w:kern w:val="0"/>
                <w:szCs w:val="21"/>
                <w:highlight w:val="none"/>
              </w:rPr>
              <w:t>评标办法</w:t>
            </w:r>
          </w:p>
        </w:tc>
        <w:tc>
          <w:tcPr>
            <w:tcW w:w="1471" w:type="dxa"/>
            <w:noWrap w:val="0"/>
            <w:tcMar>
              <w:left w:w="75" w:type="dxa"/>
            </w:tcMar>
            <w:vAlign w:val="center"/>
          </w:tcPr>
          <w:p>
            <w:pPr>
              <w:widowControl/>
              <w:adjustRightInd w:val="0"/>
              <w:snapToGrid w:val="0"/>
              <w:spacing w:line="480" w:lineRule="auto"/>
              <w:jc w:val="center"/>
              <w:rPr>
                <w:rFonts w:ascii="Times New Roman" w:hAnsi="Times New Roman"/>
                <w:color w:val="auto"/>
                <w:kern w:val="0"/>
                <w:szCs w:val="21"/>
                <w:highlight w:val="none"/>
              </w:rPr>
            </w:pPr>
            <w:r>
              <w:rPr>
                <w:rFonts w:ascii="Times New Roman" w:hAnsi="Times New Roman"/>
                <w:color w:val="auto"/>
                <w:kern w:val="0"/>
                <w:szCs w:val="21"/>
                <w:highlight w:val="none"/>
              </w:rPr>
              <w:t>中标候选人排序方法</w:t>
            </w:r>
          </w:p>
        </w:tc>
        <w:tc>
          <w:tcPr>
            <w:tcW w:w="5869" w:type="dxa"/>
            <w:noWrap w:val="0"/>
            <w:tcMar>
              <w:left w:w="75" w:type="dxa"/>
            </w:tcMar>
            <w:vAlign w:val="center"/>
          </w:tcPr>
          <w:p>
            <w:pPr>
              <w:widowControl/>
              <w:adjustRightInd w:val="0"/>
              <w:snapToGrid w:val="0"/>
              <w:spacing w:line="480" w:lineRule="auto"/>
              <w:jc w:val="left"/>
              <w:rPr>
                <w:rFonts w:ascii="Times New Roman" w:hAnsi="Times New Roman"/>
                <w:color w:val="auto"/>
                <w:highlight w:val="none"/>
              </w:rPr>
            </w:pPr>
            <w:r>
              <w:rPr>
                <w:rFonts w:ascii="Times New Roman" w:hAnsi="Times New Roman"/>
                <w:color w:val="auto"/>
                <w:highlight w:val="none"/>
              </w:rPr>
              <w:t>评标委员会对满足招标文件实质性要求的投标文件，按照本章第2.2款规定的评分标准进行打分，并按得分由高到低顺序推荐中标候选人。综合评分相等时，以</w:t>
            </w:r>
            <w:r>
              <w:rPr>
                <w:rFonts w:hint="eastAsia" w:ascii="Times New Roman" w:hAnsi="Times New Roman"/>
                <w:color w:val="auto"/>
                <w:highlight w:val="none"/>
                <w:lang w:val="en-US" w:eastAsia="zh-CN"/>
              </w:rPr>
              <w:t>技术资信分</w:t>
            </w:r>
            <w:r>
              <w:rPr>
                <w:rFonts w:ascii="Times New Roman" w:hAnsi="Times New Roman"/>
                <w:color w:val="auto"/>
                <w:highlight w:val="none"/>
              </w:rPr>
              <w:t>优先；</w:t>
            </w:r>
            <w:r>
              <w:rPr>
                <w:rFonts w:hint="eastAsia" w:ascii="Times New Roman" w:hAnsi="Times New Roman"/>
                <w:color w:val="auto"/>
                <w:highlight w:val="none"/>
                <w:lang w:val="en-US" w:eastAsia="zh-CN"/>
              </w:rPr>
              <w:t>技术资信分</w:t>
            </w:r>
            <w:r>
              <w:rPr>
                <w:rFonts w:ascii="Times New Roman" w:hAnsi="Times New Roman"/>
                <w:color w:val="auto"/>
                <w:highlight w:val="none"/>
              </w:rPr>
              <w:t>也相等的，以</w:t>
            </w:r>
            <w:r>
              <w:rPr>
                <w:rFonts w:hint="eastAsia" w:ascii="Times New Roman" w:hAnsi="Times New Roman"/>
                <w:color w:val="auto"/>
                <w:highlight w:val="none"/>
                <w:lang w:val="en-US" w:eastAsia="zh-CN"/>
              </w:rPr>
              <w:t>投标报价</w:t>
            </w:r>
            <w:r>
              <w:rPr>
                <w:rFonts w:ascii="Times New Roman" w:hAnsi="Times New Roman"/>
                <w:color w:val="auto"/>
                <w:highlight w:val="none"/>
              </w:rPr>
              <w:t>分高的优先；如果技术</w:t>
            </w:r>
            <w:r>
              <w:rPr>
                <w:rFonts w:hint="eastAsia" w:ascii="Times New Roman" w:hAnsi="Times New Roman"/>
                <w:color w:val="auto"/>
                <w:highlight w:val="none"/>
                <w:lang w:val="en-US" w:eastAsia="zh-CN"/>
              </w:rPr>
              <w:t>投标报价</w:t>
            </w:r>
            <w:r>
              <w:rPr>
                <w:rFonts w:ascii="Times New Roman" w:hAnsi="Times New Roman"/>
                <w:color w:val="auto"/>
                <w:highlight w:val="none"/>
              </w:rPr>
              <w:t>分也相等，由评标委员会根据投标文件投票，按少数服从多数的原则确定中标候选人顺序</w:t>
            </w:r>
            <w:r>
              <w:rPr>
                <w:rFonts w:ascii="Times New Roman" w:hAnsi="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noWrap w:val="0"/>
            <w:vAlign w:val="center"/>
          </w:tcPr>
          <w:p>
            <w:pPr>
              <w:widowControl/>
              <w:spacing w:line="480" w:lineRule="auto"/>
              <w:jc w:val="center"/>
              <w:rPr>
                <w:rFonts w:ascii="Times New Roman" w:hAnsi="Times New Roman"/>
                <w:bCs/>
                <w:color w:val="auto"/>
                <w:kern w:val="0"/>
                <w:szCs w:val="21"/>
                <w:highlight w:val="none"/>
              </w:rPr>
            </w:pPr>
          </w:p>
        </w:tc>
        <w:tc>
          <w:tcPr>
            <w:tcW w:w="858" w:type="dxa"/>
            <w:vMerge w:val="continue"/>
            <w:noWrap w:val="0"/>
            <w:vAlign w:val="center"/>
          </w:tcPr>
          <w:p>
            <w:pPr>
              <w:widowControl/>
              <w:spacing w:line="480" w:lineRule="auto"/>
              <w:jc w:val="center"/>
              <w:rPr>
                <w:rFonts w:ascii="Times New Roman" w:hAnsi="Times New Roman"/>
                <w:bCs/>
                <w:color w:val="auto"/>
                <w:kern w:val="0"/>
                <w:szCs w:val="21"/>
                <w:highlight w:val="none"/>
              </w:rPr>
            </w:pPr>
          </w:p>
        </w:tc>
        <w:tc>
          <w:tcPr>
            <w:tcW w:w="1471" w:type="dxa"/>
            <w:noWrap w:val="0"/>
            <w:tcMar>
              <w:left w:w="75" w:type="dxa"/>
            </w:tcMar>
            <w:vAlign w:val="center"/>
          </w:tcPr>
          <w:p>
            <w:pPr>
              <w:widowControl/>
              <w:spacing w:line="480" w:lineRule="auto"/>
              <w:jc w:val="center"/>
              <w:rPr>
                <w:rFonts w:ascii="Times New Roman" w:hAnsi="Times New Roman"/>
                <w:color w:val="auto"/>
                <w:kern w:val="0"/>
                <w:szCs w:val="21"/>
                <w:highlight w:val="none"/>
              </w:rPr>
            </w:pPr>
            <w:r>
              <w:rPr>
                <w:rFonts w:ascii="Times New Roman" w:hAnsi="Times New Roman"/>
                <w:color w:val="auto"/>
                <w:kern w:val="0"/>
                <w:szCs w:val="21"/>
                <w:highlight w:val="none"/>
              </w:rPr>
              <w:t>最多可中标段数量</w:t>
            </w:r>
            <w:r>
              <w:rPr>
                <w:rStyle w:val="52"/>
                <w:rFonts w:ascii="Times New Roman" w:hAnsi="Times New Roman"/>
                <w:color w:val="auto"/>
                <w:kern w:val="0"/>
                <w:szCs w:val="21"/>
                <w:highlight w:val="none"/>
              </w:rPr>
              <w:footnoteReference w:id="1"/>
            </w:r>
          </w:p>
        </w:tc>
        <w:tc>
          <w:tcPr>
            <w:tcW w:w="5869" w:type="dxa"/>
            <w:noWrap w:val="0"/>
            <w:tcMar>
              <w:left w:w="75" w:type="dxa"/>
            </w:tcMar>
            <w:vAlign w:val="center"/>
          </w:tcPr>
          <w:p>
            <w:pPr>
              <w:widowControl/>
              <w:spacing w:line="480" w:lineRule="auto"/>
              <w:jc w:val="left"/>
              <w:rPr>
                <w:rFonts w:hint="eastAsia" w:ascii="Times New Roman" w:hAnsi="Times New Roman" w:eastAsia="楷体"/>
                <w:bCs/>
                <w:snapToGrid w:val="0"/>
                <w:color w:val="auto"/>
                <w:kern w:val="0"/>
                <w:szCs w:val="21"/>
                <w:highlight w:val="none"/>
                <w:lang w:val="en-US" w:eastAsia="zh-CN"/>
              </w:rPr>
            </w:pPr>
            <w:r>
              <w:rPr>
                <w:rFonts w:hint="eastAsia" w:ascii="Times New Roman" w:hAnsi="Times New Roman" w:eastAsia="楷体"/>
                <w:bCs/>
                <w:snapToGrid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pPr>
              <w:widowControl/>
              <w:spacing w:line="480" w:lineRule="auto"/>
              <w:jc w:val="center"/>
              <w:rPr>
                <w:rFonts w:ascii="Times New Roman" w:hAnsi="Times New Roman"/>
                <w:bCs/>
                <w:color w:val="auto"/>
                <w:kern w:val="0"/>
                <w:szCs w:val="21"/>
                <w:highlight w:val="none"/>
              </w:rPr>
            </w:pPr>
            <w:r>
              <w:rPr>
                <w:rFonts w:ascii="Times New Roman" w:hAnsi="Times New Roman"/>
                <w:bCs/>
                <w:color w:val="auto"/>
                <w:kern w:val="0"/>
                <w:szCs w:val="21"/>
                <w:highlight w:val="none"/>
              </w:rPr>
              <w:t>2.2.1</w:t>
            </w:r>
          </w:p>
        </w:tc>
        <w:tc>
          <w:tcPr>
            <w:tcW w:w="858" w:type="dxa"/>
            <w:noWrap w:val="0"/>
            <w:vAlign w:val="center"/>
          </w:tcPr>
          <w:p>
            <w:pPr>
              <w:widowControl/>
              <w:spacing w:line="480" w:lineRule="auto"/>
              <w:jc w:val="center"/>
              <w:rPr>
                <w:rFonts w:ascii="Times New Roman" w:hAnsi="Times New Roman"/>
                <w:bCs/>
                <w:color w:val="auto"/>
                <w:kern w:val="0"/>
                <w:szCs w:val="21"/>
                <w:highlight w:val="none"/>
              </w:rPr>
            </w:pPr>
            <w:r>
              <w:rPr>
                <w:rFonts w:ascii="Times New Roman" w:hAnsi="Times New Roman"/>
                <w:color w:val="auto"/>
                <w:highlight w:val="none"/>
              </w:rPr>
              <w:t>分值构成</w:t>
            </w:r>
          </w:p>
        </w:tc>
        <w:tc>
          <w:tcPr>
            <w:tcW w:w="1471" w:type="dxa"/>
            <w:noWrap w:val="0"/>
            <w:tcMar>
              <w:left w:w="75" w:type="dxa"/>
            </w:tcMar>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分值构成</w:t>
            </w:r>
          </w:p>
          <w:p>
            <w:pPr>
              <w:widowControl/>
              <w:spacing w:line="480" w:lineRule="auto"/>
              <w:jc w:val="center"/>
              <w:rPr>
                <w:rFonts w:ascii="Times New Roman" w:hAnsi="Times New Roman"/>
                <w:color w:val="auto"/>
                <w:kern w:val="0"/>
                <w:szCs w:val="21"/>
                <w:highlight w:val="none"/>
              </w:rPr>
            </w:pPr>
            <w:r>
              <w:rPr>
                <w:rFonts w:ascii="Times New Roman" w:hAnsi="Times New Roman"/>
                <w:color w:val="auto"/>
                <w:highlight w:val="none"/>
              </w:rPr>
              <w:t>（总分</w:t>
            </w:r>
            <w:r>
              <w:rPr>
                <w:rFonts w:hint="eastAsia" w:ascii="Times New Roman" w:hAnsi="Times New Roman"/>
                <w:color w:val="auto"/>
                <w:highlight w:val="none"/>
                <w:u w:val="single"/>
                <w:lang w:val="en-US" w:eastAsia="zh-CN"/>
              </w:rPr>
              <w:t>100</w:t>
            </w:r>
            <w:r>
              <w:rPr>
                <w:rFonts w:ascii="Times New Roman" w:hAnsi="Times New Roman"/>
                <w:color w:val="auto"/>
                <w:highlight w:val="none"/>
              </w:rPr>
              <w:t>分）</w:t>
            </w:r>
          </w:p>
        </w:tc>
        <w:tc>
          <w:tcPr>
            <w:tcW w:w="5869" w:type="dxa"/>
            <w:noWrap w:val="0"/>
            <w:tcMar>
              <w:left w:w="75" w:type="dxa"/>
            </w:tcMar>
            <w:vAlign w:val="center"/>
          </w:tcPr>
          <w:p>
            <w:pPr>
              <w:spacing w:line="480" w:lineRule="auto"/>
              <w:ind w:firstLine="105" w:firstLineChars="5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lang w:val="en-US" w:eastAsia="zh-CN"/>
              </w:rPr>
              <w:t>技术资信</w:t>
            </w:r>
            <w:r>
              <w:rPr>
                <w:rFonts w:ascii="Times New Roman" w:hAnsi="Times New Roman"/>
                <w:color w:val="auto"/>
                <w:highlight w:val="none"/>
              </w:rPr>
              <w:t>部分：</w:t>
            </w:r>
            <w:r>
              <w:rPr>
                <w:rFonts w:hint="eastAsia" w:ascii="Times New Roman" w:hAnsi="Times New Roman"/>
                <w:color w:val="auto"/>
                <w:highlight w:val="none"/>
                <w:u w:val="single"/>
                <w:lang w:val="en-US" w:eastAsia="zh-CN"/>
              </w:rPr>
              <w:t>70</w:t>
            </w:r>
            <w:r>
              <w:rPr>
                <w:rFonts w:ascii="Times New Roman" w:hAnsi="Times New Roman"/>
                <w:color w:val="auto"/>
                <w:highlight w:val="none"/>
              </w:rPr>
              <w:t>分</w:t>
            </w:r>
          </w:p>
          <w:p>
            <w:pPr>
              <w:widowControl/>
              <w:spacing w:line="480" w:lineRule="auto"/>
              <w:ind w:firstLine="105" w:firstLineChars="50"/>
              <w:jc w:val="left"/>
              <w:rPr>
                <w:rFonts w:ascii="Times New Roman" w:hAnsi="Times New Roman"/>
                <w:b/>
                <w:color w:val="auto"/>
                <w:kern w:val="0"/>
                <w:sz w:val="32"/>
                <w:szCs w:val="21"/>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2</w:t>
            </w:r>
            <w:r>
              <w:rPr>
                <w:rFonts w:ascii="Times New Roman" w:hAnsi="Times New Roman"/>
                <w:color w:val="auto"/>
                <w:highlight w:val="none"/>
              </w:rPr>
              <w:t>）投标报价：</w:t>
            </w:r>
            <w:r>
              <w:rPr>
                <w:rFonts w:hint="eastAsia" w:ascii="Times New Roman" w:hAnsi="Times New Roman"/>
                <w:color w:val="auto"/>
                <w:highlight w:val="none"/>
                <w:u w:val="single"/>
                <w:lang w:val="en-US" w:eastAsia="zh-CN"/>
              </w:rPr>
              <w:t>3</w:t>
            </w:r>
            <w:r>
              <w:rPr>
                <w:rFonts w:hint="eastAsia" w:ascii="Times New Roman" w:hAnsi="Times New Roman"/>
                <w:color w:val="auto"/>
                <w:highlight w:val="none"/>
                <w:u w:val="single"/>
              </w:rPr>
              <w:t>0</w:t>
            </w:r>
            <w:r>
              <w:rPr>
                <w:rFonts w:ascii="Times New Roman" w:hAnsi="Times New Roman"/>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pPr>
              <w:widowControl/>
              <w:spacing w:line="480" w:lineRule="auto"/>
              <w:jc w:val="center"/>
              <w:rPr>
                <w:rFonts w:hint="eastAsia" w:ascii="Times New Roman" w:hAnsi="Times New Roman"/>
                <w:color w:val="auto"/>
                <w:highlight w:val="none"/>
                <w:lang w:val="en-US" w:eastAsia="zh-CN"/>
              </w:rPr>
            </w:pPr>
          </w:p>
        </w:tc>
        <w:tc>
          <w:tcPr>
            <w:tcW w:w="858" w:type="dxa"/>
            <w:noWrap w:val="0"/>
            <w:vAlign w:val="center"/>
          </w:tcPr>
          <w:p>
            <w:pPr>
              <w:widowControl/>
              <w:spacing w:line="480" w:lineRule="auto"/>
              <w:jc w:val="center"/>
              <w:rPr>
                <w:rFonts w:ascii="Times New Roman" w:hAnsi="Times New Roman"/>
                <w:color w:val="auto"/>
                <w:highlight w:val="none"/>
              </w:rPr>
            </w:pPr>
            <w:r>
              <w:rPr>
                <w:rFonts w:ascii="Times New Roman" w:hAnsi="Times New Roman"/>
                <w:color w:val="auto"/>
                <w:highlight w:val="none"/>
              </w:rPr>
              <w:t>评标基准价计算</w:t>
            </w:r>
          </w:p>
        </w:tc>
        <w:tc>
          <w:tcPr>
            <w:tcW w:w="1471" w:type="dxa"/>
            <w:noWrap w:val="0"/>
            <w:tcMar>
              <w:left w:w="75" w:type="dxa"/>
            </w:tcMar>
            <w:vAlign w:val="center"/>
          </w:tcPr>
          <w:p>
            <w:pPr>
              <w:snapToGrid w:val="0"/>
              <w:spacing w:line="480" w:lineRule="auto"/>
              <w:jc w:val="center"/>
              <w:rPr>
                <w:rFonts w:ascii="Times New Roman" w:hAnsi="Times New Roman"/>
                <w:color w:val="auto"/>
                <w:kern w:val="0"/>
                <w:sz w:val="21"/>
                <w:szCs w:val="21"/>
                <w:highlight w:val="none"/>
                <w:lang w:val="en-US" w:eastAsia="zh-CN" w:bidi="ar-SA"/>
              </w:rPr>
            </w:pPr>
            <w:r>
              <w:rPr>
                <w:rFonts w:ascii="Times New Roman" w:hAnsi="Times New Roman"/>
                <w:color w:val="auto"/>
                <w:highlight w:val="none"/>
              </w:rPr>
              <w:t>价格分评标基准价计算</w:t>
            </w:r>
          </w:p>
        </w:tc>
        <w:tc>
          <w:tcPr>
            <w:tcW w:w="5869" w:type="dxa"/>
            <w:noWrap w:val="0"/>
            <w:tcMar>
              <w:left w:w="75" w:type="dxa"/>
            </w:tcMar>
            <w:vAlign w:val="center"/>
          </w:tcPr>
          <w:p>
            <w:pPr>
              <w:widowControl/>
              <w:spacing w:line="48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评标价=投标函文字报价</w:t>
            </w:r>
          </w:p>
          <w:p>
            <w:pPr>
              <w:widowControl/>
              <w:spacing w:line="48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价格分统一采用低价优先法，即满足招标文件要求且投标价格最低的投标报价为评标基准价，其价格分为满分</w:t>
            </w:r>
            <w:r>
              <w:rPr>
                <w:rFonts w:hint="eastAsia" w:ascii="Times New Roman" w:hAnsi="Times New Roman"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分。其他投标人的价格分统一按照下列公式计算：投标报价得分＝</w:t>
            </w:r>
            <w:r>
              <w:rPr>
                <w:rFonts w:hint="eastAsia" w:ascii="Times New Roman" w:hAnsi="Times New Roman" w:eastAsia="宋体" w:cs="Times New Roman"/>
                <w:color w:val="auto"/>
                <w:highlight w:val="none"/>
                <w:u w:val="single"/>
              </w:rPr>
              <w:t>（评标基准价/投标报价）×</w:t>
            </w:r>
            <w:r>
              <w:rPr>
                <w:rFonts w:hint="eastAsia" w:ascii="Times New Roman" w:hAnsi="Times New Roman" w:cs="Times New Roman"/>
                <w:color w:val="auto"/>
                <w:highlight w:val="none"/>
                <w:u w:val="single"/>
                <w:lang w:val="en-US" w:eastAsia="zh-CN"/>
              </w:rPr>
              <w:t>30</w:t>
            </w:r>
            <w:r>
              <w:rPr>
                <w:rFonts w:hint="eastAsia" w:ascii="Times New Roman" w:hAnsi="Times New Roman" w:eastAsia="宋体" w:cs="Times New Roman"/>
                <w:color w:val="auto"/>
                <w:highlight w:val="none"/>
                <w:u w:val="single"/>
              </w:rPr>
              <w:t>％×100</w:t>
            </w:r>
            <w:r>
              <w:rPr>
                <w:rFonts w:hint="eastAsia" w:ascii="Times New Roman" w:hAnsi="Times New Roman" w:eastAsia="宋体" w:cs="Times New Roman"/>
                <w:color w:val="auto"/>
                <w:highlight w:val="none"/>
                <w:u w:val="none"/>
                <w:lang w:eastAsia="zh-CN"/>
              </w:rPr>
              <w:t>。</w:t>
            </w:r>
          </w:p>
        </w:tc>
      </w:tr>
    </w:tbl>
    <w:p>
      <w:pPr>
        <w:spacing w:line="480" w:lineRule="auto"/>
        <w:jc w:val="center"/>
        <w:rPr>
          <w:rFonts w:ascii="Times New Roman" w:hAnsi="Times New Roman" w:eastAsia="黑体"/>
          <w:color w:val="auto"/>
          <w:sz w:val="28"/>
          <w:szCs w:val="28"/>
          <w:highlight w:val="none"/>
        </w:rPr>
      </w:pPr>
    </w:p>
    <w:p>
      <w:pPr>
        <w:spacing w:line="360" w:lineRule="auto"/>
        <w:jc w:val="both"/>
        <w:rPr>
          <w:rFonts w:ascii="Times New Roman" w:hAnsi="Times New Roman" w:eastAsia="黑体"/>
          <w:color w:val="auto"/>
          <w:sz w:val="28"/>
          <w:szCs w:val="28"/>
          <w:highlight w:val="none"/>
        </w:rPr>
      </w:pPr>
    </w:p>
    <w:p>
      <w:pPr>
        <w:keepNext/>
        <w:keepLines/>
        <w:spacing w:after="120" w:afterLines="50" w:line="480" w:lineRule="auto"/>
        <w:jc w:val="center"/>
        <w:outlineLvl w:val="2"/>
        <w:rPr>
          <w:rFonts w:ascii="Times New Roman" w:hAnsi="Times New Roman" w:eastAsia="黑体"/>
          <w:bCs/>
          <w:color w:val="auto"/>
          <w:sz w:val="28"/>
          <w:szCs w:val="28"/>
          <w:highlight w:val="none"/>
        </w:rPr>
      </w:pPr>
      <w:r>
        <w:rPr>
          <w:rFonts w:ascii="Times New Roman" w:hAnsi="Times New Roman" w:eastAsia="黑体"/>
          <w:bCs/>
          <w:color w:val="auto"/>
          <w:sz w:val="28"/>
          <w:szCs w:val="28"/>
          <w:highlight w:val="none"/>
        </w:rPr>
        <w:t>技术</w:t>
      </w:r>
      <w:r>
        <w:rPr>
          <w:rFonts w:hint="eastAsia" w:ascii="Times New Roman" w:hAnsi="Times New Roman" w:eastAsia="黑体"/>
          <w:bCs/>
          <w:color w:val="auto"/>
          <w:sz w:val="28"/>
          <w:szCs w:val="28"/>
          <w:highlight w:val="none"/>
          <w:lang w:val="en-US" w:eastAsia="zh-CN"/>
        </w:rPr>
        <w:t>及资信</w:t>
      </w:r>
      <w:r>
        <w:rPr>
          <w:rFonts w:ascii="Times New Roman" w:hAnsi="Times New Roman" w:eastAsia="黑体"/>
          <w:bCs/>
          <w:color w:val="auto"/>
          <w:sz w:val="28"/>
          <w:szCs w:val="28"/>
          <w:highlight w:val="none"/>
        </w:rPr>
        <w:t>文件初步评审标准</w:t>
      </w:r>
    </w:p>
    <w:tbl>
      <w:tblPr>
        <w:tblStyle w:val="43"/>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821"/>
        <w:gridCol w:w="44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75" w:type="dxa"/>
            <w:gridSpan w:val="2"/>
            <w:tcBorders>
              <w:top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b/>
                <w:color w:val="auto"/>
                <w:highlight w:val="none"/>
              </w:rPr>
            </w:pPr>
            <w:r>
              <w:rPr>
                <w:rFonts w:ascii="Times New Roman" w:hAnsi="Times New Roman"/>
                <w:b/>
                <w:color w:val="auto"/>
                <w:highlight w:val="none"/>
              </w:rPr>
              <w:t>条款号</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b/>
                <w:color w:val="auto"/>
                <w:highlight w:val="none"/>
              </w:rPr>
            </w:pPr>
            <w:r>
              <w:rPr>
                <w:rFonts w:ascii="Times New Roman" w:hAnsi="Times New Roman"/>
                <w:b/>
                <w:color w:val="auto"/>
                <w:highlight w:val="none"/>
              </w:rPr>
              <w:t>评审因素</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b/>
                <w:color w:val="auto"/>
                <w:highlight w:val="none"/>
              </w:rPr>
            </w:pPr>
            <w:r>
              <w:rPr>
                <w:rFonts w:ascii="Times New Roman" w:hAnsi="Times New Roman"/>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2.1.1</w:t>
            </w:r>
          </w:p>
        </w:tc>
        <w:tc>
          <w:tcPr>
            <w:tcW w:w="972" w:type="dxa"/>
            <w:vMerge w:val="restart"/>
            <w:tcBorders>
              <w:top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形式评审标准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投标人名称</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与营</w:t>
            </w:r>
            <w:r>
              <w:rPr>
                <w:rFonts w:ascii="Times New Roman" w:hAnsi="Times New Roman" w:eastAsia="宋体" w:cs="Times New Roman"/>
                <w:color w:val="auto"/>
                <w:highlight w:val="none"/>
              </w:rPr>
              <w:t>业执照</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资</w:t>
            </w:r>
            <w:r>
              <w:rPr>
                <w:rFonts w:ascii="Times New Roman" w:hAnsi="Times New Roman"/>
                <w:color w:val="auto"/>
                <w:highlight w:val="none"/>
              </w:rPr>
              <w:t>质证书一致</w:t>
            </w:r>
            <w:r>
              <w:rPr>
                <w:rFonts w:hint="eastAsia" w:ascii="Times New Roman" w:hAnsi="Times New Roman"/>
                <w:color w:val="auto"/>
                <w:highlight w:val="none"/>
              </w:rPr>
              <w:t>。</w:t>
            </w:r>
            <w:r>
              <w:rPr>
                <w:rFonts w:ascii="Times New Roman" w:hAnsi="Times New Roman"/>
                <w:color w:val="auto"/>
                <w:highlight w:val="none"/>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投标文件格式</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kern w:val="0"/>
                <w:szCs w:val="21"/>
                <w:highlight w:val="none"/>
              </w:rPr>
              <w:t>签字盖章</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联合体投标人</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i/>
                <w:iCs/>
                <w:color w:val="auto"/>
                <w:highlight w:val="none"/>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备选投标方案</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kern w:val="0"/>
                <w:szCs w:val="21"/>
                <w:highlight w:val="none"/>
              </w:rPr>
            </w:pPr>
            <w:r>
              <w:rPr>
                <w:rFonts w:ascii="Times New Roman" w:hAnsi="Times New Roman"/>
                <w:color w:val="auto"/>
                <w:kern w:val="0"/>
                <w:szCs w:val="21"/>
                <w:highlight w:val="none"/>
              </w:rPr>
              <w:t>未出现投标报价</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kern w:val="0"/>
                <w:szCs w:val="21"/>
                <w:highlight w:val="none"/>
              </w:rPr>
              <w:t>商务及技术文件中未出现有关投标报价的内容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2.1.2</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资格评审标准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kern w:val="0"/>
                <w:szCs w:val="21"/>
                <w:highlight w:val="none"/>
              </w:rPr>
              <w:t>营业执照</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kern w:val="0"/>
                <w:szCs w:val="21"/>
                <w:highlight w:val="none"/>
              </w:rPr>
              <w:t>具备有效的营业执照</w:t>
            </w:r>
            <w:r>
              <w:rPr>
                <w:rFonts w:ascii="Times New Roman" w:hAnsi="Times New Roman"/>
                <w:color w:val="auto"/>
                <w:szCs w:val="21"/>
                <w:highlight w:val="none"/>
              </w:rPr>
              <w:t>/事业单位法人证书</w:t>
            </w:r>
            <w:r>
              <w:rPr>
                <w:rFonts w:ascii="Times New Roman" w:hAnsi="Times New Roman"/>
                <w:color w:val="auto"/>
                <w:kern w:val="0"/>
                <w:szCs w:val="21"/>
                <w:highlight w:val="none"/>
              </w:rPr>
              <w:t>，如为联合体投标，联合体各方均须提供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信誉要求</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符合第二章“投标人须知”第1.4.1项规定。</w:t>
            </w:r>
            <w:r>
              <w:rPr>
                <w:rFonts w:ascii="Times New Roman" w:hAnsi="Times New Roman"/>
                <w:b/>
                <w:bCs/>
                <w:color w:val="auto"/>
                <w:highlight w:val="none"/>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联合体投标人</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i/>
                <w:iCs/>
                <w:color w:val="auto"/>
                <w:highlight w:val="none"/>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不存在禁止投标的情形</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不存在第二章“投标人须知”第1.4.3项或第1.4.4项规定的任何一种情形。</w:t>
            </w:r>
            <w:r>
              <w:rPr>
                <w:rFonts w:ascii="Times New Roman" w:hAnsi="Times New Roman"/>
                <w:b/>
                <w:bCs/>
                <w:color w:val="auto"/>
                <w:highlight w:val="none"/>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2.1.3</w:t>
            </w:r>
          </w:p>
        </w:tc>
        <w:tc>
          <w:tcPr>
            <w:tcW w:w="972"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响应性评审标准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服务期限</w:t>
            </w:r>
          </w:p>
        </w:tc>
        <w:tc>
          <w:tcPr>
            <w:tcW w:w="4485" w:type="dxa"/>
            <w:tcBorders>
              <w:top w:val="single" w:color="auto" w:sz="4" w:space="0"/>
              <w:left w:val="single" w:color="auto" w:sz="4" w:space="0"/>
              <w:bottom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jc w:val="center"/>
              <w:rPr>
                <w:rFonts w:ascii="Times New Roman" w:hAnsi="Times New Roman"/>
                <w:color w:val="auto"/>
                <w:highlight w:val="none"/>
              </w:rPr>
            </w:pPr>
          </w:p>
        </w:tc>
        <w:tc>
          <w:tcPr>
            <w:tcW w:w="972" w:type="dxa"/>
            <w:vMerge w:val="continue"/>
            <w:tcBorders>
              <w:left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质量要求</w:t>
            </w:r>
          </w:p>
        </w:tc>
        <w:tc>
          <w:tcPr>
            <w:tcW w:w="4485" w:type="dxa"/>
            <w:tcBorders>
              <w:top w:val="single" w:color="auto" w:sz="4" w:space="0"/>
              <w:left w:val="single" w:color="auto" w:sz="4" w:space="0"/>
              <w:bottom w:val="single" w:color="auto" w:sz="4" w:space="0"/>
            </w:tcBorders>
            <w:noWrap w:val="0"/>
            <w:vAlign w:val="center"/>
          </w:tcPr>
          <w:p>
            <w:pPr>
              <w:spacing w:line="480" w:lineRule="auto"/>
              <w:jc w:val="left"/>
              <w:rPr>
                <w:rFonts w:ascii="Times New Roman" w:hAnsi="Times New Roman"/>
                <w:color w:val="auto"/>
                <w:highlight w:val="none"/>
              </w:rPr>
            </w:pPr>
            <w:r>
              <w:rPr>
                <w:rFonts w:ascii="Times New Roman" w:hAnsi="Times New Roman"/>
                <w:color w:val="auto"/>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jc w:val="center"/>
              <w:rPr>
                <w:rFonts w:ascii="Times New Roman" w:hAnsi="Times New Roman"/>
                <w:color w:val="auto"/>
                <w:highlight w:val="none"/>
              </w:rPr>
            </w:pPr>
          </w:p>
        </w:tc>
        <w:tc>
          <w:tcPr>
            <w:tcW w:w="972" w:type="dxa"/>
            <w:vMerge w:val="continue"/>
            <w:tcBorders>
              <w:left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Times New Roman" w:hAnsi="Times New Roman"/>
                <w:color w:val="auto"/>
                <w:highlight w:val="none"/>
              </w:rPr>
            </w:pPr>
            <w:r>
              <w:rPr>
                <w:rFonts w:ascii="Times New Roman" w:hAnsi="Times New Roman"/>
                <w:color w:val="auto"/>
                <w:highlight w:val="none"/>
              </w:rPr>
              <w:t>投标有效期</w:t>
            </w:r>
          </w:p>
        </w:tc>
        <w:tc>
          <w:tcPr>
            <w:tcW w:w="4485" w:type="dxa"/>
            <w:tcBorders>
              <w:top w:val="single" w:color="auto" w:sz="4" w:space="0"/>
              <w:left w:val="single" w:color="auto" w:sz="4" w:space="0"/>
              <w:bottom w:val="single" w:color="auto" w:sz="4" w:space="0"/>
            </w:tcBorders>
            <w:noWrap w:val="0"/>
            <w:vAlign w:val="top"/>
          </w:tcPr>
          <w:p>
            <w:pPr>
              <w:spacing w:line="480" w:lineRule="auto"/>
              <w:jc w:val="left"/>
              <w:rPr>
                <w:rFonts w:ascii="Times New Roman" w:hAnsi="Times New Roman"/>
                <w:color w:val="auto"/>
                <w:highlight w:val="none"/>
              </w:rPr>
            </w:pPr>
            <w:r>
              <w:rPr>
                <w:rFonts w:ascii="Times New Roman" w:hAnsi="Times New Roman"/>
                <w:color w:val="auto"/>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jc w:val="center"/>
              <w:rPr>
                <w:rFonts w:ascii="Times New Roman" w:hAnsi="Times New Roman"/>
                <w:color w:val="auto"/>
                <w:highlight w:val="none"/>
              </w:rPr>
            </w:pPr>
          </w:p>
        </w:tc>
        <w:tc>
          <w:tcPr>
            <w:tcW w:w="972" w:type="dxa"/>
            <w:vMerge w:val="continue"/>
            <w:tcBorders>
              <w:left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Times New Roman" w:hAnsi="Times New Roman"/>
                <w:color w:val="auto"/>
                <w:highlight w:val="none"/>
              </w:rPr>
            </w:pPr>
            <w:r>
              <w:rPr>
                <w:rFonts w:ascii="Times New Roman" w:hAnsi="Times New Roman"/>
                <w:color w:val="auto"/>
                <w:highlight w:val="none"/>
              </w:rPr>
              <w:t>投标保证金</w:t>
            </w:r>
          </w:p>
        </w:tc>
        <w:tc>
          <w:tcPr>
            <w:tcW w:w="4485" w:type="dxa"/>
            <w:tcBorders>
              <w:top w:val="single" w:color="auto" w:sz="4" w:space="0"/>
              <w:left w:val="single" w:color="auto" w:sz="4" w:space="0"/>
              <w:bottom w:val="single" w:color="auto" w:sz="4" w:space="0"/>
            </w:tcBorders>
            <w:noWrap w:val="0"/>
            <w:vAlign w:val="top"/>
          </w:tcPr>
          <w:p>
            <w:pPr>
              <w:spacing w:line="480" w:lineRule="auto"/>
              <w:jc w:val="left"/>
              <w:rPr>
                <w:rFonts w:ascii="Times New Roman" w:hAnsi="Times New Roman"/>
                <w:color w:val="auto"/>
                <w:highlight w:val="none"/>
              </w:rPr>
            </w:pPr>
            <w:r>
              <w:rPr>
                <w:rFonts w:ascii="Times New Roman" w:hAnsi="Times New Roman"/>
                <w:color w:val="auto"/>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left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hint="eastAsia" w:ascii="Times New Roman" w:hAnsi="Times New Roman"/>
                <w:color w:val="auto"/>
                <w:highlight w:val="none"/>
              </w:rPr>
              <w:t>权利义务</w:t>
            </w:r>
          </w:p>
        </w:tc>
        <w:tc>
          <w:tcPr>
            <w:tcW w:w="4485" w:type="dxa"/>
            <w:tcBorders>
              <w:top w:val="single" w:color="auto" w:sz="4" w:space="0"/>
              <w:left w:val="single" w:color="auto" w:sz="4" w:space="0"/>
              <w:bottom w:val="single" w:color="auto" w:sz="4" w:space="0"/>
            </w:tcBorders>
            <w:noWrap w:val="0"/>
            <w:vAlign w:val="center"/>
          </w:tcPr>
          <w:p>
            <w:pPr>
              <w:spacing w:line="480" w:lineRule="auto"/>
              <w:rPr>
                <w:rFonts w:ascii="Times New Roman" w:hAnsi="Times New Roman"/>
                <w:color w:val="auto"/>
                <w:highlight w:val="none"/>
              </w:rPr>
            </w:pPr>
            <w:r>
              <w:rPr>
                <w:rFonts w:hint="eastAsia" w:ascii="Times New Roman" w:hAnsi="Times New Roman"/>
                <w:color w:val="auto"/>
                <w:highlight w:val="none"/>
              </w:rPr>
              <w:t>符合第二章“投标人须知”第1.11.2项规定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left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投标人承诺</w:t>
            </w:r>
          </w:p>
        </w:tc>
        <w:tc>
          <w:tcPr>
            <w:tcW w:w="4485" w:type="dxa"/>
            <w:tcBorders>
              <w:top w:val="single" w:color="auto" w:sz="4" w:space="0"/>
              <w:left w:val="single" w:color="auto" w:sz="4" w:space="0"/>
              <w:bottom w:val="single" w:color="auto" w:sz="4" w:space="0"/>
            </w:tcBorders>
            <w:noWrap w:val="0"/>
            <w:vAlign w:val="center"/>
          </w:tcPr>
          <w:p>
            <w:pPr>
              <w:spacing w:line="480" w:lineRule="auto"/>
              <w:rPr>
                <w:rFonts w:ascii="Times New Roman" w:hAnsi="Times New Roman"/>
                <w:color w:val="auto"/>
                <w:highlight w:val="none"/>
              </w:rPr>
            </w:pPr>
            <w:r>
              <w:rPr>
                <w:rFonts w:ascii="Times New Roman" w:hAnsi="Times New Roman"/>
                <w:color w:val="auto"/>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left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highlight w:val="none"/>
              </w:rPr>
            </w:pPr>
            <w:r>
              <w:rPr>
                <w:rFonts w:ascii="Times New Roman" w:hAnsi="Times New Roman"/>
                <w:color w:val="auto"/>
                <w:highlight w:val="none"/>
              </w:rPr>
              <w:t>服务方案</w:t>
            </w:r>
          </w:p>
        </w:tc>
        <w:tc>
          <w:tcPr>
            <w:tcW w:w="4485" w:type="dxa"/>
            <w:tcBorders>
              <w:top w:val="single" w:color="auto" w:sz="4" w:space="0"/>
              <w:left w:val="single" w:color="auto" w:sz="4" w:space="0"/>
              <w:bottom w:val="single" w:color="auto" w:sz="4" w:space="0"/>
            </w:tcBorders>
            <w:noWrap w:val="0"/>
            <w:vAlign w:val="top"/>
          </w:tcPr>
          <w:p>
            <w:pPr>
              <w:spacing w:line="480" w:lineRule="auto"/>
              <w:rPr>
                <w:rFonts w:ascii="Times New Roman" w:hAnsi="Times New Roman"/>
                <w:color w:val="auto"/>
                <w:highlight w:val="none"/>
              </w:rPr>
            </w:pPr>
            <w:r>
              <w:rPr>
                <w:rFonts w:ascii="Times New Roman" w:hAnsi="Times New Roman"/>
                <w:color w:val="auto"/>
                <w:highlight w:val="none"/>
              </w:rPr>
              <w:t>符合第五章“</w:t>
            </w:r>
            <w:r>
              <w:rPr>
                <w:rFonts w:hint="eastAsia" w:ascii="Times New Roman" w:hAnsi="Times New Roman"/>
                <w:color w:val="auto"/>
                <w:highlight w:val="none"/>
              </w:rPr>
              <w:t>招标人</w:t>
            </w:r>
            <w:r>
              <w:rPr>
                <w:rFonts w:ascii="Times New Roman" w:hAnsi="Times New Roman"/>
                <w:color w:val="auto"/>
                <w:highlight w:val="none"/>
              </w:rPr>
              <w:t>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color w:val="auto"/>
                <w:kern w:val="0"/>
                <w:szCs w:val="21"/>
                <w:highlight w:val="none"/>
              </w:rPr>
            </w:pPr>
            <w:r>
              <w:rPr>
                <w:rFonts w:hint="eastAsia"/>
                <w:color w:val="auto"/>
                <w:kern w:val="0"/>
                <w:szCs w:val="21"/>
                <w:highlight w:val="none"/>
              </w:rPr>
              <w:t>偏差</w:t>
            </w:r>
          </w:p>
        </w:tc>
        <w:tc>
          <w:tcPr>
            <w:tcW w:w="4485" w:type="dxa"/>
            <w:tcBorders>
              <w:top w:val="single" w:color="auto" w:sz="4" w:space="0"/>
              <w:left w:val="single" w:color="auto" w:sz="4" w:space="0"/>
              <w:bottom w:val="single" w:color="auto" w:sz="4" w:space="0"/>
            </w:tcBorders>
            <w:noWrap w:val="0"/>
            <w:vAlign w:val="center"/>
          </w:tcPr>
          <w:p>
            <w:pPr>
              <w:spacing w:line="480" w:lineRule="auto"/>
              <w:rPr>
                <w:color w:val="auto"/>
                <w:kern w:val="0"/>
                <w:szCs w:val="21"/>
                <w:highlight w:val="none"/>
              </w:rPr>
            </w:pPr>
            <w:r>
              <w:rPr>
                <w:rFonts w:ascii="Times New Roman" w:hAnsi="Times New Roman"/>
                <w:color w:val="auto"/>
                <w:kern w:val="0"/>
                <w:szCs w:val="21"/>
                <w:highlight w:val="none"/>
              </w:rPr>
              <w:t>符合第二章“投标人须知”第1.11.1项规定，</w:t>
            </w:r>
            <w:r>
              <w:rPr>
                <w:rFonts w:ascii="Times New Roman" w:hAnsi="Times New Roman"/>
                <w:color w:val="auto"/>
                <w:szCs w:val="21"/>
                <w:highlight w:val="none"/>
              </w:rPr>
              <w:t>投标文件中没有招标人不能接受的条件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972" w:type="dxa"/>
            <w:vMerge w:val="continue"/>
            <w:tcBorders>
              <w:left w:val="single" w:color="auto" w:sz="4" w:space="0"/>
              <w:bottom w:val="single" w:color="auto" w:sz="4" w:space="0"/>
              <w:right w:val="single" w:color="auto" w:sz="4" w:space="0"/>
            </w:tcBorders>
            <w:noWrap w:val="0"/>
            <w:vAlign w:val="center"/>
          </w:tcPr>
          <w:p>
            <w:pPr>
              <w:spacing w:line="480" w:lineRule="auto"/>
              <w:rPr>
                <w:rFonts w:ascii="Times New Roman" w:hAnsi="Times New Roman"/>
                <w:color w:val="auto"/>
                <w:highlight w:val="none"/>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color w:val="auto"/>
                <w:kern w:val="0"/>
                <w:szCs w:val="21"/>
                <w:highlight w:val="none"/>
              </w:rPr>
            </w:pPr>
            <w:r>
              <w:rPr>
                <w:rFonts w:ascii="Times New Roman" w:hAnsi="Times New Roman"/>
                <w:color w:val="auto"/>
                <w:kern w:val="0"/>
                <w:szCs w:val="21"/>
                <w:highlight w:val="none"/>
              </w:rPr>
              <w:t>其他实质性要求</w:t>
            </w:r>
          </w:p>
        </w:tc>
        <w:tc>
          <w:tcPr>
            <w:tcW w:w="4485" w:type="dxa"/>
            <w:tcBorders>
              <w:top w:val="single" w:color="auto" w:sz="4" w:space="0"/>
              <w:left w:val="single" w:color="auto" w:sz="4" w:space="0"/>
              <w:bottom w:val="single" w:color="auto" w:sz="4" w:space="0"/>
            </w:tcBorders>
            <w:noWrap w:val="0"/>
            <w:vAlign w:val="center"/>
          </w:tcPr>
          <w:p>
            <w:pPr>
              <w:spacing w:line="480" w:lineRule="auto"/>
              <w:rPr>
                <w:rFonts w:ascii="Times New Roman" w:hAnsi="Times New Roman"/>
                <w:color w:val="auto"/>
                <w:kern w:val="0"/>
                <w:szCs w:val="21"/>
                <w:highlight w:val="none"/>
              </w:rPr>
            </w:pPr>
            <w:r>
              <w:rPr>
                <w:rFonts w:ascii="Times New Roman" w:hAnsi="Times New Roman"/>
                <w:color w:val="auto"/>
                <w:kern w:val="0"/>
                <w:szCs w:val="21"/>
                <w:highlight w:val="none"/>
              </w:rPr>
              <w:t>投标文件对招标文件的其他实质性要求和条件作出响应</w:t>
            </w:r>
          </w:p>
        </w:tc>
      </w:tr>
    </w:tbl>
    <w:p>
      <w:pPr>
        <w:keepNext/>
        <w:keepLines/>
        <w:spacing w:after="120" w:afterLines="50" w:line="500" w:lineRule="exact"/>
        <w:jc w:val="center"/>
        <w:outlineLvl w:val="2"/>
        <w:rPr>
          <w:rFonts w:ascii="Times New Roman" w:hAnsi="Times New Roman" w:eastAsia="黑体"/>
          <w:bCs/>
          <w:color w:val="auto"/>
          <w:sz w:val="28"/>
          <w:szCs w:val="28"/>
          <w:highlight w:val="none"/>
        </w:rPr>
      </w:pPr>
    </w:p>
    <w:p>
      <w:pPr>
        <w:keepNext/>
        <w:keepLines/>
        <w:spacing w:after="120" w:afterLines="50" w:line="500" w:lineRule="exact"/>
        <w:jc w:val="center"/>
        <w:outlineLvl w:val="2"/>
        <w:rPr>
          <w:rFonts w:ascii="Times New Roman" w:hAnsi="Times New Roman" w:eastAsia="黑体"/>
          <w:bCs/>
          <w:color w:val="auto"/>
          <w:sz w:val="28"/>
          <w:szCs w:val="28"/>
          <w:highlight w:val="none"/>
        </w:rPr>
      </w:pPr>
      <w:r>
        <w:rPr>
          <w:rFonts w:ascii="Times New Roman" w:hAnsi="Times New Roman" w:eastAsia="黑体"/>
          <w:bCs/>
          <w:color w:val="auto"/>
          <w:sz w:val="28"/>
          <w:szCs w:val="28"/>
          <w:highlight w:val="none"/>
        </w:rPr>
        <w:t>报价文件初步评审标准</w:t>
      </w:r>
    </w:p>
    <w:tbl>
      <w:tblPr>
        <w:tblStyle w:val="43"/>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color w:val="auto"/>
                <w:highlight w:val="none"/>
              </w:rPr>
            </w:pPr>
            <w:r>
              <w:rPr>
                <w:rFonts w:ascii="Times New Roman" w:hAnsi="Times New Roman"/>
                <w:b/>
                <w:color w:val="auto"/>
                <w:highlight w:val="none"/>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color w:val="auto"/>
                <w:highlight w:val="none"/>
              </w:rPr>
            </w:pPr>
            <w:r>
              <w:rPr>
                <w:rFonts w:ascii="Times New Roman" w:hAnsi="Times New Roman"/>
                <w:b/>
                <w:color w:val="auto"/>
                <w:highlight w:val="none"/>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color w:val="auto"/>
                <w:highlight w:val="none"/>
              </w:rPr>
            </w:pPr>
            <w:r>
              <w:rPr>
                <w:rFonts w:ascii="Times New Roman" w:hAnsi="Times New Roman"/>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2.1.1</w:t>
            </w:r>
          </w:p>
        </w:tc>
        <w:tc>
          <w:tcPr>
            <w:tcW w:w="1124"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Times New Roman" w:hAnsi="Times New Roman"/>
                <w:color w:val="auto"/>
                <w:highlight w:val="none"/>
              </w:rPr>
            </w:pPr>
            <w:r>
              <w:rPr>
                <w:rFonts w:ascii="Times New Roman" w:hAnsi="Times New Roman"/>
                <w:color w:val="auto"/>
                <w:highlight w:val="none"/>
              </w:rPr>
              <w:t>与营业</w:t>
            </w:r>
            <w:r>
              <w:rPr>
                <w:rFonts w:ascii="Times New Roman" w:hAnsi="Times New Roman" w:eastAsia="宋体" w:cs="Times New Roman"/>
                <w:color w:val="auto"/>
                <w:highlight w:val="none"/>
              </w:rPr>
              <w:t>执照、</w:t>
            </w:r>
            <w:r>
              <w:rPr>
                <w:rFonts w:ascii="Times New Roman" w:hAnsi="Times New Roman"/>
                <w:color w:val="auto"/>
                <w:highlight w:val="none"/>
              </w:rPr>
              <w:t>资质证书一致</w:t>
            </w:r>
            <w:r>
              <w:rPr>
                <w:rFonts w:hint="eastAsia" w:ascii="Times New Roman" w:hAnsi="Times New Roman"/>
                <w:color w:val="auto"/>
                <w:highlight w:val="none"/>
              </w:rPr>
              <w:t>。</w:t>
            </w:r>
          </w:p>
          <w:p>
            <w:pPr>
              <w:spacing w:line="500" w:lineRule="exact"/>
              <w:rPr>
                <w:rFonts w:ascii="Times New Roman" w:hAnsi="Times New Roman"/>
                <w:color w:val="auto"/>
                <w:highlight w:val="none"/>
              </w:rPr>
            </w:pPr>
            <w:r>
              <w:rPr>
                <w:rFonts w:ascii="Times New Roman" w:hAnsi="Times New Roman"/>
                <w:color w:val="auto"/>
                <w:highlight w:val="none"/>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spacing w:line="500" w:lineRule="exact"/>
              <w:rPr>
                <w:rFonts w:ascii="Times New Roman" w:hAnsi="Times New Roman"/>
                <w:color w:val="auto"/>
                <w:highlight w:val="none"/>
              </w:rPr>
            </w:pPr>
          </w:p>
        </w:tc>
        <w:tc>
          <w:tcPr>
            <w:tcW w:w="1124" w:type="dxa"/>
            <w:vMerge w:val="continue"/>
            <w:tcBorders>
              <w:right w:val="single" w:color="auto" w:sz="4" w:space="0"/>
            </w:tcBorders>
            <w:noWrap w:val="0"/>
            <w:vAlign w:val="center"/>
          </w:tcPr>
          <w:p>
            <w:pPr>
              <w:spacing w:line="500" w:lineRule="exact"/>
              <w:rPr>
                <w:rFonts w:ascii="Times New Roman" w:hAnsi="Times New Roman"/>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spacing w:line="500" w:lineRule="exact"/>
              <w:rPr>
                <w:rFonts w:ascii="Times New Roman" w:hAnsi="Times New Roman"/>
                <w:color w:val="auto"/>
                <w:highlight w:val="none"/>
              </w:rPr>
            </w:pPr>
          </w:p>
        </w:tc>
        <w:tc>
          <w:tcPr>
            <w:tcW w:w="1124" w:type="dxa"/>
            <w:vMerge w:val="continue"/>
            <w:tcBorders>
              <w:right w:val="single" w:color="auto" w:sz="4" w:space="0"/>
            </w:tcBorders>
            <w:noWrap w:val="0"/>
            <w:vAlign w:val="center"/>
          </w:tcPr>
          <w:p>
            <w:pPr>
              <w:spacing w:line="500" w:lineRule="exact"/>
              <w:rPr>
                <w:rFonts w:ascii="Times New Roman" w:hAnsi="Times New Roman"/>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kern w:val="0"/>
                <w:szCs w:val="21"/>
                <w:highlight w:val="none"/>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color w:val="auto"/>
                <w:highlight w:val="none"/>
              </w:rPr>
            </w:pPr>
            <w:r>
              <w:rPr>
                <w:rFonts w:ascii="Times New Roman" w:hAnsi="Times New Roman"/>
                <w:color w:val="auto"/>
                <w:kern w:val="0"/>
                <w:szCs w:val="21"/>
                <w:highlight w:val="none"/>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spacing w:line="500" w:lineRule="exact"/>
              <w:rPr>
                <w:rFonts w:ascii="Times New Roman" w:hAnsi="Times New Roman"/>
                <w:color w:val="auto"/>
                <w:highlight w:val="none"/>
              </w:rPr>
            </w:pPr>
          </w:p>
        </w:tc>
        <w:tc>
          <w:tcPr>
            <w:tcW w:w="1124" w:type="dxa"/>
            <w:vMerge w:val="continue"/>
            <w:tcBorders>
              <w:right w:val="single" w:color="auto" w:sz="4" w:space="0"/>
            </w:tcBorders>
            <w:noWrap w:val="0"/>
            <w:vAlign w:val="center"/>
          </w:tcPr>
          <w:p>
            <w:pPr>
              <w:spacing w:line="500" w:lineRule="exact"/>
              <w:rPr>
                <w:rFonts w:ascii="Times New Roman" w:hAnsi="Times New Roman"/>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color w:val="auto"/>
                <w:kern w:val="0"/>
                <w:szCs w:val="21"/>
                <w:highlight w:val="none"/>
              </w:rPr>
            </w:pPr>
            <w:r>
              <w:rPr>
                <w:rFonts w:ascii="Times New Roman" w:hAnsi="Times New Roman"/>
                <w:color w:val="auto"/>
                <w:kern w:val="0"/>
                <w:szCs w:val="21"/>
                <w:highlight w:val="none"/>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bottom w:val="single" w:color="auto" w:sz="4" w:space="0"/>
              <w:right w:val="single" w:color="auto" w:sz="4" w:space="0"/>
            </w:tcBorders>
            <w:noWrap w:val="0"/>
            <w:vAlign w:val="center"/>
          </w:tcPr>
          <w:p>
            <w:pPr>
              <w:spacing w:line="500" w:lineRule="exact"/>
              <w:rPr>
                <w:rFonts w:ascii="Times New Roman" w:hAnsi="Times New Roman"/>
                <w:color w:val="auto"/>
                <w:highlight w:val="none"/>
              </w:rPr>
            </w:pPr>
          </w:p>
        </w:tc>
        <w:tc>
          <w:tcPr>
            <w:tcW w:w="1124" w:type="dxa"/>
            <w:vMerge w:val="continue"/>
            <w:tcBorders>
              <w:right w:val="single" w:color="auto" w:sz="4" w:space="0"/>
            </w:tcBorders>
            <w:noWrap w:val="0"/>
            <w:vAlign w:val="center"/>
          </w:tcPr>
          <w:p>
            <w:pPr>
              <w:spacing w:line="500" w:lineRule="exact"/>
              <w:rPr>
                <w:rFonts w:ascii="Times New Roman" w:hAnsi="Times New Roman"/>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color w:val="auto"/>
                <w:kern w:val="0"/>
                <w:szCs w:val="21"/>
                <w:highlight w:val="none"/>
              </w:rPr>
            </w:pPr>
            <w:r>
              <w:rPr>
                <w:rFonts w:ascii="Times New Roman" w:hAnsi="Times New Roman"/>
                <w:color w:val="auto"/>
                <w:highlight w:val="none"/>
              </w:rPr>
              <w:t>不同投标人未出现使用相同的机器识别码进行投标的情形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宋体"/>
                <w:color w:val="auto"/>
                <w:highlight w:val="none"/>
                <w:lang w:eastAsia="zh-CN"/>
              </w:rPr>
            </w:pPr>
            <w:r>
              <w:rPr>
                <w:rFonts w:ascii="Times New Roman" w:hAnsi="Times New Roman"/>
                <w:color w:val="auto"/>
                <w:highlight w:val="none"/>
              </w:rPr>
              <w:t>2.1.</w:t>
            </w:r>
            <w:r>
              <w:rPr>
                <w:rFonts w:hint="eastAsia" w:ascii="Times New Roman" w:hAnsi="Times New Roman"/>
                <w:color w:val="auto"/>
                <w:highlight w:val="none"/>
                <w:lang w:val="en-US" w:eastAsia="zh-CN"/>
              </w:rPr>
              <w:t>2</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投标内容</w:t>
            </w:r>
          </w:p>
        </w:tc>
        <w:tc>
          <w:tcPr>
            <w:tcW w:w="4680"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color w:val="auto"/>
                <w:highlight w:val="none"/>
              </w:rPr>
            </w:pPr>
            <w:r>
              <w:rPr>
                <w:rFonts w:ascii="Times New Roman" w:hAnsi="Times New Roman"/>
                <w:color w:val="auto"/>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投标报价</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color w:val="auto"/>
                <w:kern w:val="0"/>
                <w:szCs w:val="21"/>
                <w:highlight w:val="none"/>
              </w:rPr>
            </w:pPr>
            <w:r>
              <w:rPr>
                <w:rFonts w:ascii="Times New Roman" w:hAnsi="Times New Roman"/>
                <w:color w:val="auto"/>
                <w:kern w:val="0"/>
                <w:szCs w:val="21"/>
                <w:highlight w:val="none"/>
              </w:rPr>
              <w:t>（1）投标报价未超过招标文件设定的最高投标限价（如有）；</w:t>
            </w:r>
          </w:p>
          <w:p>
            <w:pPr>
              <w:widowControl/>
              <w:spacing w:line="500" w:lineRule="exact"/>
              <w:jc w:val="left"/>
              <w:rPr>
                <w:rFonts w:ascii="Times New Roman" w:hAnsi="Times New Roman"/>
                <w:color w:val="auto"/>
                <w:kern w:val="0"/>
                <w:szCs w:val="21"/>
                <w:highlight w:val="none"/>
              </w:rPr>
            </w:pPr>
            <w:r>
              <w:rPr>
                <w:rFonts w:ascii="Times New Roman" w:hAnsi="Times New Roman"/>
                <w:color w:val="auto"/>
                <w:kern w:val="0"/>
                <w:szCs w:val="21"/>
                <w:highlight w:val="none"/>
              </w:rPr>
              <w:t>（2）投标报价的大写数值能确定具体数值，未出现数量级错误、报价金额单位错误；</w:t>
            </w:r>
          </w:p>
          <w:p>
            <w:pPr>
              <w:widowControl/>
              <w:spacing w:line="500" w:lineRule="exact"/>
              <w:jc w:val="left"/>
              <w:rPr>
                <w:rFonts w:ascii="Times New Roman" w:hAnsi="Times New Roman"/>
                <w:color w:val="auto"/>
                <w:highlight w:val="none"/>
              </w:rPr>
            </w:pPr>
            <w:r>
              <w:rPr>
                <w:rFonts w:ascii="Times New Roman" w:hAnsi="Times New Roman"/>
                <w:color w:val="auto"/>
                <w:kern w:val="0"/>
                <w:szCs w:val="21"/>
                <w:highlight w:val="none"/>
              </w:rPr>
              <w:t>（3）同一投标人未递交两个以上不同的投标报价，但招标文件要求提交备选投标的除外；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auto"/>
                <w:highlight w:val="none"/>
              </w:rPr>
            </w:pPr>
            <w:r>
              <w:rPr>
                <w:rFonts w:ascii="Times New Roman" w:hAnsi="Times New Roman"/>
                <w:color w:val="auto"/>
                <w:highlight w:val="none"/>
              </w:rPr>
              <w:t>其它情形</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color w:val="auto"/>
                <w:highlight w:val="none"/>
              </w:rPr>
            </w:pPr>
            <w:r>
              <w:rPr>
                <w:rFonts w:ascii="Times New Roman" w:hAnsi="Times New Roman"/>
                <w:color w:val="auto"/>
                <w:highlight w:val="none"/>
              </w:rPr>
              <w:t>（1）投标文件中不得存在招标人不能接受的其它实质性条件；</w:t>
            </w:r>
          </w:p>
          <w:p>
            <w:pPr>
              <w:spacing w:line="500" w:lineRule="exact"/>
              <w:jc w:val="left"/>
              <w:rPr>
                <w:rFonts w:ascii="Times New Roman" w:hAnsi="Times New Roman"/>
                <w:color w:val="auto"/>
                <w:highlight w:val="none"/>
              </w:rPr>
            </w:pPr>
            <w:r>
              <w:rPr>
                <w:rFonts w:ascii="Times New Roman" w:hAnsi="Times New Roman"/>
                <w:color w:val="auto"/>
                <w:highlight w:val="none"/>
              </w:rPr>
              <w:t>（2）法律、法规规定的其它情形。</w:t>
            </w:r>
          </w:p>
        </w:tc>
      </w:tr>
    </w:tbl>
    <w:p>
      <w:pPr>
        <w:keepNext/>
        <w:keepLines/>
        <w:spacing w:after="120" w:afterLines="50" w:line="500" w:lineRule="exact"/>
        <w:jc w:val="both"/>
        <w:outlineLvl w:val="9"/>
        <w:rPr>
          <w:rFonts w:ascii="Times New Roman" w:hAnsi="Times New Roman" w:eastAsia="黑体"/>
          <w:bCs/>
          <w:color w:val="auto"/>
          <w:sz w:val="28"/>
          <w:szCs w:val="28"/>
          <w:highlight w:val="none"/>
        </w:rPr>
      </w:pPr>
    </w:p>
    <w:p>
      <w:pPr>
        <w:keepNext/>
        <w:keepLines/>
        <w:spacing w:after="120" w:afterLines="50" w:line="500" w:lineRule="exact"/>
        <w:jc w:val="center"/>
        <w:outlineLvl w:val="2"/>
        <w:rPr>
          <w:rFonts w:hint="eastAsia" w:ascii="宋体" w:hAnsi="宋体" w:eastAsia="宋体" w:cs="宋体"/>
          <w:b/>
          <w:bCs w:val="0"/>
          <w:color w:val="auto"/>
          <w:sz w:val="28"/>
          <w:szCs w:val="28"/>
          <w:highlight w:val="none"/>
        </w:rPr>
      </w:pPr>
      <w:bookmarkStart w:id="354" w:name="_Toc19369"/>
      <w:bookmarkStart w:id="355" w:name="_Toc27152"/>
      <w:bookmarkStart w:id="356" w:name="_Toc27278"/>
      <w:bookmarkStart w:id="357" w:name="_Toc16557"/>
      <w:bookmarkStart w:id="358" w:name="_Toc8274"/>
      <w:bookmarkStart w:id="359" w:name="_Toc6955"/>
      <w:bookmarkStart w:id="360" w:name="_Toc10322"/>
      <w:bookmarkStart w:id="361" w:name="_Toc31546"/>
      <w:bookmarkStart w:id="362" w:name="_Toc23205"/>
      <w:r>
        <w:rPr>
          <w:rFonts w:hint="eastAsia" w:ascii="宋体" w:hAnsi="宋体" w:eastAsia="宋体" w:cs="宋体"/>
          <w:b/>
          <w:bCs w:val="0"/>
          <w:color w:val="auto"/>
          <w:sz w:val="28"/>
          <w:szCs w:val="28"/>
          <w:highlight w:val="none"/>
        </w:rPr>
        <w:t>技术</w:t>
      </w:r>
      <w:r>
        <w:rPr>
          <w:rFonts w:hint="eastAsia" w:ascii="宋体" w:hAnsi="宋体" w:eastAsia="宋体" w:cs="宋体"/>
          <w:b/>
          <w:bCs w:val="0"/>
          <w:color w:val="auto"/>
          <w:sz w:val="28"/>
          <w:szCs w:val="28"/>
          <w:highlight w:val="none"/>
          <w:lang w:val="en-US" w:eastAsia="zh-CN"/>
        </w:rPr>
        <w:t>资信</w:t>
      </w:r>
      <w:r>
        <w:rPr>
          <w:rFonts w:hint="eastAsia" w:ascii="宋体" w:hAnsi="宋体" w:eastAsia="宋体" w:cs="宋体"/>
          <w:b/>
          <w:bCs w:val="0"/>
          <w:color w:val="auto"/>
          <w:sz w:val="28"/>
          <w:szCs w:val="28"/>
          <w:highlight w:val="none"/>
        </w:rPr>
        <w:t>及报价文件详细评审标准</w:t>
      </w:r>
    </w:p>
    <w:tbl>
      <w:tblPr>
        <w:tblStyle w:val="4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69"/>
        <w:gridCol w:w="585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98" w:type="dxa"/>
            <w:noWrap w:val="0"/>
            <w:vAlign w:val="center"/>
          </w:tcPr>
          <w:p>
            <w:pPr>
              <w:pStyle w:val="11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1269" w:type="dxa"/>
            <w:noWrap w:val="0"/>
            <w:vAlign w:val="center"/>
          </w:tcPr>
          <w:p>
            <w:pPr>
              <w:pStyle w:val="11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5850" w:type="dxa"/>
            <w:noWrap w:val="0"/>
            <w:vAlign w:val="center"/>
          </w:tcPr>
          <w:p>
            <w:pPr>
              <w:pStyle w:val="11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1079" w:type="dxa"/>
            <w:noWrap w:val="0"/>
            <w:vAlign w:val="center"/>
          </w:tcPr>
          <w:p>
            <w:pPr>
              <w:pStyle w:val="115"/>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restart"/>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资信分</w:t>
            </w:r>
          </w:p>
          <w:p>
            <w:pPr>
              <w:pStyle w:val="115"/>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sz w:val="21"/>
                <w:szCs w:val="21"/>
                <w:highlight w:val="none"/>
                <w:u w:val="single"/>
                <w:lang w:val="en-US" w:eastAsia="zh-CN"/>
              </w:rPr>
              <w:t>（70分）</w:t>
            </w:r>
          </w:p>
        </w:tc>
        <w:tc>
          <w:tcPr>
            <w:tcW w:w="1269" w:type="dxa"/>
            <w:noWrap w:val="0"/>
            <w:vAlign w:val="center"/>
          </w:tcPr>
          <w:p>
            <w:pPr>
              <w:pStyle w:val="115"/>
              <w:spacing w:line="360" w:lineRule="auto"/>
              <w:ind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w:t>
            </w:r>
          </w:p>
          <w:p>
            <w:pPr>
              <w:pStyle w:val="115"/>
              <w:spacing w:line="360" w:lineRule="auto"/>
              <w:ind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业绩</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2020年1月1日以来，具有单项合同金额5万元以上的体育类活动或赛事的宣传或活动服务业绩，每提供一项得2分，满分6分；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注：响应文件中须提供业绩合同扫描件，若上述证明材料无法体现时间、项目类型、项目内容等评审内容时，须同时提供业主单位（合同甲方）出具的相关证明材料加以明确说明，未提供或提供不全的不得分。</w:t>
            </w:r>
          </w:p>
        </w:tc>
        <w:tc>
          <w:tcPr>
            <w:tcW w:w="1079" w:type="dxa"/>
            <w:noWrap w:val="0"/>
            <w:vAlign w:val="center"/>
          </w:tcPr>
          <w:p>
            <w:pPr>
              <w:pStyle w:val="115"/>
              <w:spacing w:line="360" w:lineRule="auto"/>
              <w:ind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pStyle w:val="115"/>
              <w:spacing w:line="360" w:lineRule="auto"/>
              <w:ind w:firstLine="0" w:firstLineChars="0"/>
              <w:jc w:val="center"/>
              <w:rPr>
                <w:rFonts w:hint="eastAsia" w:ascii="宋体" w:hAnsi="宋体" w:eastAsia="宋体" w:cs="宋体"/>
                <w:color w:val="auto"/>
                <w:sz w:val="21"/>
                <w:szCs w:val="21"/>
                <w:highlight w:val="none"/>
              </w:rPr>
            </w:pPr>
          </w:p>
        </w:tc>
        <w:tc>
          <w:tcPr>
            <w:tcW w:w="126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媒体资质</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1、供应商具有互联网新闻信息服务许可证的得3分，不提供不得分。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2、供应商旗下平台入选国家网信办“互联网新闻信息稿源单位名单”的得3分，没有不得分。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3、供应商能够为本项目配备融媒体演播室的，得3分。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注：第2项应在响应文件中提供国家网信办网站名单截图。</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第3项若为自有演播室，响应文件中提供自有产权证明材料扫描件；若为租用演播室，响应文件中提供租赁合同扫描件。并提供演播室现场照片。</w:t>
            </w:r>
          </w:p>
        </w:tc>
        <w:tc>
          <w:tcPr>
            <w:tcW w:w="107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pStyle w:val="115"/>
              <w:spacing w:line="360" w:lineRule="auto"/>
              <w:ind w:firstLine="0" w:firstLineChars="0"/>
              <w:jc w:val="center"/>
              <w:rPr>
                <w:rFonts w:hint="eastAsia" w:ascii="宋体" w:hAnsi="宋体" w:eastAsia="宋体" w:cs="宋体"/>
                <w:color w:val="auto"/>
                <w:sz w:val="21"/>
                <w:szCs w:val="21"/>
                <w:highlight w:val="none"/>
              </w:rPr>
            </w:pPr>
          </w:p>
        </w:tc>
        <w:tc>
          <w:tcPr>
            <w:tcW w:w="126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管理体系认证</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投标人应具备完善的制度和项目管理体系，具有经中国国家认证认可监督管理委员会认证机构颁发的有效的下列认证：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（1）质量管理体系认证，得3分；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（2）环境管理体系认证，得3分；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（3）职业健康安全管理体系认证，得3分。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注：投标文件中提供全国认证认可信息公共服务平台官网认证信息查询截图。</w:t>
            </w:r>
          </w:p>
        </w:tc>
        <w:tc>
          <w:tcPr>
            <w:tcW w:w="107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pStyle w:val="115"/>
              <w:spacing w:line="360" w:lineRule="auto"/>
              <w:ind w:firstLine="0" w:firstLineChars="0"/>
              <w:jc w:val="center"/>
              <w:rPr>
                <w:rFonts w:hint="eastAsia" w:ascii="宋体" w:hAnsi="宋体" w:eastAsia="宋体" w:cs="宋体"/>
                <w:color w:val="auto"/>
                <w:sz w:val="21"/>
                <w:szCs w:val="21"/>
                <w:highlight w:val="none"/>
              </w:rPr>
            </w:pPr>
          </w:p>
        </w:tc>
        <w:tc>
          <w:tcPr>
            <w:tcW w:w="126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项目团队</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配备</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投标人拟派本项目团队人员具有国家新闻出版署颁发的记者证，每提供1份证书得2分，满分8分；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注：投标文件中同时提供以下证明材料：</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（1）人员名单（格式自拟）；</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（2）相应的证书扫描件；</w:t>
            </w:r>
          </w:p>
        </w:tc>
        <w:tc>
          <w:tcPr>
            <w:tcW w:w="107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pStyle w:val="115"/>
              <w:spacing w:line="360" w:lineRule="auto"/>
              <w:ind w:firstLine="0" w:firstLineChars="0"/>
              <w:jc w:val="center"/>
              <w:rPr>
                <w:rFonts w:hint="eastAsia" w:ascii="宋体" w:hAnsi="宋体" w:eastAsia="宋体" w:cs="宋体"/>
                <w:color w:val="auto"/>
                <w:sz w:val="21"/>
                <w:szCs w:val="21"/>
                <w:highlight w:val="none"/>
              </w:rPr>
            </w:pPr>
          </w:p>
        </w:tc>
        <w:tc>
          <w:tcPr>
            <w:tcW w:w="126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团队人员</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媒体类荣誉</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供应商为本项目配备的团队成员（含项目负责人）获得省级及以上媒体行业协会颁发奖项的，每</w:t>
            </w:r>
            <w:r>
              <w:rPr>
                <w:rFonts w:hint="eastAsia" w:ascii="宋体" w:hAnsi="宋体" w:eastAsia="宋体" w:cs="宋体"/>
                <w:i w:val="0"/>
                <w:iCs w:val="0"/>
                <w:color w:val="000000"/>
                <w:kern w:val="0"/>
                <w:sz w:val="21"/>
                <w:szCs w:val="21"/>
                <w:highlight w:val="none"/>
                <w:u w:val="none"/>
                <w:lang w:val="zh-CN" w:eastAsia="zh-CN" w:bidi="ar"/>
              </w:rPr>
              <w:t>提供</w:t>
            </w:r>
            <w:r>
              <w:rPr>
                <w:rFonts w:hint="eastAsia" w:ascii="宋体" w:hAnsi="宋体" w:eastAsia="宋体" w:cs="宋体"/>
                <w:i w:val="0"/>
                <w:iCs w:val="0"/>
                <w:color w:val="000000"/>
                <w:kern w:val="0"/>
                <w:sz w:val="21"/>
                <w:szCs w:val="21"/>
                <w:highlight w:val="none"/>
                <w:u w:val="none"/>
                <w:lang w:val="en-US" w:eastAsia="zh-CN" w:bidi="ar"/>
              </w:rPr>
              <w:t>1个得2</w:t>
            </w:r>
            <w:r>
              <w:rPr>
                <w:rFonts w:hint="eastAsia" w:ascii="宋体" w:hAnsi="宋体" w:eastAsia="宋体" w:cs="宋体"/>
                <w:i w:val="0"/>
                <w:iCs w:val="0"/>
                <w:color w:val="000000"/>
                <w:kern w:val="0"/>
                <w:sz w:val="21"/>
                <w:szCs w:val="21"/>
                <w:highlight w:val="none"/>
                <w:u w:val="none"/>
                <w:lang w:val="zh-CN" w:eastAsia="zh-CN" w:bidi="ar"/>
              </w:rPr>
              <w:t>分，</w:t>
            </w:r>
            <w:r>
              <w:rPr>
                <w:rFonts w:hint="eastAsia" w:ascii="宋体" w:hAnsi="宋体" w:eastAsia="宋体" w:cs="宋体"/>
                <w:i w:val="0"/>
                <w:iCs w:val="0"/>
                <w:color w:val="000000"/>
                <w:kern w:val="0"/>
                <w:sz w:val="21"/>
                <w:szCs w:val="21"/>
                <w:highlight w:val="none"/>
                <w:u w:val="none"/>
                <w:lang w:val="en-US" w:eastAsia="zh-CN" w:bidi="ar"/>
              </w:rPr>
              <w:t>本项满分8分。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1、同一人员获得多项荣誉的不重复计分；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响应文件中同时提供：获奖证书、批复、颁奖单位颁奖文件、网上公示截图（具有其中之一即可）等证明材料扫描件，须能体现人员姓名，如无法体现，须另附颁奖单位的相关证明材料扫描件，未提供或提供不全的不得分。 </w:t>
            </w:r>
          </w:p>
        </w:tc>
        <w:tc>
          <w:tcPr>
            <w:tcW w:w="107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pStyle w:val="115"/>
              <w:spacing w:line="360" w:lineRule="auto"/>
              <w:ind w:firstLine="0" w:firstLineChars="0"/>
              <w:jc w:val="center"/>
              <w:rPr>
                <w:rFonts w:hint="eastAsia" w:ascii="宋体" w:hAnsi="宋体" w:eastAsia="宋体" w:cs="宋体"/>
                <w:color w:val="auto"/>
                <w:sz w:val="21"/>
                <w:szCs w:val="21"/>
                <w:highlight w:val="none"/>
              </w:rPr>
            </w:pPr>
          </w:p>
        </w:tc>
        <w:tc>
          <w:tcPr>
            <w:tcW w:w="126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团队人员影视类荣誉</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项目团队成员参与制作的视频或摄影作品获得地市级及以上党政机关（或事业单位）颁发的奖项或荣誉的，每提供一个得 2 分，满分 10 </w:t>
            </w:r>
          </w:p>
        </w:tc>
        <w:tc>
          <w:tcPr>
            <w:tcW w:w="107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pStyle w:val="115"/>
              <w:spacing w:line="360" w:lineRule="auto"/>
              <w:ind w:firstLine="0" w:firstLineChars="0"/>
              <w:jc w:val="center"/>
              <w:rPr>
                <w:rFonts w:hint="eastAsia" w:ascii="宋体" w:hAnsi="宋体" w:eastAsia="宋体" w:cs="宋体"/>
                <w:color w:val="auto"/>
                <w:sz w:val="21"/>
                <w:szCs w:val="21"/>
                <w:highlight w:val="none"/>
              </w:rPr>
            </w:pPr>
          </w:p>
        </w:tc>
        <w:tc>
          <w:tcPr>
            <w:tcW w:w="126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新媒体</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推广实力</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供应商自有新媒体的宣传平台具备以下推广实力：</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1、微信公众号平台（本小项满分6分）：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(1)微信公众号粉丝数 150 万及以上的，得6分；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(2)微信公众号粉丝数120 万（含）-150 万（不含）的，得5分；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(3)微信公众号粉丝数100 万（含）-120 万（不含）的，得 4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(4)微信公众号粉丝数50万（含）-100 万（不含）的，得 3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(5)微信公众号粉丝数 30 万（含）-50 万（不含）的，得 2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(6)微信公众号粉丝数 10 万（含）-30 万（不含）的，得 1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(7)微信公众号粉丝数低于 10 万的不得分。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注：投标文件中提供截图（须至少能体现投标人名称相关信息和粉丝数量等评审要素）。</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2、抖音平台（本小项满分6分）：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(1)抖音粉丝数 800 万及以上的，得 6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(2)抖音粉丝数 600（含）－800 万（不含）的，得 5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(3)抖音粉丝数 400（含）－600 万（不含）的，得 4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(4)抖音粉丝数 200（含）－400 万（不含）的，得 3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 抖音粉丝数 100（含）－200 万（不含）的，得 2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 抖音粉丝数 10（含）－100 万（不含）的，得 1 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(7)抖音粉丝数低于 10万的不得分。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注：投标文件中提供截图（须至少能体现投标人名称相关信息和粉丝数量等评审要素）。</w:t>
            </w:r>
          </w:p>
        </w:tc>
        <w:tc>
          <w:tcPr>
            <w:tcW w:w="107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pStyle w:val="115"/>
              <w:spacing w:line="360" w:lineRule="auto"/>
              <w:ind w:firstLine="0" w:firstLineChars="0"/>
              <w:jc w:val="center"/>
              <w:rPr>
                <w:rFonts w:hint="eastAsia" w:ascii="宋体" w:hAnsi="宋体" w:eastAsia="宋体" w:cs="宋体"/>
                <w:color w:val="auto"/>
                <w:sz w:val="21"/>
                <w:szCs w:val="21"/>
                <w:highlight w:val="none"/>
              </w:rPr>
            </w:pPr>
          </w:p>
        </w:tc>
        <w:tc>
          <w:tcPr>
            <w:tcW w:w="126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平台</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推广案例</w:t>
            </w:r>
          </w:p>
        </w:tc>
        <w:tc>
          <w:tcPr>
            <w:tcW w:w="585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供应商应自有新媒体平台推广能力证明案例（本项满分8分，最高得8分）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（1）2021年1月1日以来微信公众号阅读量为30万（含）-50万（不含）的文章，每篇0.5分；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（2）2021年1月1日以来微信公众号阅读量为50万（含）-70万（不含）的文章，每篇1分；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（3）2021年1月1日以来微信公众号阅读量超过70万（含）的文章，每篇2分；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（4）2021年1月1日以来微信公众号阅读量低于30万（不含）的文章，不得分。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注：响应文件中提供截图（须至少能体现供应商名称的相关信息、阅读量等评审要素并加盖供应商公章或电子签章）。</w:t>
            </w:r>
          </w:p>
        </w:tc>
        <w:tc>
          <w:tcPr>
            <w:tcW w:w="107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noWrap w:val="0"/>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价格分</w:t>
            </w:r>
          </w:p>
          <w:p>
            <w:pPr>
              <w:pStyle w:val="11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c>
          <w:tcPr>
            <w:tcW w:w="8198" w:type="dxa"/>
            <w:gridSpan w:val="3"/>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价格分统一采用低价优先法，即满足招标文件要求且投标价格最低的投标报价为评标基准价，其价格分为满分 30 分。其他投标人的价格分统一按照下列公式计算：</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投标报价得分＝（评标基准价/投标报价）× 30 ％×100。</w:t>
            </w:r>
          </w:p>
        </w:tc>
      </w:tr>
    </w:tbl>
    <w:p/>
    <w:p>
      <w:pPr>
        <w:pStyle w:val="3"/>
        <w:spacing w:before="0" w:after="0" w:line="500" w:lineRule="exact"/>
        <w:rPr>
          <w:rFonts w:ascii="Times New Roman" w:hAnsi="Times New Roman"/>
          <w:color w:val="auto"/>
          <w:sz w:val="28"/>
          <w:szCs w:val="18"/>
          <w:highlight w:val="none"/>
        </w:rPr>
      </w:pPr>
      <w:r>
        <w:rPr>
          <w:rFonts w:ascii="Times New Roman" w:hAnsi="Times New Roman"/>
          <w:b w:val="0"/>
          <w:bCs/>
          <w:color w:val="auto"/>
          <w:sz w:val="28"/>
          <w:szCs w:val="18"/>
          <w:highlight w:val="none"/>
        </w:rPr>
        <w:t>1. 评标方法</w:t>
      </w:r>
      <w:bookmarkEnd w:id="354"/>
      <w:bookmarkEnd w:id="355"/>
      <w:bookmarkEnd w:id="356"/>
      <w:bookmarkEnd w:id="357"/>
      <w:bookmarkEnd w:id="358"/>
      <w:bookmarkEnd w:id="359"/>
      <w:bookmarkEnd w:id="360"/>
      <w:bookmarkEnd w:id="361"/>
      <w:bookmarkEnd w:id="362"/>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本次评标采用综合评估法</w:t>
      </w:r>
      <w:r>
        <w:rPr>
          <w:rFonts w:ascii="Times New Roman" w:hAnsi="Times New Roman"/>
          <w:color w:val="auto"/>
          <w:szCs w:val="21"/>
          <w:highlight w:val="none"/>
        </w:rPr>
        <w:t>（有效价格）。</w:t>
      </w:r>
      <w:r>
        <w:rPr>
          <w:rFonts w:ascii="Times New Roman" w:hAnsi="Times New Roman"/>
          <w:color w:val="auto"/>
          <w:highlight w:val="none"/>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w:t>
      </w:r>
      <w:r>
        <w:rPr>
          <w:rFonts w:hint="eastAsia" w:ascii="Times New Roman" w:hAnsi="Times New Roman"/>
          <w:color w:val="auto"/>
          <w:highlight w:val="none"/>
          <w:lang w:val="en-US" w:eastAsia="zh-CN"/>
        </w:rPr>
        <w:t>技术资信分</w:t>
      </w:r>
      <w:r>
        <w:rPr>
          <w:rFonts w:ascii="Times New Roman" w:hAnsi="Times New Roman"/>
          <w:color w:val="auto"/>
          <w:highlight w:val="none"/>
        </w:rPr>
        <w:t>优先；</w:t>
      </w:r>
      <w:r>
        <w:rPr>
          <w:rFonts w:hint="eastAsia" w:ascii="Times New Roman" w:hAnsi="Times New Roman"/>
          <w:color w:val="auto"/>
          <w:highlight w:val="none"/>
          <w:lang w:val="en-US" w:eastAsia="zh-CN"/>
        </w:rPr>
        <w:t>技术资信分</w:t>
      </w:r>
      <w:r>
        <w:rPr>
          <w:rFonts w:ascii="Times New Roman" w:hAnsi="Times New Roman"/>
          <w:color w:val="auto"/>
          <w:highlight w:val="none"/>
        </w:rPr>
        <w:t>也相等的，以</w:t>
      </w:r>
      <w:r>
        <w:rPr>
          <w:rFonts w:hint="eastAsia" w:ascii="Times New Roman" w:hAnsi="Times New Roman"/>
          <w:color w:val="auto"/>
          <w:highlight w:val="none"/>
          <w:lang w:val="en-US" w:eastAsia="zh-CN"/>
        </w:rPr>
        <w:t>投标报价</w:t>
      </w:r>
      <w:r>
        <w:rPr>
          <w:rFonts w:ascii="Times New Roman" w:hAnsi="Times New Roman"/>
          <w:color w:val="auto"/>
          <w:highlight w:val="none"/>
        </w:rPr>
        <w:t>分高的优先；如果技术</w:t>
      </w:r>
      <w:r>
        <w:rPr>
          <w:rFonts w:hint="eastAsia" w:ascii="Times New Roman" w:hAnsi="Times New Roman"/>
          <w:color w:val="auto"/>
          <w:highlight w:val="none"/>
          <w:lang w:val="en-US" w:eastAsia="zh-CN"/>
        </w:rPr>
        <w:t>投标报价</w:t>
      </w:r>
      <w:r>
        <w:rPr>
          <w:rFonts w:ascii="Times New Roman" w:hAnsi="Times New Roman"/>
          <w:color w:val="auto"/>
          <w:highlight w:val="none"/>
        </w:rPr>
        <w:t>分也相等，由评标委员会根据投标文件投票，按照评标办法前附表中的规定确定中标候选人顺序。</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本次评标的先后顺序及最多可中标段数量详见评标办法前附表</w:t>
      </w:r>
      <w:r>
        <w:rPr>
          <w:rFonts w:ascii="Times New Roman" w:hAnsi="Times New Roman"/>
          <w:color w:val="auto"/>
          <w:szCs w:val="21"/>
          <w:highlight w:val="none"/>
          <w:vertAlign w:val="superscript"/>
        </w:rPr>
        <w:footnoteReference w:id="2"/>
      </w:r>
      <w:r>
        <w:rPr>
          <w:rFonts w:ascii="Times New Roman" w:hAnsi="Times New Roman"/>
          <w:color w:val="auto"/>
          <w:szCs w:val="21"/>
          <w:highlight w:val="none"/>
        </w:rPr>
        <w:t>。投标人使用相同的项目负责人或主要人员投多个标段的，最多只能中一个标段。被推荐为第一中标候选人的标段个数已达到最多允许中标的标段个数的投标人，在后续标段不再被推荐为中标候选人，但仍参与评审。</w:t>
      </w:r>
    </w:p>
    <w:p>
      <w:pPr>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评标结束后如有某标段的第一中标候选人发生变化的情况，不影响其他标段排序。</w:t>
      </w:r>
    </w:p>
    <w:p>
      <w:pPr>
        <w:pStyle w:val="3"/>
        <w:spacing w:before="0" w:after="0" w:line="500" w:lineRule="exact"/>
        <w:rPr>
          <w:rFonts w:ascii="Times New Roman" w:hAnsi="Times New Roman"/>
          <w:b w:val="0"/>
          <w:bCs/>
          <w:color w:val="auto"/>
          <w:sz w:val="28"/>
          <w:szCs w:val="18"/>
          <w:highlight w:val="none"/>
        </w:rPr>
      </w:pPr>
      <w:bookmarkStart w:id="363" w:name="_Toc18706"/>
      <w:bookmarkStart w:id="364" w:name="_Toc15221"/>
      <w:bookmarkStart w:id="365" w:name="_Toc19295"/>
      <w:bookmarkStart w:id="366" w:name="_Toc15527"/>
      <w:bookmarkStart w:id="367" w:name="_Toc5240"/>
      <w:bookmarkStart w:id="368" w:name="_Toc8111"/>
      <w:bookmarkStart w:id="369" w:name="_Toc7232"/>
      <w:bookmarkStart w:id="370" w:name="_Toc17976"/>
      <w:bookmarkStart w:id="371" w:name="_Toc10529"/>
      <w:r>
        <w:rPr>
          <w:rFonts w:ascii="Times New Roman" w:hAnsi="Times New Roman"/>
          <w:b w:val="0"/>
          <w:bCs/>
          <w:color w:val="auto"/>
          <w:sz w:val="28"/>
          <w:szCs w:val="18"/>
          <w:highlight w:val="none"/>
        </w:rPr>
        <w:t>2. 评审标准</w:t>
      </w:r>
      <w:bookmarkEnd w:id="363"/>
      <w:bookmarkEnd w:id="364"/>
      <w:bookmarkEnd w:id="365"/>
      <w:bookmarkEnd w:id="366"/>
      <w:bookmarkEnd w:id="367"/>
      <w:bookmarkEnd w:id="368"/>
      <w:bookmarkEnd w:id="369"/>
      <w:bookmarkEnd w:id="370"/>
      <w:bookmarkEnd w:id="371"/>
    </w:p>
    <w:p>
      <w:pPr>
        <w:pStyle w:val="4"/>
        <w:spacing w:before="0" w:after="0" w:line="500" w:lineRule="exact"/>
        <w:ind w:firstLine="0" w:firstLineChars="0"/>
        <w:rPr>
          <w:rFonts w:ascii="Times New Roman" w:hAnsi="Times New Roman"/>
          <w:color w:val="auto"/>
          <w:sz w:val="24"/>
          <w:szCs w:val="18"/>
          <w:highlight w:val="none"/>
        </w:rPr>
      </w:pPr>
      <w:r>
        <w:rPr>
          <w:rFonts w:ascii="Times New Roman" w:hAnsi="Times New Roman"/>
          <w:color w:val="auto"/>
          <w:sz w:val="24"/>
          <w:szCs w:val="18"/>
          <w:highlight w:val="none"/>
        </w:rPr>
        <w:t>2.1 初步评审标准</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2.1.1 形式评审标准：见评标办法前附表。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2.1.2 资格评审标准：见评标办法前附表。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2.1.3 响应性评审标准：见评标办法前附表。</w:t>
      </w:r>
    </w:p>
    <w:p>
      <w:pPr>
        <w:pStyle w:val="4"/>
        <w:spacing w:before="0" w:after="0" w:line="500" w:lineRule="exact"/>
        <w:ind w:firstLine="0" w:firstLineChars="0"/>
        <w:rPr>
          <w:rFonts w:ascii="Times New Roman" w:hAnsi="Times New Roman"/>
          <w:color w:val="auto"/>
          <w:sz w:val="24"/>
          <w:szCs w:val="18"/>
          <w:highlight w:val="none"/>
        </w:rPr>
      </w:pPr>
      <w:r>
        <w:rPr>
          <w:rFonts w:ascii="Times New Roman" w:hAnsi="Times New Roman"/>
          <w:color w:val="auto"/>
          <w:sz w:val="24"/>
          <w:szCs w:val="18"/>
          <w:highlight w:val="none"/>
        </w:rPr>
        <w:t>2.2 分值构成与评分标准</w:t>
      </w:r>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2.2.1 分值构成</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1</w:t>
      </w:r>
      <w:r>
        <w:rPr>
          <w:rFonts w:ascii="Times New Roman" w:hAnsi="Times New Roman"/>
          <w:color w:val="auto"/>
          <w:highlight w:val="none"/>
        </w:rPr>
        <w:t>）技术</w:t>
      </w:r>
      <w:r>
        <w:rPr>
          <w:rFonts w:hint="eastAsia" w:ascii="Times New Roman" w:hAnsi="Times New Roman"/>
          <w:color w:val="auto"/>
          <w:highlight w:val="none"/>
          <w:lang w:val="en-US" w:eastAsia="zh-CN"/>
        </w:rPr>
        <w:t>资信</w:t>
      </w:r>
      <w:r>
        <w:rPr>
          <w:rFonts w:ascii="Times New Roman" w:hAnsi="Times New Roman"/>
          <w:color w:val="auto"/>
          <w:highlight w:val="none"/>
        </w:rPr>
        <w:t>部分：见评标办法前附表；</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2</w:t>
      </w:r>
      <w:r>
        <w:rPr>
          <w:rFonts w:ascii="Times New Roman" w:hAnsi="Times New Roman"/>
          <w:color w:val="auto"/>
          <w:highlight w:val="none"/>
        </w:rPr>
        <w:t>）投标报价：见评标办法前附表。</w:t>
      </w:r>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2.2.2 评标基准价计算</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评标基准价计算方法：见评标办法前附表。</w:t>
      </w:r>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2.2.3 评分标准</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1</w:t>
      </w:r>
      <w:r>
        <w:rPr>
          <w:rFonts w:ascii="Times New Roman" w:hAnsi="Times New Roman"/>
          <w:color w:val="auto"/>
          <w:highlight w:val="none"/>
        </w:rPr>
        <w:t>）技术</w:t>
      </w:r>
      <w:r>
        <w:rPr>
          <w:rFonts w:hint="eastAsia" w:ascii="Times New Roman" w:hAnsi="Times New Roman"/>
          <w:color w:val="auto"/>
          <w:highlight w:val="none"/>
          <w:lang w:val="en-US" w:eastAsia="zh-CN"/>
        </w:rPr>
        <w:t>资信</w:t>
      </w:r>
      <w:r>
        <w:rPr>
          <w:rFonts w:ascii="Times New Roman" w:hAnsi="Times New Roman"/>
          <w:color w:val="auto"/>
          <w:highlight w:val="none"/>
        </w:rPr>
        <w:t xml:space="preserve">评分标准：见评标办法前附表； </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2</w:t>
      </w:r>
      <w:r>
        <w:rPr>
          <w:rFonts w:ascii="Times New Roman" w:hAnsi="Times New Roman"/>
          <w:color w:val="auto"/>
          <w:highlight w:val="none"/>
        </w:rPr>
        <w:t>）投标报价评分标准：见评标办法前附表。</w:t>
      </w:r>
    </w:p>
    <w:p>
      <w:pPr>
        <w:pStyle w:val="3"/>
        <w:spacing w:before="0" w:after="0" w:line="500" w:lineRule="exact"/>
        <w:rPr>
          <w:rFonts w:ascii="Times New Roman" w:hAnsi="Times New Roman"/>
          <w:b w:val="0"/>
          <w:bCs/>
          <w:color w:val="auto"/>
          <w:sz w:val="28"/>
          <w:szCs w:val="18"/>
          <w:highlight w:val="none"/>
        </w:rPr>
      </w:pPr>
      <w:bookmarkStart w:id="372" w:name="_Toc30472"/>
      <w:bookmarkStart w:id="373" w:name="_Toc11119"/>
      <w:bookmarkStart w:id="374" w:name="_Toc19778"/>
      <w:bookmarkStart w:id="375" w:name="_Toc24986"/>
      <w:bookmarkStart w:id="376" w:name="_Toc30576"/>
      <w:bookmarkStart w:id="377" w:name="_Toc30277"/>
      <w:bookmarkStart w:id="378" w:name="_Toc16074"/>
      <w:bookmarkStart w:id="379" w:name="_Toc2665"/>
      <w:bookmarkStart w:id="380" w:name="_Toc27444"/>
      <w:r>
        <w:rPr>
          <w:rFonts w:ascii="Times New Roman" w:hAnsi="Times New Roman"/>
          <w:b w:val="0"/>
          <w:bCs/>
          <w:color w:val="auto"/>
          <w:sz w:val="28"/>
          <w:szCs w:val="18"/>
          <w:highlight w:val="none"/>
        </w:rPr>
        <w:t>3. 评标程序</w:t>
      </w:r>
      <w:bookmarkEnd w:id="372"/>
      <w:bookmarkEnd w:id="373"/>
      <w:bookmarkEnd w:id="374"/>
      <w:bookmarkEnd w:id="375"/>
      <w:bookmarkEnd w:id="376"/>
      <w:bookmarkEnd w:id="377"/>
      <w:bookmarkEnd w:id="378"/>
      <w:bookmarkEnd w:id="379"/>
      <w:bookmarkEnd w:id="380"/>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3.1 技术</w:t>
      </w:r>
      <w:r>
        <w:rPr>
          <w:rFonts w:hint="eastAsia" w:ascii="Times New Roman" w:hAnsi="Times New Roman"/>
          <w:color w:val="auto"/>
          <w:sz w:val="24"/>
          <w:szCs w:val="18"/>
          <w:highlight w:val="none"/>
          <w:lang w:val="en-US" w:eastAsia="zh-CN"/>
        </w:rPr>
        <w:t>及资信</w:t>
      </w:r>
      <w:r>
        <w:rPr>
          <w:rFonts w:ascii="Times New Roman" w:hAnsi="Times New Roman"/>
          <w:color w:val="auto"/>
          <w:sz w:val="24"/>
          <w:szCs w:val="18"/>
          <w:highlight w:val="none"/>
        </w:rPr>
        <w:t>文件初步评审</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评标委员会依据本章第2.1.1项、第2.1.2项、第2.1.3项规定的评审标准对技术</w:t>
      </w:r>
      <w:r>
        <w:rPr>
          <w:rFonts w:hint="eastAsia" w:ascii="Times New Roman" w:hAnsi="Times New Roman"/>
          <w:color w:val="auto"/>
          <w:szCs w:val="21"/>
          <w:highlight w:val="none"/>
          <w:lang w:val="en-US" w:eastAsia="zh-CN"/>
        </w:rPr>
        <w:t>及资信</w:t>
      </w:r>
      <w:r>
        <w:rPr>
          <w:rFonts w:ascii="Times New Roman" w:hAnsi="Times New Roman"/>
          <w:color w:val="auto"/>
          <w:szCs w:val="21"/>
          <w:highlight w:val="none"/>
        </w:rPr>
        <w:t>文件进行初步评审。有一项不符合评审标准的，评标委员会应否决其投标。</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3.2技术</w:t>
      </w:r>
      <w:r>
        <w:rPr>
          <w:rFonts w:hint="eastAsia" w:ascii="Times New Roman" w:hAnsi="Times New Roman"/>
          <w:color w:val="auto"/>
          <w:sz w:val="24"/>
          <w:szCs w:val="18"/>
          <w:highlight w:val="none"/>
          <w:lang w:val="en-US" w:eastAsia="zh-CN"/>
        </w:rPr>
        <w:t>及资信</w:t>
      </w:r>
      <w:r>
        <w:rPr>
          <w:rFonts w:ascii="Times New Roman" w:hAnsi="Times New Roman"/>
          <w:color w:val="auto"/>
          <w:sz w:val="24"/>
          <w:szCs w:val="18"/>
          <w:highlight w:val="none"/>
        </w:rPr>
        <w:t>文件详细评审</w:t>
      </w:r>
    </w:p>
    <w:p>
      <w:pPr>
        <w:snapToGrid w:val="0"/>
        <w:spacing w:line="500" w:lineRule="exact"/>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3.2.1 评标委员会按本章第2.2款规定的量化因素和分值对投标文件的</w:t>
      </w:r>
      <w:r>
        <w:rPr>
          <w:rFonts w:hint="eastAsia" w:ascii="Times New Roman" w:hAnsi="Times New Roman"/>
          <w:color w:val="auto"/>
          <w:highlight w:val="none"/>
          <w:lang w:val="en-US" w:eastAsia="zh-CN"/>
        </w:rPr>
        <w:t>技术</w:t>
      </w:r>
      <w:r>
        <w:rPr>
          <w:rFonts w:ascii="Times New Roman" w:hAnsi="Times New Roman"/>
          <w:color w:val="auto"/>
          <w:highlight w:val="none"/>
        </w:rPr>
        <w:t>文件、</w:t>
      </w:r>
      <w:r>
        <w:rPr>
          <w:rFonts w:hint="eastAsia" w:ascii="Times New Roman" w:hAnsi="Times New Roman"/>
          <w:color w:val="auto"/>
          <w:highlight w:val="none"/>
          <w:lang w:val="en-US" w:eastAsia="zh-CN"/>
        </w:rPr>
        <w:t>资信</w:t>
      </w:r>
      <w:r>
        <w:rPr>
          <w:rFonts w:ascii="Times New Roman" w:hAnsi="Times New Roman"/>
          <w:color w:val="auto"/>
          <w:highlight w:val="none"/>
        </w:rPr>
        <w:t>文件进行打分，并计算出</w:t>
      </w:r>
      <w:r>
        <w:rPr>
          <w:rFonts w:hint="eastAsia" w:ascii="Times New Roman" w:hAnsi="Times New Roman"/>
          <w:color w:val="auto"/>
          <w:highlight w:val="none"/>
          <w:lang w:val="en-US" w:eastAsia="zh-CN"/>
        </w:rPr>
        <w:t>技术资信</w:t>
      </w:r>
      <w:r>
        <w:rPr>
          <w:rFonts w:ascii="Times New Roman" w:hAnsi="Times New Roman"/>
          <w:color w:val="auto"/>
          <w:highlight w:val="none"/>
        </w:rPr>
        <w:t>综合得分。评标委员会成员总数为5人时，投标人本章第2.2.3项第（1）目的得分以评标委员会各成员打分平均值确定。评标委员会总数为7人及以上时，投标人本章第2.2.3项第（1）目的得分以评标委员会各成员打分去掉一个最高分和最低分后的平均值确定</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投标人技术和资信得分A。</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3.2.2评分分值计算保留小数点后两位，小数点后第三位“四舍五入”。</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3.3 报价文件公布</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技术</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资信</w:t>
      </w:r>
      <w:r>
        <w:rPr>
          <w:rFonts w:ascii="Times New Roman" w:hAnsi="Times New Roman"/>
          <w:color w:val="auto"/>
          <w:highlight w:val="none"/>
        </w:rPr>
        <w:t>文件评审结束后，对通过</w:t>
      </w:r>
      <w:r>
        <w:rPr>
          <w:rFonts w:hint="eastAsia" w:ascii="Times New Roman" w:hAnsi="Times New Roman"/>
          <w:color w:val="auto"/>
          <w:highlight w:val="none"/>
          <w:lang w:val="en-US" w:eastAsia="zh-CN"/>
        </w:rPr>
        <w:t>技术</w:t>
      </w:r>
      <w:r>
        <w:rPr>
          <w:rFonts w:ascii="Times New Roman" w:hAnsi="Times New Roman"/>
          <w:color w:val="auto"/>
          <w:highlight w:val="none"/>
        </w:rPr>
        <w:t>和</w:t>
      </w:r>
      <w:r>
        <w:rPr>
          <w:rFonts w:hint="eastAsia" w:ascii="Times New Roman" w:hAnsi="Times New Roman"/>
          <w:color w:val="auto"/>
          <w:highlight w:val="none"/>
          <w:lang w:val="en-US" w:eastAsia="zh-CN"/>
        </w:rPr>
        <w:t>资信</w:t>
      </w:r>
      <w:r>
        <w:rPr>
          <w:rFonts w:ascii="Times New Roman" w:hAnsi="Times New Roman"/>
          <w:color w:val="auto"/>
          <w:highlight w:val="none"/>
        </w:rPr>
        <w:t>文件评审的投标文件报价文件进行公布。</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3.4 报价文件初步评审</w:t>
      </w:r>
    </w:p>
    <w:p>
      <w:pPr>
        <w:snapToGrid w:val="0"/>
        <w:spacing w:line="5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3.4.1 </w:t>
      </w:r>
      <w:r>
        <w:rPr>
          <w:rFonts w:ascii="Times New Roman" w:hAnsi="Times New Roman"/>
          <w:color w:val="auto"/>
          <w:szCs w:val="21"/>
          <w:highlight w:val="none"/>
        </w:rPr>
        <w:t>评标委员会依据本章第2.1.1款、第2.1.3款规定的评审标准对报价文件进行评审。有一项不符合评审标准的，评标委员会应否决其投标。</w:t>
      </w:r>
    </w:p>
    <w:p>
      <w:pPr>
        <w:snapToGrid w:val="0"/>
        <w:spacing w:line="5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rFonts w:ascii="Times New Roman" w:hAnsi="Times New Roman"/>
          <w:color w:val="auto"/>
          <w:highlight w:val="none"/>
        </w:rPr>
      </w:pPr>
      <w:r>
        <w:rPr>
          <w:rFonts w:ascii="Times New Roman" w:hAnsi="Times New Roman"/>
          <w:color w:val="auto"/>
          <w:highlight w:val="none"/>
        </w:rPr>
        <w:t>（1）投标文件中的大写金额与小写金额不一致的，以大写金额为准；</w:t>
      </w:r>
    </w:p>
    <w:p>
      <w:pPr>
        <w:snapToGrid w:val="0"/>
        <w:spacing w:line="500" w:lineRule="exact"/>
        <w:ind w:firstLine="420" w:firstLineChars="200"/>
        <w:rPr>
          <w:rFonts w:ascii="Times New Roman" w:hAnsi="Times New Roman"/>
          <w:color w:val="auto"/>
          <w:highlight w:val="none"/>
        </w:rPr>
      </w:pPr>
      <w:r>
        <w:rPr>
          <w:rFonts w:ascii="Times New Roman" w:hAnsi="Times New Roman"/>
          <w:color w:val="auto"/>
          <w:highlight w:val="none"/>
        </w:rPr>
        <w:t>（2）总价金额与单价金额不一致的，以单价金额为准，但单价金额小数点有明显错误的除外；</w:t>
      </w:r>
    </w:p>
    <w:p>
      <w:pPr>
        <w:snapToGrid w:val="0"/>
        <w:spacing w:line="500" w:lineRule="exact"/>
        <w:ind w:firstLine="420" w:firstLineChars="200"/>
        <w:rPr>
          <w:rFonts w:ascii="Times New Roman" w:hAnsi="Times New Roman"/>
          <w:color w:val="auto"/>
          <w:highlight w:val="none"/>
        </w:rPr>
      </w:pPr>
      <w:r>
        <w:rPr>
          <w:rFonts w:ascii="Times New Roman" w:hAnsi="Times New Roman"/>
          <w:color w:val="auto"/>
          <w:highlight w:val="none"/>
        </w:rPr>
        <w:t>（3）投标报价为各分项报价金额之和，投标报价与分项报价的合价不一致的，应以各分项合价累计数为准，修正投标报价；</w:t>
      </w:r>
    </w:p>
    <w:p>
      <w:pPr>
        <w:snapToGrid w:val="0"/>
        <w:spacing w:line="500" w:lineRule="exact"/>
        <w:ind w:firstLine="420" w:firstLineChars="200"/>
        <w:rPr>
          <w:rFonts w:ascii="Times New Roman" w:hAnsi="Times New Roman"/>
          <w:color w:val="auto"/>
          <w:highlight w:val="none"/>
        </w:rPr>
      </w:pPr>
      <w:r>
        <w:rPr>
          <w:rFonts w:ascii="Times New Roman" w:hAnsi="Times New Roman"/>
          <w:color w:val="auto"/>
          <w:highlight w:val="none"/>
        </w:rPr>
        <w:t>（4）如果分项报价中存在缺漏项，则视为缺漏项价格已包含在其他分项报价之中。</w:t>
      </w:r>
    </w:p>
    <w:p>
      <w:pPr>
        <w:snapToGrid w:val="0"/>
        <w:spacing w:line="500" w:lineRule="exact"/>
        <w:ind w:firstLine="420" w:firstLineChars="200"/>
        <w:rPr>
          <w:rFonts w:ascii="Times New Roman" w:hAnsi="Times New Roman"/>
          <w:color w:val="auto"/>
          <w:highlight w:val="none"/>
        </w:rPr>
      </w:pPr>
      <w:r>
        <w:rPr>
          <w:rFonts w:ascii="Times New Roman" w:hAnsi="Times New Roman"/>
          <w:color w:val="auto"/>
          <w:highlight w:val="none"/>
        </w:rPr>
        <w:t>3.4.3投标人投标报价明显缺乏竞争性的，评标委员会可以否决所有投标。</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3.5 报价文件详细评审</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3.5.1评标委员会按本章第2.2.3（3）目规定的评审因素和分值对投标报价计算出得分</w:t>
      </w:r>
      <w:r>
        <w:rPr>
          <w:rFonts w:hint="eastAsia" w:ascii="Times New Roman" w:hAnsi="Times New Roman"/>
          <w:color w:val="auto"/>
          <w:highlight w:val="none"/>
          <w:lang w:val="en-US" w:eastAsia="zh-CN"/>
        </w:rPr>
        <w:t>B</w:t>
      </w:r>
      <w:r>
        <w:rPr>
          <w:rFonts w:ascii="Times New Roman" w:hAnsi="Times New Roman"/>
          <w:color w:val="auto"/>
          <w:highlight w:val="none"/>
        </w:rPr>
        <w:t>。</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3.5.2评分分值计算保留小数点后两位，小数点后第三位“四舍五入”。</w:t>
      </w:r>
    </w:p>
    <w:p>
      <w:pPr>
        <w:spacing w:line="500" w:lineRule="exact"/>
        <w:ind w:firstLine="420" w:firstLineChars="200"/>
        <w:outlineLvl w:val="3"/>
        <w:rPr>
          <w:rFonts w:ascii="Times New Roman" w:hAnsi="Times New Roman"/>
          <w:color w:val="auto"/>
          <w:highlight w:val="none"/>
        </w:rPr>
      </w:pPr>
      <w:r>
        <w:rPr>
          <w:rFonts w:ascii="Times New Roman" w:hAnsi="Times New Roman"/>
          <w:color w:val="auto"/>
          <w:highlight w:val="none"/>
        </w:rPr>
        <w:t>3.5.3投标人综合得分=A+B。</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3.6 否决投标的其他情形</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500" w:lineRule="exact"/>
        <w:ind w:firstLine="420" w:firstLineChars="200"/>
        <w:outlineLvl w:val="3"/>
        <w:rPr>
          <w:rFonts w:ascii="Times New Roman" w:hAnsi="Times New Roman"/>
          <w:color w:val="auto"/>
          <w:szCs w:val="21"/>
          <w:highlight w:val="none"/>
        </w:rPr>
      </w:pPr>
      <w:r>
        <w:rPr>
          <w:rFonts w:ascii="Times New Roman" w:hAnsi="Times New Roman"/>
          <w:color w:val="auto"/>
          <w:szCs w:val="21"/>
          <w:highlight w:val="none"/>
        </w:rPr>
        <w:t>（1）有下列情形之一的，属于投标人相互串通投标：</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a.投标人之间协商投标报价等投标文件的实质性内容；</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b.投标人之间约定中标人；</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c.投标人之间约定部分投标人放弃投标或中标；</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d.属于同一集团、协会、商会等组织成员的投标人按照该组织要求协同投标；</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e.投标人之间为谋取中标或排斥特定投标人而采取的其他联合行动。</w:t>
      </w:r>
    </w:p>
    <w:p>
      <w:pPr>
        <w:snapToGrid w:val="0"/>
        <w:spacing w:line="500" w:lineRule="exact"/>
        <w:ind w:firstLine="420" w:firstLineChars="200"/>
        <w:outlineLvl w:val="3"/>
        <w:rPr>
          <w:rFonts w:ascii="Times New Roman" w:hAnsi="Times New Roman"/>
          <w:color w:val="auto"/>
          <w:szCs w:val="21"/>
          <w:highlight w:val="none"/>
        </w:rPr>
      </w:pPr>
      <w:r>
        <w:rPr>
          <w:rFonts w:ascii="Times New Roman" w:hAnsi="Times New Roman"/>
          <w:color w:val="auto"/>
          <w:szCs w:val="21"/>
          <w:highlight w:val="none"/>
        </w:rPr>
        <w:t>（2）有下列情形之一的，视为投标人相互串通投标：</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a.不同投标人的投标文件由同一单位或个人编制；</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b.不同投标人委托同一单位或个人办理投标事宜；</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c.不同投标人的投标文件载明的项目管理机构成员为同一人；</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d.不同投标人的投标文件异常一致或投标报价呈规律性差异；</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e.不同投标人的投标文件相互混装；</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f.不同投标人的投标保证金从同一单位或个人的账户转出。</w:t>
      </w:r>
    </w:p>
    <w:p>
      <w:pPr>
        <w:snapToGrid w:val="0"/>
        <w:spacing w:line="500" w:lineRule="exact"/>
        <w:ind w:firstLine="420" w:firstLineChars="200"/>
        <w:outlineLvl w:val="3"/>
        <w:rPr>
          <w:rFonts w:ascii="Times New Roman" w:hAnsi="Times New Roman"/>
          <w:color w:val="auto"/>
          <w:szCs w:val="21"/>
          <w:highlight w:val="none"/>
        </w:rPr>
      </w:pPr>
      <w:r>
        <w:rPr>
          <w:rFonts w:ascii="Times New Roman" w:hAnsi="Times New Roman"/>
          <w:color w:val="auto"/>
          <w:szCs w:val="21"/>
          <w:highlight w:val="none"/>
        </w:rPr>
        <w:t>（3）有下列情形之一的，属于招标人与投标人串通投标：</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a.招标人在开标前开启投标文件并将有关信息泄露给其他投标人；</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b.招标人直接或间接向投标人泄露标底、评标委员会成员等信息；</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c.招标人明示或暗示投标人压低或抬高投标报价；</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d.招标人授意投标人撤换、修改投标文件；</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e.招标人明示或暗示投标人为特定投标人中标提供方便；</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f.招标人与投标人为谋求特定投标人中标而采取的其他串通行为。</w:t>
      </w:r>
    </w:p>
    <w:p>
      <w:pPr>
        <w:snapToGrid w:val="0"/>
        <w:spacing w:line="500" w:lineRule="exact"/>
        <w:ind w:firstLine="420" w:firstLineChars="200"/>
        <w:outlineLvl w:val="3"/>
        <w:rPr>
          <w:rFonts w:ascii="Times New Roman" w:hAnsi="Times New Roman"/>
          <w:color w:val="auto"/>
          <w:szCs w:val="21"/>
          <w:highlight w:val="none"/>
        </w:rPr>
      </w:pPr>
      <w:r>
        <w:rPr>
          <w:rFonts w:ascii="Times New Roman" w:hAnsi="Times New Roman"/>
          <w:color w:val="auto"/>
          <w:szCs w:val="21"/>
          <w:highlight w:val="none"/>
        </w:rPr>
        <w:t>（4）投标人有下列情形之一的，属于弄虚作假的行为：</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a.使用通过受让或租借等方式获取的资格、资质证书投标；</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b.使用伪造、变造的许可证件；</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c.提供虚假的财务状况或业绩；</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d.提供虚假的项目经理或主要技术人员简历、劳动关系证明；</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e.提供虚假的信用状况；</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f.其他弄虚作假的行为。</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3.7 投标文件的澄清、说明或补正</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3.7.1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3.7.2 澄清、说明或补正不得超出投标文件的范围且不得改变投标文件的实质性内容，并构成投标文件的组成部分。</w:t>
      </w:r>
    </w:p>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3.7.3 评标委员会对投标人提交的澄清、说明或补正有疑问的，可以要求投标人进一步澄清、说明或补正，直至满足评标委员会的要求。</w:t>
      </w:r>
    </w:p>
    <w:p>
      <w:pPr>
        <w:pStyle w:val="4"/>
        <w:spacing w:before="0" w:after="0" w:line="500" w:lineRule="exact"/>
        <w:ind w:firstLine="118"/>
        <w:rPr>
          <w:rFonts w:ascii="Times New Roman" w:hAnsi="Times New Roman"/>
          <w:color w:val="auto"/>
          <w:sz w:val="24"/>
          <w:szCs w:val="18"/>
          <w:highlight w:val="none"/>
        </w:rPr>
      </w:pPr>
      <w:r>
        <w:rPr>
          <w:rFonts w:ascii="Times New Roman" w:hAnsi="Times New Roman"/>
          <w:color w:val="auto"/>
          <w:sz w:val="24"/>
          <w:szCs w:val="18"/>
          <w:highlight w:val="none"/>
        </w:rPr>
        <w:t>3.8 评标结果</w:t>
      </w:r>
    </w:p>
    <w:p>
      <w:pPr>
        <w:spacing w:line="500" w:lineRule="exact"/>
        <w:ind w:firstLine="352" w:firstLineChars="168"/>
        <w:rPr>
          <w:rFonts w:ascii="Times New Roman" w:hAnsi="Times New Roman"/>
          <w:color w:val="auto"/>
          <w:highlight w:val="none"/>
        </w:rPr>
      </w:pPr>
      <w:r>
        <w:rPr>
          <w:rFonts w:ascii="Times New Roman" w:hAnsi="Times New Roman"/>
          <w:color w:val="auto"/>
          <w:highlight w:val="none"/>
        </w:rPr>
        <w:t xml:space="preserve">3.8.1 </w:t>
      </w:r>
      <w:r>
        <w:rPr>
          <w:rFonts w:ascii="Times New Roman" w:hAnsi="Times New Roman"/>
          <w:color w:val="auto"/>
          <w:szCs w:val="24"/>
          <w:highlight w:val="none"/>
        </w:rPr>
        <w:t>除第二章投标人须知前附表授权直接确定中标人外，评标委员会按照得分由高到低的顺序推荐中标候选人，并标明排列顺序。</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highlight w:val="none"/>
        </w:rPr>
        <w:t>3.8.2 评标委员会完成评标后，</w:t>
      </w:r>
      <w:r>
        <w:rPr>
          <w:rFonts w:ascii="Times New Roman" w:hAnsi="Times New Roman"/>
          <w:color w:val="auto"/>
          <w:szCs w:val="21"/>
          <w:highlight w:val="none"/>
        </w:rPr>
        <w:t>应当向招标人提交评标报告。评标报告应当如实记载以下内容：</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（1）基本情况和数据表；</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（2）评标委员会成员名单；</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（3）开标记录；</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（4）符合要求的投标人一览表；</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（5）否决投标情况说明；</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（6）评标标准、评标方法或者评标因素一览表；</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（7）评分比较一览表；</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（8）经评审的投标人排序；</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（9）推荐的中标候选人名单与签订合同前要处理的事宜；</w:t>
      </w:r>
    </w:p>
    <w:p>
      <w:pPr>
        <w:snapToGrid w:val="0"/>
        <w:spacing w:line="5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（10）澄清、说明事项纪要。</w:t>
      </w:r>
    </w:p>
    <w:p>
      <w:pPr>
        <w:snapToGrid w:val="0"/>
        <w:spacing w:line="360" w:lineRule="auto"/>
        <w:ind w:firstLine="420" w:firstLineChars="200"/>
        <w:rPr>
          <w:rFonts w:ascii="Times New Roman" w:hAnsi="Times New Roman"/>
          <w:color w:val="auto"/>
          <w:szCs w:val="21"/>
          <w:highlight w:val="none"/>
        </w:rPr>
      </w:pPr>
    </w:p>
    <w:p>
      <w:pPr>
        <w:snapToGrid w:val="0"/>
        <w:spacing w:line="360" w:lineRule="auto"/>
        <w:ind w:firstLine="420" w:firstLineChars="200"/>
        <w:rPr>
          <w:rFonts w:ascii="Times New Roman" w:hAnsi="Times New Roman"/>
          <w:color w:val="auto"/>
          <w:szCs w:val="21"/>
          <w:highlight w:val="none"/>
        </w:rPr>
      </w:pPr>
    </w:p>
    <w:p>
      <w:pPr>
        <w:snapToGrid w:val="0"/>
        <w:spacing w:line="360" w:lineRule="auto"/>
        <w:ind w:firstLine="420" w:firstLineChars="200"/>
        <w:rPr>
          <w:rFonts w:ascii="Times New Roman" w:hAnsi="Times New Roman"/>
          <w:color w:val="auto"/>
          <w:szCs w:val="21"/>
          <w:highlight w:val="none"/>
        </w:rPr>
      </w:pPr>
    </w:p>
    <w:p>
      <w:pPr>
        <w:spacing w:before="240" w:beforeLines="100" w:after="240" w:afterLines="100" w:line="500" w:lineRule="exact"/>
        <w:jc w:val="both"/>
        <w:outlineLvl w:val="9"/>
        <w:rPr>
          <w:rStyle w:val="53"/>
          <w:rFonts w:hint="eastAsia" w:ascii="黑体" w:hAnsi="黑体" w:eastAsia="黑体" w:cs="黑体"/>
          <w:color w:val="auto"/>
          <w:sz w:val="32"/>
          <w:szCs w:val="32"/>
          <w:highlight w:val="none"/>
        </w:rPr>
      </w:pPr>
      <w:bookmarkStart w:id="381" w:name="_Toc247085853"/>
      <w:bookmarkStart w:id="382" w:name="_Toc179632787"/>
      <w:bookmarkStart w:id="383" w:name="_Toc246997081"/>
      <w:bookmarkStart w:id="384" w:name="_Toc246996338"/>
      <w:bookmarkStart w:id="385" w:name="_Toc300835199"/>
      <w:bookmarkStart w:id="386" w:name="_Toc144974829"/>
      <w:bookmarkStart w:id="387" w:name="_Toc144974578"/>
      <w:bookmarkStart w:id="388" w:name="_Toc152042549"/>
      <w:bookmarkStart w:id="389" w:name="_Toc152042388"/>
      <w:bookmarkStart w:id="390" w:name="_Toc152045610"/>
      <w:bookmarkStart w:id="391" w:name="_Toc247527798"/>
      <w:bookmarkStart w:id="392" w:name="_Toc247514197"/>
      <w:bookmarkStart w:id="393" w:name="_Toc184635122"/>
    </w:p>
    <w:p>
      <w:pPr>
        <w:spacing w:before="240" w:beforeLines="100" w:after="240" w:afterLines="100" w:line="500" w:lineRule="exact"/>
        <w:jc w:val="center"/>
        <w:outlineLvl w:val="9"/>
        <w:rPr>
          <w:rStyle w:val="53"/>
          <w:rFonts w:hint="eastAsia" w:ascii="黑体" w:hAnsi="黑体" w:eastAsia="黑体" w:cs="黑体"/>
          <w:color w:val="auto"/>
          <w:sz w:val="32"/>
          <w:szCs w:val="32"/>
          <w:highlight w:val="none"/>
        </w:rPr>
      </w:pPr>
    </w:p>
    <w:p>
      <w:pPr>
        <w:spacing w:before="240" w:beforeLines="100" w:after="240" w:afterLines="100" w:line="500" w:lineRule="exact"/>
        <w:jc w:val="both"/>
        <w:outlineLvl w:val="9"/>
        <w:rPr>
          <w:rStyle w:val="53"/>
          <w:rFonts w:hint="eastAsia" w:ascii="黑体" w:hAnsi="黑体" w:eastAsia="黑体" w:cs="黑体"/>
          <w:color w:val="auto"/>
          <w:sz w:val="32"/>
          <w:szCs w:val="32"/>
          <w:highlight w:val="none"/>
        </w:rPr>
      </w:pPr>
    </w:p>
    <w:p>
      <w:pPr>
        <w:spacing w:before="240" w:beforeLines="100" w:after="240" w:afterLines="100" w:line="500" w:lineRule="exact"/>
        <w:jc w:val="center"/>
        <w:outlineLvl w:val="9"/>
        <w:rPr>
          <w:rStyle w:val="53"/>
          <w:rFonts w:hint="eastAsia" w:ascii="黑体" w:hAnsi="黑体" w:eastAsia="黑体" w:cs="黑体"/>
          <w:color w:val="auto"/>
          <w:sz w:val="32"/>
          <w:szCs w:val="32"/>
          <w:highlight w:val="none"/>
        </w:rPr>
      </w:pPr>
    </w:p>
    <w:p>
      <w:pPr>
        <w:spacing w:before="240" w:beforeLines="100" w:after="240" w:afterLines="100" w:line="500" w:lineRule="exact"/>
        <w:jc w:val="center"/>
        <w:outlineLvl w:val="9"/>
        <w:rPr>
          <w:rStyle w:val="53"/>
          <w:rFonts w:hint="eastAsia" w:ascii="黑体" w:hAnsi="黑体" w:eastAsia="黑体" w:cs="黑体"/>
          <w:color w:val="auto"/>
          <w:sz w:val="32"/>
          <w:szCs w:val="32"/>
          <w:highlight w:val="none"/>
        </w:rPr>
      </w:pPr>
    </w:p>
    <w:p>
      <w:pPr>
        <w:spacing w:before="240" w:beforeLines="100" w:after="240" w:afterLines="100" w:line="500" w:lineRule="exact"/>
        <w:jc w:val="center"/>
        <w:outlineLvl w:val="9"/>
        <w:rPr>
          <w:rStyle w:val="53"/>
          <w:rFonts w:hint="eastAsia" w:ascii="黑体" w:hAnsi="黑体" w:eastAsia="黑体" w:cs="黑体"/>
          <w:color w:val="auto"/>
          <w:sz w:val="32"/>
          <w:szCs w:val="32"/>
          <w:highlight w:val="none"/>
        </w:rPr>
      </w:pPr>
    </w:p>
    <w:p>
      <w:pPr>
        <w:spacing w:before="240" w:beforeLines="100" w:after="240" w:afterLines="100" w:line="500" w:lineRule="exact"/>
        <w:jc w:val="center"/>
        <w:outlineLvl w:val="9"/>
        <w:rPr>
          <w:rStyle w:val="53"/>
          <w:rFonts w:hint="eastAsia" w:ascii="黑体" w:hAnsi="黑体" w:eastAsia="黑体" w:cs="黑体"/>
          <w:color w:val="auto"/>
          <w:sz w:val="32"/>
          <w:szCs w:val="32"/>
          <w:highlight w:val="none"/>
        </w:rPr>
      </w:pPr>
    </w:p>
    <w:p>
      <w:pPr>
        <w:spacing w:before="240" w:beforeLines="100" w:after="240" w:afterLines="100" w:line="500" w:lineRule="exact"/>
        <w:jc w:val="center"/>
        <w:outlineLvl w:val="9"/>
        <w:rPr>
          <w:rStyle w:val="53"/>
          <w:rFonts w:hint="eastAsia" w:ascii="黑体" w:hAnsi="黑体" w:eastAsia="黑体" w:cs="黑体"/>
          <w:color w:val="auto"/>
          <w:sz w:val="32"/>
          <w:szCs w:val="32"/>
          <w:highlight w:val="none"/>
        </w:rPr>
      </w:pPr>
    </w:p>
    <w:p>
      <w:pPr>
        <w:spacing w:before="240" w:beforeLines="100" w:after="240" w:afterLines="100" w:line="500" w:lineRule="exact"/>
        <w:jc w:val="center"/>
        <w:outlineLvl w:val="0"/>
        <w:rPr>
          <w:rStyle w:val="53"/>
          <w:rFonts w:hint="eastAsia" w:ascii="黑体" w:hAnsi="黑体" w:eastAsia="黑体" w:cs="黑体"/>
          <w:color w:val="auto"/>
          <w:sz w:val="32"/>
          <w:szCs w:val="32"/>
          <w:highlight w:val="none"/>
        </w:rPr>
      </w:pPr>
      <w:bookmarkStart w:id="394" w:name="_Toc31310"/>
      <w:r>
        <w:rPr>
          <w:rStyle w:val="53"/>
          <w:rFonts w:hint="eastAsia" w:ascii="黑体" w:hAnsi="黑体" w:eastAsia="黑体" w:cs="黑体"/>
          <w:color w:val="auto"/>
          <w:sz w:val="32"/>
          <w:szCs w:val="32"/>
          <w:highlight w:val="none"/>
        </w:rPr>
        <w:t>第四章  合 同</w:t>
      </w:r>
      <w:bookmarkEnd w:id="394"/>
    </w:p>
    <w:p>
      <w:pPr>
        <w:spacing w:line="0" w:lineRule="atLeast"/>
        <w:jc w:val="center"/>
        <w:rPr>
          <w:rFonts w:hint="eastAsia" w:ascii="宋体" w:hAnsi="宋体"/>
          <w:b/>
          <w:bCs/>
          <w:color w:val="auto"/>
          <w:sz w:val="44"/>
          <w:szCs w:val="44"/>
          <w:highlight w:val="none"/>
          <w:lang w:val="en-US"/>
        </w:rPr>
      </w:pPr>
      <w:r>
        <w:rPr>
          <w:rFonts w:hint="eastAsia" w:ascii="宋体" w:hAnsi="宋体"/>
          <w:b/>
          <w:bCs/>
          <w:color w:val="auto"/>
          <w:sz w:val="44"/>
          <w:szCs w:val="44"/>
          <w:highlight w:val="none"/>
          <w:lang w:val="en-US" w:eastAsia="zh-CN"/>
        </w:rPr>
        <w:t>2025年度体育赛事综合宣传服务合同</w:t>
      </w:r>
    </w:p>
    <w:p>
      <w:pPr>
        <w:spacing w:line="240" w:lineRule="atLeast"/>
        <w:jc w:val="left"/>
        <w:rPr>
          <w:rFonts w:hint="eastAsia" w:ascii="宋体" w:hAnsi="宋体" w:eastAsia="宋体" w:cs="宋体"/>
          <w:b/>
          <w:color w:val="000000"/>
          <w:sz w:val="21"/>
          <w:szCs w:val="21"/>
        </w:rPr>
      </w:pPr>
    </w:p>
    <w:p>
      <w:pPr>
        <w:spacing w:line="240" w:lineRule="atLeast"/>
        <w:jc w:val="left"/>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甲方：</w:t>
      </w:r>
    </w:p>
    <w:p>
      <w:pPr>
        <w:spacing w:line="400" w:lineRule="atLeast"/>
        <w:outlineLvl w:val="1"/>
        <w:rPr>
          <w:rFonts w:hint="eastAsia" w:ascii="宋体" w:hAnsi="宋体" w:eastAsia="宋体" w:cs="宋体"/>
          <w:b/>
          <w:color w:val="000000"/>
          <w:sz w:val="21"/>
          <w:szCs w:val="21"/>
        </w:rPr>
      </w:pPr>
      <w:bookmarkStart w:id="395" w:name="_Toc6862"/>
      <w:r>
        <w:rPr>
          <w:rFonts w:hint="eastAsia" w:ascii="宋体" w:hAnsi="宋体" w:eastAsia="宋体" w:cs="宋体"/>
          <w:b/>
          <w:color w:val="000000"/>
          <w:sz w:val="21"/>
          <w:szCs w:val="21"/>
        </w:rPr>
        <w:t>乙方：</w:t>
      </w:r>
      <w:bookmarkEnd w:id="395"/>
    </w:p>
    <w:p>
      <w:pPr>
        <w:snapToGrid w:val="0"/>
        <w:spacing w:line="400" w:lineRule="atLeast"/>
        <w:ind w:firstLine="420" w:firstLineChars="200"/>
        <w:jc w:val="left"/>
        <w:rPr>
          <w:rFonts w:hint="eastAsia" w:ascii="宋体" w:hAnsi="宋体" w:eastAsia="宋体" w:cs="宋体"/>
          <w:color w:val="000000"/>
          <w:sz w:val="21"/>
          <w:szCs w:val="21"/>
        </w:rPr>
      </w:pPr>
    </w:p>
    <w:p>
      <w:pPr>
        <w:keepNext w:val="0"/>
        <w:keepLines w:val="0"/>
        <w:pageBreakBefore w:val="0"/>
        <w:widowControl w:val="0"/>
        <w:numPr>
          <w:ilvl w:val="0"/>
          <w:numId w:val="3"/>
        </w:numPr>
        <w:kinsoku/>
        <w:wordWrap/>
        <w:overflowPunct/>
        <w:topLinePunct w:val="0"/>
        <w:autoSpaceDE/>
        <w:autoSpaceDN/>
        <w:bidi w:val="0"/>
        <w:snapToGrid w:val="0"/>
        <w:spacing w:line="36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乙双方根据《中华人民共和国</w:t>
      </w:r>
      <w:r>
        <w:rPr>
          <w:rFonts w:hint="eastAsia" w:ascii="仿宋_GB2312" w:hAnsi="仿宋_GB2312" w:eastAsia="仿宋_GB2312" w:cs="仿宋_GB2312"/>
          <w:color w:val="000000"/>
          <w:sz w:val="24"/>
          <w:szCs w:val="24"/>
          <w:lang w:val="en-US" w:eastAsia="zh-CN"/>
        </w:rPr>
        <w:t>民</w:t>
      </w:r>
      <w:r>
        <w:rPr>
          <w:rFonts w:hint="eastAsia" w:ascii="仿宋_GB2312" w:hAnsi="仿宋_GB2312" w:eastAsia="仿宋_GB2312" w:cs="仿宋_GB2312"/>
          <w:color w:val="000000"/>
          <w:sz w:val="24"/>
          <w:szCs w:val="24"/>
        </w:rPr>
        <w:t>法</w:t>
      </w:r>
      <w:r>
        <w:rPr>
          <w:rFonts w:hint="eastAsia" w:ascii="仿宋_GB2312" w:hAnsi="仿宋_GB2312" w:eastAsia="仿宋_GB2312" w:cs="仿宋_GB2312"/>
          <w:color w:val="000000"/>
          <w:sz w:val="24"/>
          <w:szCs w:val="24"/>
          <w:lang w:val="en-US" w:eastAsia="zh-CN"/>
        </w:rPr>
        <w:t>典</w:t>
      </w:r>
      <w:r>
        <w:rPr>
          <w:rFonts w:hint="eastAsia" w:ascii="仿宋_GB2312" w:hAnsi="仿宋_GB2312" w:eastAsia="仿宋_GB2312" w:cs="仿宋_GB2312"/>
          <w:color w:val="000000"/>
          <w:sz w:val="24"/>
          <w:szCs w:val="24"/>
        </w:rPr>
        <w:t>》及有关法律法规，按照平等、互惠、互利的原则，经共同协商，就</w:t>
      </w:r>
      <w:r>
        <w:rPr>
          <w:rFonts w:hint="eastAsia" w:ascii="仿宋_GB2312" w:hAnsi="仿宋_GB2312" w:eastAsia="仿宋_GB2312" w:cs="仿宋_GB2312"/>
          <w:b/>
          <w:bCs/>
          <w:color w:val="000000"/>
          <w:sz w:val="24"/>
          <w:szCs w:val="24"/>
          <w:u w:val="single"/>
          <w:lang w:val="en-US" w:eastAsia="zh-CN"/>
        </w:rPr>
        <w:t>乙方向甲方提供2025年度体育赛事综合宣传服务</w:t>
      </w:r>
      <w:r>
        <w:rPr>
          <w:rFonts w:hint="eastAsia" w:ascii="仿宋_GB2312" w:hAnsi="仿宋_GB2312" w:eastAsia="仿宋_GB2312" w:cs="仿宋_GB2312"/>
          <w:color w:val="000000"/>
          <w:sz w:val="24"/>
          <w:szCs w:val="24"/>
        </w:rPr>
        <w:t>的有关事项签</w:t>
      </w:r>
      <w:r>
        <w:rPr>
          <w:rFonts w:hint="eastAsia" w:ascii="仿宋_GB2312" w:hAnsi="仿宋_GB2312" w:eastAsia="仿宋_GB2312" w:cs="仿宋_GB2312"/>
          <w:color w:val="000000"/>
          <w:sz w:val="24"/>
          <w:szCs w:val="24"/>
          <w:lang w:val="en-US" w:eastAsia="zh-CN"/>
        </w:rPr>
        <w:t>订</w:t>
      </w:r>
      <w:r>
        <w:rPr>
          <w:rFonts w:hint="eastAsia" w:ascii="仿宋_GB2312" w:hAnsi="仿宋_GB2312" w:eastAsia="仿宋_GB2312" w:cs="仿宋_GB2312"/>
          <w:color w:val="000000"/>
          <w:sz w:val="24"/>
          <w:szCs w:val="24"/>
        </w:rPr>
        <w:t>本合同，并共同遵守。</w:t>
      </w:r>
    </w:p>
    <w:p>
      <w:pPr>
        <w:keepNext w:val="0"/>
        <w:keepLines w:val="0"/>
        <w:pageBreakBefore w:val="0"/>
        <w:widowControl w:val="0"/>
        <w:kinsoku/>
        <w:wordWrap/>
        <w:overflowPunct/>
        <w:topLinePunct w:val="0"/>
        <w:autoSpaceDE/>
        <w:autoSpaceDN/>
        <w:bidi w:val="0"/>
        <w:spacing w:line="360" w:lineRule="auto"/>
        <w:outlineLvl w:val="1"/>
        <w:rPr>
          <w:rFonts w:hint="eastAsia" w:ascii="仿宋_GB2312" w:hAnsi="仿宋_GB2312" w:eastAsia="仿宋_GB2312" w:cs="仿宋_GB2312"/>
          <w:b/>
          <w:color w:val="000000"/>
          <w:sz w:val="24"/>
          <w:szCs w:val="24"/>
        </w:rPr>
      </w:pPr>
      <w:bookmarkStart w:id="396" w:name="_Toc13747"/>
      <w:r>
        <w:rPr>
          <w:rFonts w:hint="eastAsia" w:ascii="仿宋_GB2312" w:hAnsi="仿宋_GB2312" w:eastAsia="仿宋_GB2312" w:cs="仿宋_GB2312"/>
          <w:b/>
          <w:color w:val="000000"/>
          <w:sz w:val="24"/>
          <w:szCs w:val="24"/>
        </w:rPr>
        <w:t>第一条：乙方为甲方提供的服务内容：</w:t>
      </w:r>
      <w:bookmarkEnd w:id="396"/>
    </w:p>
    <w:p>
      <w:pPr>
        <w:pStyle w:val="116"/>
        <w:keepNext w:val="0"/>
        <w:keepLines w:val="0"/>
        <w:pageBreakBefore w:val="0"/>
        <w:widowControl w:val="0"/>
        <w:tabs>
          <w:tab w:val="clear" w:pos="851"/>
          <w:tab w:val="clear" w:pos="1276"/>
          <w:tab w:val="clear" w:pos="1701"/>
          <w:tab w:val="clear" w:pos="2126"/>
          <w:tab w:val="clear" w:pos="2552"/>
          <w:tab w:val="clear" w:pos="2977"/>
        </w:tabs>
        <w:kinsoku/>
        <w:wordWrap/>
        <w:overflowPunct/>
        <w:topLinePunct w:val="0"/>
        <w:autoSpaceDE/>
        <w:autoSpaceDN/>
        <w:bidi w:val="0"/>
        <w:spacing w:after="0"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eastAsia="zh-CN"/>
        </w:rPr>
        <w:t>在合作期内，乙方为甲方提</w:t>
      </w:r>
      <w:r>
        <w:rPr>
          <w:rFonts w:hint="eastAsia" w:ascii="仿宋_GB2312" w:hAnsi="仿宋_GB2312" w:eastAsia="仿宋_GB2312" w:cs="仿宋_GB2312"/>
          <w:color w:val="000000"/>
          <w:kern w:val="2"/>
          <w:sz w:val="24"/>
          <w:szCs w:val="24"/>
          <w:lang w:val="en-US" w:eastAsia="zh-CN"/>
        </w:rPr>
        <w:t>供体育赛事综合宣传服务内容具体</w:t>
      </w:r>
      <w:r>
        <w:rPr>
          <w:rFonts w:hint="eastAsia" w:ascii="仿宋_GB2312" w:hAnsi="仿宋_GB2312" w:eastAsia="仿宋_GB2312" w:cs="仿宋_GB2312"/>
          <w:color w:val="000000"/>
          <w:kern w:val="2"/>
          <w:sz w:val="24"/>
          <w:szCs w:val="24"/>
          <w:lang w:eastAsia="zh-CN"/>
        </w:rPr>
        <w:t>如下：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b w:val="0"/>
          <w:bCs w:val="0"/>
          <w:sz w:val="24"/>
          <w:szCs w:val="24"/>
        </w:rPr>
        <w:t>赛事宣传（不少于60篇/条）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根据</w:t>
      </w:r>
      <w:r>
        <w:rPr>
          <w:rFonts w:hint="eastAsia" w:ascii="仿宋_GB2312" w:hAnsi="仿宋_GB2312" w:eastAsia="仿宋_GB2312" w:cs="仿宋_GB2312"/>
          <w:b w:val="0"/>
          <w:bCs w:val="0"/>
          <w:sz w:val="24"/>
          <w:szCs w:val="24"/>
          <w:lang w:val="en-US" w:eastAsia="zh-CN"/>
        </w:rPr>
        <w:t>合肥体育中心体育赛事的安排，完成相关赛事的宣传工作（</w:t>
      </w:r>
      <w:r>
        <w:rPr>
          <w:rFonts w:hint="eastAsia" w:ascii="仿宋_GB2312" w:hAnsi="仿宋_GB2312" w:eastAsia="仿宋_GB2312" w:cs="仿宋_GB2312"/>
          <w:b w:val="0"/>
          <w:bCs w:val="0"/>
          <w:sz w:val="24"/>
          <w:szCs w:val="24"/>
        </w:rPr>
        <w:t>包括但不限于：媒体邀请、赛事预热、通稿拟定、</w:t>
      </w:r>
      <w:r>
        <w:rPr>
          <w:rFonts w:hint="eastAsia" w:ascii="仿宋_GB2312" w:hAnsi="仿宋_GB2312" w:eastAsia="仿宋_GB2312" w:cs="仿宋_GB2312"/>
          <w:b w:val="0"/>
          <w:bCs w:val="0"/>
          <w:sz w:val="24"/>
          <w:szCs w:val="24"/>
          <w:lang w:val="en-US" w:eastAsia="zh-CN"/>
        </w:rPr>
        <w:t>宣传</w:t>
      </w:r>
      <w:r>
        <w:rPr>
          <w:rFonts w:hint="eastAsia" w:ascii="仿宋_GB2312" w:hAnsi="仿宋_GB2312" w:eastAsia="仿宋_GB2312" w:cs="仿宋_GB2312"/>
          <w:b w:val="0"/>
          <w:bCs w:val="0"/>
          <w:sz w:val="24"/>
          <w:szCs w:val="24"/>
        </w:rPr>
        <w:t>报道、图片、视频资料提供等内容）</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赛事宣传内容</w:t>
      </w:r>
      <w:r>
        <w:rPr>
          <w:rFonts w:hint="eastAsia" w:ascii="仿宋_GB2312" w:hAnsi="仿宋_GB2312" w:eastAsia="仿宋_GB2312" w:cs="仿宋_GB2312"/>
          <w:b w:val="0"/>
          <w:bCs w:val="0"/>
          <w:sz w:val="24"/>
          <w:szCs w:val="24"/>
        </w:rPr>
        <w:t>在市级及以上主流媒体宣传发布，如党报平台、报纸、网站、客户端、微信公众号、视频号等，做好</w:t>
      </w:r>
      <w:r>
        <w:rPr>
          <w:rFonts w:hint="eastAsia" w:ascii="仿宋_GB2312" w:hAnsi="仿宋_GB2312" w:eastAsia="仿宋_GB2312" w:cs="仿宋_GB2312"/>
          <w:b w:val="0"/>
          <w:bCs w:val="0"/>
          <w:sz w:val="24"/>
          <w:szCs w:val="24"/>
          <w:lang w:val="en-US" w:eastAsia="zh-CN"/>
        </w:rPr>
        <w:t>体育赛事的</w:t>
      </w:r>
      <w:r>
        <w:rPr>
          <w:rFonts w:hint="eastAsia" w:ascii="仿宋_GB2312" w:hAnsi="仿宋_GB2312" w:eastAsia="仿宋_GB2312" w:cs="仿宋_GB2312"/>
          <w:b w:val="0"/>
          <w:bCs w:val="0"/>
          <w:sz w:val="24"/>
          <w:szCs w:val="24"/>
        </w:rPr>
        <w:t>深度宣传报道</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达到宣传</w:t>
      </w:r>
      <w:r>
        <w:rPr>
          <w:rFonts w:hint="eastAsia" w:ascii="仿宋_GB2312" w:hAnsi="仿宋_GB2312" w:eastAsia="仿宋_GB2312" w:cs="仿宋_GB2312"/>
          <w:b w:val="0"/>
          <w:bCs w:val="0"/>
          <w:sz w:val="24"/>
          <w:szCs w:val="24"/>
          <w:lang w:val="en-US" w:eastAsia="zh-CN"/>
        </w:rPr>
        <w:t>体育中心高水平赛事，打造合肥体育中心赛事品牌的目的。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根据</w:t>
      </w:r>
      <w:r>
        <w:rPr>
          <w:rFonts w:hint="eastAsia" w:ascii="仿宋_GB2312" w:hAnsi="仿宋_GB2312" w:eastAsia="仿宋_GB2312" w:cs="仿宋_GB2312"/>
          <w:b w:val="0"/>
          <w:bCs w:val="0"/>
          <w:sz w:val="24"/>
          <w:szCs w:val="24"/>
        </w:rPr>
        <w:t>2024-2025赛季WCBA联赛各重点赛程、主场比赛等撰写系列高质量宣传稿件，</w:t>
      </w:r>
      <w:r>
        <w:rPr>
          <w:rFonts w:hint="eastAsia" w:ascii="仿宋_GB2312" w:hAnsi="仿宋_GB2312" w:eastAsia="仿宋_GB2312" w:cs="仿宋_GB2312"/>
          <w:b w:val="0"/>
          <w:bCs w:val="0"/>
          <w:sz w:val="24"/>
          <w:szCs w:val="24"/>
          <w:lang w:val="en-US" w:eastAsia="zh-CN"/>
        </w:rPr>
        <w:t>宣传内容</w:t>
      </w:r>
      <w:r>
        <w:rPr>
          <w:rFonts w:hint="eastAsia" w:ascii="仿宋_GB2312" w:hAnsi="仿宋_GB2312" w:eastAsia="仿宋_GB2312" w:cs="仿宋_GB2312"/>
          <w:b w:val="0"/>
          <w:bCs w:val="0"/>
          <w:sz w:val="24"/>
          <w:szCs w:val="24"/>
        </w:rPr>
        <w:t>在市级及以上主流媒体宣传发布，如党报平台、报纸、网站、客户端、微信公众号、视频号等，</w:t>
      </w:r>
      <w:r>
        <w:rPr>
          <w:rFonts w:hint="eastAsia" w:ascii="仿宋_GB2312" w:hAnsi="仿宋_GB2312" w:eastAsia="仿宋_GB2312" w:cs="仿宋_GB2312"/>
          <w:b w:val="0"/>
          <w:bCs w:val="0"/>
          <w:sz w:val="24"/>
          <w:szCs w:val="24"/>
          <w:lang w:val="en-US" w:eastAsia="zh-CN"/>
        </w:rPr>
        <w:t>达到</w:t>
      </w:r>
      <w:r>
        <w:rPr>
          <w:rFonts w:hint="eastAsia" w:ascii="仿宋_GB2312" w:hAnsi="仿宋_GB2312" w:eastAsia="仿宋_GB2312" w:cs="仿宋_GB2312"/>
          <w:b w:val="0"/>
          <w:bCs w:val="0"/>
          <w:sz w:val="24"/>
          <w:szCs w:val="24"/>
        </w:rPr>
        <w:t>WCBA联赛的</w:t>
      </w:r>
      <w:r>
        <w:rPr>
          <w:rFonts w:hint="eastAsia" w:ascii="仿宋_GB2312" w:hAnsi="仿宋_GB2312" w:eastAsia="仿宋_GB2312" w:cs="仿宋_GB2312"/>
          <w:b w:val="0"/>
          <w:bCs w:val="0"/>
          <w:sz w:val="24"/>
          <w:szCs w:val="24"/>
          <w:lang w:val="en-US" w:eastAsia="zh-CN"/>
        </w:rPr>
        <w:t>宣传</w:t>
      </w:r>
      <w:r>
        <w:rPr>
          <w:rFonts w:hint="eastAsia" w:ascii="仿宋_GB2312" w:hAnsi="仿宋_GB2312" w:eastAsia="仿宋_GB2312" w:cs="仿宋_GB2312"/>
          <w:b w:val="0"/>
          <w:bCs w:val="0"/>
          <w:sz w:val="24"/>
          <w:szCs w:val="24"/>
        </w:rPr>
        <w:t>深度、以及提升合肥文旅女篮在全市范围内广泛宣传的广度。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szCs w:val="24"/>
          <w:lang w:val="en-US" w:eastAsia="zh-CN"/>
        </w:rPr>
        <w:t>根据2025年度合肥体育中心体育赛事和</w:t>
      </w:r>
      <w:r>
        <w:rPr>
          <w:rFonts w:hint="eastAsia" w:ascii="仿宋_GB2312" w:hAnsi="仿宋_GB2312" w:eastAsia="仿宋_GB2312" w:cs="仿宋_GB2312"/>
          <w:sz w:val="24"/>
          <w:szCs w:val="24"/>
        </w:rPr>
        <w:t>2024-2025赛季WCBA联赛</w:t>
      </w:r>
      <w:r>
        <w:rPr>
          <w:rFonts w:hint="eastAsia" w:ascii="仿宋_GB2312" w:hAnsi="仿宋_GB2312" w:eastAsia="仿宋_GB2312" w:cs="仿宋_GB2312"/>
          <w:sz w:val="24"/>
          <w:szCs w:val="24"/>
          <w:lang w:val="en-US" w:eastAsia="zh-CN"/>
        </w:rPr>
        <w:t>赛程，需整合新媒体资源，通过社交媒体、自媒体、短视频平台、直播等多种形式进行赛事宣传和推广，形成良好的宣传互动效果，提升合肥体育中心和文旅女篮体育品牌形象，助力打造优质的赛事IP。</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二）</w:t>
      </w:r>
      <w:r>
        <w:rPr>
          <w:rFonts w:hint="eastAsia" w:ascii="仿宋_GB2312" w:hAnsi="仿宋_GB2312" w:eastAsia="仿宋_GB2312" w:cs="仿宋_GB2312"/>
          <w:b w:val="0"/>
          <w:bCs w:val="0"/>
          <w:sz w:val="24"/>
          <w:szCs w:val="24"/>
        </w:rPr>
        <w:t>宣传片制作（时长4分钟左右）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通过制作宣传片，展现合肥文旅女篮的形象和专业特色，展示合肥文旅女篮热情积极的精神风貌，传递合肥文旅女篮坚韧不屈、勇敢团结的体育精神，制作出一部能够代表合肥文旅女篮形象的宣传片。宣传片内容涵盖合肥文旅女篮介绍、队员特长，突出合肥文旅女篮在WCBA联赛的重要价值，展现合肥文旅博览集团在体育文化板块的发展成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三）</w:t>
      </w:r>
      <w:r>
        <w:rPr>
          <w:rFonts w:hint="eastAsia" w:ascii="仿宋_GB2312" w:hAnsi="仿宋_GB2312" w:eastAsia="仿宋_GB2312" w:cs="仿宋_GB2312"/>
          <w:b w:val="0"/>
          <w:bCs w:val="0"/>
          <w:sz w:val="24"/>
          <w:szCs w:val="24"/>
        </w:rPr>
        <w:t>赛事直播及其他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根据</w:t>
      </w:r>
      <w:r>
        <w:rPr>
          <w:rFonts w:hint="eastAsia" w:ascii="仿宋_GB2312" w:hAnsi="仿宋_GB2312" w:eastAsia="仿宋_GB2312" w:cs="仿宋_GB2312"/>
          <w:b w:val="0"/>
          <w:bCs w:val="0"/>
          <w:sz w:val="24"/>
          <w:szCs w:val="24"/>
          <w:lang w:val="en-US" w:eastAsia="zh-CN"/>
        </w:rPr>
        <w:t>合肥体育中心2025年度</w:t>
      </w:r>
      <w:r>
        <w:rPr>
          <w:rFonts w:hint="eastAsia" w:ascii="仿宋_GB2312" w:hAnsi="仿宋_GB2312" w:eastAsia="仿宋_GB2312" w:cs="仿宋_GB2312"/>
          <w:b w:val="0"/>
          <w:bCs w:val="0"/>
          <w:sz w:val="24"/>
          <w:szCs w:val="24"/>
        </w:rPr>
        <w:t>其他</w:t>
      </w:r>
      <w:r>
        <w:rPr>
          <w:rFonts w:hint="eastAsia" w:ascii="仿宋_GB2312" w:hAnsi="仿宋_GB2312" w:eastAsia="仿宋_GB2312" w:cs="仿宋_GB2312"/>
          <w:b w:val="0"/>
          <w:bCs w:val="0"/>
          <w:sz w:val="24"/>
          <w:szCs w:val="24"/>
          <w:lang w:val="en-US" w:eastAsia="zh-CN"/>
        </w:rPr>
        <w:t>体育</w:t>
      </w:r>
      <w:r>
        <w:rPr>
          <w:rFonts w:hint="eastAsia" w:ascii="仿宋_GB2312" w:hAnsi="仿宋_GB2312" w:eastAsia="仿宋_GB2312" w:cs="仿宋_GB2312"/>
          <w:b w:val="0"/>
          <w:bCs w:val="0"/>
          <w:sz w:val="24"/>
          <w:szCs w:val="24"/>
        </w:rPr>
        <w:t>赛事</w:t>
      </w:r>
      <w:r>
        <w:rPr>
          <w:rFonts w:hint="eastAsia" w:ascii="仿宋_GB2312" w:hAnsi="仿宋_GB2312" w:eastAsia="仿宋_GB2312" w:cs="仿宋_GB2312"/>
          <w:b w:val="0"/>
          <w:bCs w:val="0"/>
          <w:sz w:val="24"/>
          <w:szCs w:val="24"/>
          <w:lang w:val="en-US" w:eastAsia="zh-CN"/>
        </w:rPr>
        <w:t>和</w:t>
      </w:r>
      <w:r>
        <w:rPr>
          <w:rFonts w:hint="eastAsia" w:ascii="仿宋_GB2312" w:hAnsi="仿宋_GB2312" w:eastAsia="仿宋_GB2312" w:cs="仿宋_GB2312"/>
          <w:b w:val="0"/>
          <w:bCs w:val="0"/>
          <w:sz w:val="24"/>
          <w:szCs w:val="24"/>
        </w:rPr>
        <w:t>2024-2025赛季WCBA联赛</w:t>
      </w:r>
      <w:r>
        <w:rPr>
          <w:rFonts w:hint="eastAsia" w:ascii="仿宋_GB2312" w:hAnsi="仿宋_GB2312" w:eastAsia="仿宋_GB2312" w:cs="仿宋_GB2312"/>
          <w:b w:val="0"/>
          <w:bCs w:val="0"/>
          <w:sz w:val="24"/>
          <w:szCs w:val="24"/>
          <w:lang w:val="en-US" w:eastAsia="zh-CN"/>
        </w:rPr>
        <w:t>的</w:t>
      </w:r>
      <w:r>
        <w:rPr>
          <w:rFonts w:hint="eastAsia" w:ascii="仿宋_GB2312" w:hAnsi="仿宋_GB2312" w:eastAsia="仿宋_GB2312" w:cs="仿宋_GB2312"/>
          <w:b w:val="0"/>
          <w:bCs w:val="0"/>
          <w:sz w:val="24"/>
          <w:szCs w:val="24"/>
        </w:rPr>
        <w:t>宣传需求，提供相关直播服务（1-2个机位）和赛事宣传海报设计服务，相关宣传不定期推送至政府发布平台进行宣传推广。</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四）</w:t>
      </w:r>
      <w:r>
        <w:rPr>
          <w:rFonts w:hint="eastAsia" w:ascii="仿宋_GB2312" w:hAnsi="仿宋_GB2312" w:eastAsia="仿宋_GB2312" w:cs="仿宋_GB2312"/>
          <w:b w:val="0"/>
          <w:bCs w:val="0"/>
          <w:sz w:val="24"/>
          <w:szCs w:val="24"/>
        </w:rPr>
        <w:t>开通专栏、专题页面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在市级网站及APP开通</w:t>
      </w:r>
      <w:r>
        <w:rPr>
          <w:rFonts w:hint="eastAsia" w:ascii="仿宋_GB2312" w:hAnsi="仿宋_GB2312" w:eastAsia="仿宋_GB2312" w:cs="仿宋_GB2312"/>
          <w:sz w:val="24"/>
          <w:szCs w:val="24"/>
          <w:lang w:val="en-US" w:eastAsia="zh-CN"/>
        </w:rPr>
        <w:t>2025年度合肥体育中心体育赛事和</w:t>
      </w:r>
      <w:r>
        <w:rPr>
          <w:rFonts w:hint="eastAsia" w:ascii="仿宋_GB2312" w:hAnsi="仿宋_GB2312" w:eastAsia="仿宋_GB2312" w:cs="仿宋_GB2312"/>
          <w:sz w:val="24"/>
          <w:szCs w:val="24"/>
        </w:rPr>
        <w:t>2024-2025赛季WCBA联赛专栏、专题，同步宣传发布赛事宣传报道，达到宣传</w:t>
      </w:r>
      <w:r>
        <w:rPr>
          <w:rFonts w:hint="eastAsia" w:ascii="仿宋_GB2312" w:hAnsi="仿宋_GB2312" w:eastAsia="仿宋_GB2312" w:cs="仿宋_GB2312"/>
          <w:sz w:val="24"/>
          <w:szCs w:val="24"/>
          <w:lang w:val="en-US" w:eastAsia="zh-CN"/>
        </w:rPr>
        <w:t>相关体育赛事和</w:t>
      </w:r>
      <w:r>
        <w:rPr>
          <w:rFonts w:hint="eastAsia" w:ascii="仿宋_GB2312" w:hAnsi="仿宋_GB2312" w:eastAsia="仿宋_GB2312" w:cs="仿宋_GB2312"/>
          <w:sz w:val="24"/>
          <w:szCs w:val="24"/>
        </w:rPr>
        <w:t>WCBA联赛</w:t>
      </w:r>
      <w:r>
        <w:rPr>
          <w:rFonts w:hint="eastAsia" w:ascii="仿宋_GB2312" w:hAnsi="仿宋_GB2312" w:eastAsia="仿宋_GB2312" w:cs="仿宋_GB2312"/>
          <w:sz w:val="24"/>
          <w:szCs w:val="24"/>
          <w:lang w:val="en-US" w:eastAsia="zh-CN"/>
        </w:rPr>
        <w:t>的目标，扩大合肥体育中心高水平赛事的影响力，</w:t>
      </w:r>
      <w:r>
        <w:rPr>
          <w:rFonts w:hint="eastAsia" w:ascii="仿宋_GB2312" w:hAnsi="仿宋_GB2312" w:eastAsia="仿宋_GB2312" w:cs="仿宋_GB2312"/>
          <w:sz w:val="24"/>
          <w:szCs w:val="24"/>
        </w:rPr>
        <w:t xml:space="preserve">提升合肥文旅女篮在全市范围内广泛宣传的广度。   </w:t>
      </w:r>
    </w:p>
    <w:p>
      <w:pPr>
        <w:pStyle w:val="116"/>
        <w:keepNext w:val="0"/>
        <w:keepLines w:val="0"/>
        <w:pageBreakBefore w:val="0"/>
        <w:widowControl w:val="0"/>
        <w:tabs>
          <w:tab w:val="clear" w:pos="425"/>
          <w:tab w:val="clear" w:pos="851"/>
          <w:tab w:val="clear" w:pos="1276"/>
          <w:tab w:val="clear" w:pos="1701"/>
          <w:tab w:val="clear" w:pos="2126"/>
          <w:tab w:val="clear" w:pos="2552"/>
          <w:tab w:val="clear" w:pos="2977"/>
        </w:tabs>
        <w:kinsoku/>
        <w:wordWrap/>
        <w:overflowPunct/>
        <w:topLinePunct w:val="0"/>
        <w:autoSpaceDE/>
        <w:autoSpaceDN/>
        <w:bidi w:val="0"/>
        <w:adjustRightInd w:val="0"/>
        <w:spacing w:after="0" w:line="360" w:lineRule="auto"/>
        <w:textAlignment w:val="baseline"/>
        <w:outlineLvl w:val="1"/>
        <w:rPr>
          <w:rFonts w:hint="eastAsia" w:ascii="仿宋_GB2312" w:hAnsi="仿宋_GB2312" w:eastAsia="仿宋_GB2312" w:cs="仿宋_GB2312"/>
          <w:b/>
          <w:color w:val="000000"/>
          <w:sz w:val="24"/>
          <w:szCs w:val="24"/>
          <w:lang w:eastAsia="zh-CN"/>
        </w:rPr>
      </w:pPr>
      <w:bookmarkStart w:id="397" w:name="_Toc18694"/>
      <w:r>
        <w:rPr>
          <w:rFonts w:hint="eastAsia" w:ascii="仿宋_GB2312" w:hAnsi="仿宋_GB2312" w:eastAsia="仿宋_GB2312" w:cs="仿宋_GB2312"/>
          <w:b/>
          <w:color w:val="000000"/>
          <w:sz w:val="24"/>
          <w:szCs w:val="24"/>
          <w:lang w:eastAsia="zh-CN"/>
        </w:rPr>
        <w:t>第二条：合同周期</w:t>
      </w:r>
      <w:bookmarkEnd w:id="397"/>
    </w:p>
    <w:p>
      <w:pPr>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本合同</w:t>
      </w:r>
      <w:r>
        <w:rPr>
          <w:rFonts w:hint="eastAsia" w:ascii="仿宋_GB2312" w:hAnsi="仿宋_GB2312" w:eastAsia="仿宋_GB2312" w:cs="仿宋_GB2312"/>
          <w:color w:val="auto"/>
          <w:sz w:val="24"/>
          <w:szCs w:val="24"/>
          <w:highlight w:val="none"/>
        </w:rPr>
        <w:t>自生效之日起，至</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31</w:t>
      </w:r>
      <w:r>
        <w:rPr>
          <w:rFonts w:hint="eastAsia" w:ascii="仿宋_GB2312" w:hAnsi="仿宋_GB2312" w:eastAsia="仿宋_GB2312" w:cs="仿宋_GB2312"/>
          <w:color w:val="auto"/>
          <w:sz w:val="24"/>
          <w:szCs w:val="24"/>
          <w:highlight w:val="none"/>
        </w:rPr>
        <w:t>日。</w:t>
      </w:r>
    </w:p>
    <w:p>
      <w:pPr>
        <w:keepNext w:val="0"/>
        <w:keepLines w:val="0"/>
        <w:pageBreakBefore w:val="0"/>
        <w:widowControl w:val="0"/>
        <w:kinsoku/>
        <w:wordWrap/>
        <w:overflowPunct/>
        <w:topLinePunct w:val="0"/>
        <w:autoSpaceDE/>
        <w:autoSpaceDN/>
        <w:bidi w:val="0"/>
        <w:snapToGrid w:val="0"/>
        <w:spacing w:line="360" w:lineRule="auto"/>
        <w:jc w:val="left"/>
        <w:outlineLvl w:val="1"/>
        <w:rPr>
          <w:rFonts w:hint="eastAsia" w:ascii="仿宋_GB2312" w:hAnsi="仿宋_GB2312" w:eastAsia="仿宋_GB2312" w:cs="仿宋_GB2312"/>
          <w:b/>
          <w:color w:val="000000"/>
          <w:sz w:val="24"/>
          <w:szCs w:val="24"/>
        </w:rPr>
      </w:pPr>
      <w:bookmarkStart w:id="398" w:name="_Toc6005"/>
      <w:r>
        <w:rPr>
          <w:rFonts w:hint="eastAsia" w:ascii="仿宋_GB2312" w:hAnsi="仿宋_GB2312" w:eastAsia="仿宋_GB2312" w:cs="仿宋_GB2312"/>
          <w:b/>
          <w:color w:val="000000"/>
          <w:sz w:val="24"/>
          <w:szCs w:val="24"/>
        </w:rPr>
        <w:t>第三条：付款方式</w:t>
      </w:r>
      <w:bookmarkEnd w:id="398"/>
    </w:p>
    <w:p>
      <w:pPr>
        <w:keepNext w:val="0"/>
        <w:keepLines w:val="0"/>
        <w:pageBreakBefore w:val="0"/>
        <w:widowControl w:val="0"/>
        <w:numPr>
          <w:ilvl w:val="0"/>
          <w:numId w:val="0"/>
        </w:numPr>
        <w:kinsoku/>
        <w:wordWrap/>
        <w:overflowPunct/>
        <w:topLinePunct w:val="0"/>
        <w:autoSpaceDE/>
        <w:autoSpaceDN/>
        <w:bidi w:val="0"/>
        <w:spacing w:line="360" w:lineRule="auto"/>
        <w:ind w:left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待项目执行完毕后，</w:t>
      </w:r>
      <w:r>
        <w:rPr>
          <w:rFonts w:hint="eastAsia" w:ascii="仿宋_GB2312" w:hAnsi="仿宋_GB2312" w:eastAsia="仿宋_GB2312" w:cs="仿宋_GB2312"/>
          <w:bCs/>
          <w:color w:val="auto"/>
          <w:sz w:val="24"/>
          <w:szCs w:val="24"/>
          <w:highlight w:val="none"/>
          <w:lang w:val="en-US" w:eastAsia="zh-CN"/>
        </w:rPr>
        <w:t>在</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十五个</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u w:val="none"/>
          <w:lang w:val="en-US" w:eastAsia="zh-CN"/>
        </w:rPr>
        <w:t>工作日内一次性付清全款</w:t>
      </w:r>
      <w:r>
        <w:rPr>
          <w:rFonts w:hint="eastAsia" w:ascii="仿宋_GB2312" w:hAnsi="仿宋_GB2312" w:eastAsia="仿宋_GB2312" w:cs="仿宋_GB2312"/>
          <w:color w:val="auto"/>
          <w:sz w:val="24"/>
          <w:szCs w:val="24"/>
          <w:highlight w:val="none"/>
        </w:rPr>
        <w:t>。</w:t>
      </w:r>
    </w:p>
    <w:p>
      <w:pPr>
        <w:pStyle w:val="116"/>
        <w:keepNext w:val="0"/>
        <w:keepLines w:val="0"/>
        <w:pageBreakBefore w:val="0"/>
        <w:widowControl w:val="0"/>
        <w:kinsoku/>
        <w:wordWrap/>
        <w:overflowPunct/>
        <w:topLinePunct w:val="0"/>
        <w:autoSpaceDE/>
        <w:autoSpaceDN/>
        <w:bidi w:val="0"/>
        <w:spacing w:line="360" w:lineRule="auto"/>
        <w:outlineLvl w:val="1"/>
        <w:rPr>
          <w:rFonts w:hint="eastAsia" w:ascii="仿宋_GB2312" w:hAnsi="仿宋_GB2312" w:eastAsia="仿宋_GB2312" w:cs="仿宋_GB2312"/>
          <w:color w:val="000000"/>
          <w:kern w:val="2"/>
          <w:sz w:val="24"/>
          <w:szCs w:val="24"/>
          <w:lang w:eastAsia="zh-CN"/>
        </w:rPr>
      </w:pPr>
      <w:bookmarkStart w:id="399" w:name="_Toc13726"/>
      <w:r>
        <w:rPr>
          <w:rFonts w:hint="eastAsia" w:ascii="仿宋_GB2312" w:hAnsi="仿宋_GB2312" w:eastAsia="仿宋_GB2312" w:cs="仿宋_GB2312"/>
          <w:b/>
          <w:color w:val="000000"/>
          <w:kern w:val="2"/>
          <w:sz w:val="24"/>
          <w:szCs w:val="24"/>
          <w:lang w:eastAsia="zh-CN"/>
        </w:rPr>
        <w:t>第五条：甲方权利和义务</w:t>
      </w:r>
      <w:bookmarkEnd w:id="399"/>
    </w:p>
    <w:p>
      <w:pPr>
        <w:pStyle w:val="116"/>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val="en-US" w:eastAsia="zh-CN"/>
        </w:rPr>
        <w:t>（一）</w:t>
      </w:r>
      <w:r>
        <w:rPr>
          <w:rFonts w:hint="eastAsia" w:ascii="仿宋_GB2312" w:hAnsi="仿宋_GB2312" w:eastAsia="仿宋_GB2312" w:cs="仿宋_GB2312"/>
          <w:color w:val="000000"/>
          <w:kern w:val="2"/>
          <w:sz w:val="24"/>
          <w:szCs w:val="24"/>
          <w:lang w:eastAsia="zh-CN"/>
        </w:rPr>
        <w:t>甲方与乙方及时交流</w:t>
      </w:r>
      <w:r>
        <w:rPr>
          <w:rFonts w:hint="eastAsia" w:ascii="仿宋_GB2312" w:hAnsi="仿宋_GB2312" w:eastAsia="仿宋_GB2312" w:cs="仿宋_GB2312"/>
          <w:color w:val="000000"/>
          <w:kern w:val="2"/>
          <w:sz w:val="24"/>
          <w:szCs w:val="24"/>
          <w:lang w:val="en-US" w:eastAsia="zh-CN"/>
        </w:rPr>
        <w:t>活动需求等相关</w:t>
      </w:r>
      <w:r>
        <w:rPr>
          <w:rFonts w:hint="eastAsia" w:ascii="仿宋_GB2312" w:hAnsi="仿宋_GB2312" w:eastAsia="仿宋_GB2312" w:cs="仿宋_GB2312"/>
          <w:color w:val="000000"/>
          <w:kern w:val="2"/>
          <w:sz w:val="24"/>
          <w:szCs w:val="24"/>
          <w:lang w:eastAsia="zh-CN"/>
        </w:rPr>
        <w:t>信息，并在</w:t>
      </w:r>
      <w:r>
        <w:rPr>
          <w:rFonts w:hint="eastAsia" w:ascii="仿宋_GB2312" w:hAnsi="仿宋_GB2312" w:eastAsia="仿宋_GB2312" w:cs="仿宋_GB2312"/>
          <w:color w:val="000000"/>
          <w:kern w:val="2"/>
          <w:sz w:val="24"/>
          <w:szCs w:val="24"/>
          <w:lang w:val="en-US" w:eastAsia="zh-CN"/>
        </w:rPr>
        <w:t>执行</w:t>
      </w:r>
      <w:r>
        <w:rPr>
          <w:rFonts w:hint="eastAsia" w:ascii="仿宋_GB2312" w:hAnsi="仿宋_GB2312" w:eastAsia="仿宋_GB2312" w:cs="仿宋_GB2312"/>
          <w:color w:val="000000"/>
          <w:kern w:val="2"/>
          <w:sz w:val="24"/>
          <w:szCs w:val="24"/>
          <w:lang w:eastAsia="zh-CN"/>
        </w:rPr>
        <w:t>过程中给予必要的</w:t>
      </w:r>
      <w:r>
        <w:rPr>
          <w:rFonts w:hint="eastAsia" w:ascii="仿宋_GB2312" w:hAnsi="仿宋_GB2312" w:eastAsia="仿宋_GB2312" w:cs="仿宋_GB2312"/>
          <w:color w:val="000000"/>
          <w:kern w:val="2"/>
          <w:sz w:val="24"/>
          <w:szCs w:val="24"/>
          <w:lang w:val="en-US" w:eastAsia="zh-CN"/>
        </w:rPr>
        <w:t>活动</w:t>
      </w:r>
      <w:r>
        <w:rPr>
          <w:rFonts w:hint="eastAsia" w:ascii="仿宋_GB2312" w:hAnsi="仿宋_GB2312" w:eastAsia="仿宋_GB2312" w:cs="仿宋_GB2312"/>
          <w:color w:val="000000"/>
          <w:kern w:val="2"/>
          <w:sz w:val="24"/>
          <w:szCs w:val="24"/>
          <w:lang w:eastAsia="zh-CN"/>
        </w:rPr>
        <w:t>信息咨询及人员等方面的配合。</w:t>
      </w:r>
    </w:p>
    <w:p>
      <w:pPr>
        <w:pStyle w:val="116"/>
        <w:keepNext w:val="0"/>
        <w:keepLines w:val="0"/>
        <w:pageBreakBefore w:val="0"/>
        <w:widowControl w:val="0"/>
        <w:kinsoku/>
        <w:wordWrap/>
        <w:overflowPunct/>
        <w:topLinePunct w:val="0"/>
        <w:autoSpaceDE/>
        <w:autoSpaceDN/>
        <w:bidi w:val="0"/>
        <w:spacing w:line="360" w:lineRule="auto"/>
        <w:outlineLvl w:val="2"/>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二）</w:t>
      </w:r>
      <w:r>
        <w:rPr>
          <w:rFonts w:hint="eastAsia" w:ascii="仿宋_GB2312" w:hAnsi="仿宋_GB2312" w:eastAsia="仿宋_GB2312" w:cs="仿宋_GB2312"/>
          <w:color w:val="000000"/>
          <w:kern w:val="2"/>
          <w:sz w:val="24"/>
          <w:szCs w:val="24"/>
          <w:lang w:eastAsia="zh-CN"/>
        </w:rPr>
        <w:t>甲方须按合同第</w:t>
      </w:r>
      <w:r>
        <w:rPr>
          <w:rFonts w:hint="eastAsia" w:ascii="仿宋_GB2312" w:hAnsi="仿宋_GB2312" w:eastAsia="仿宋_GB2312" w:cs="仿宋_GB2312"/>
          <w:color w:val="000000"/>
          <w:kern w:val="2"/>
          <w:sz w:val="24"/>
          <w:szCs w:val="24"/>
          <w:lang w:val="en-US" w:eastAsia="zh-CN"/>
        </w:rPr>
        <w:t>三</w:t>
      </w:r>
      <w:r>
        <w:rPr>
          <w:rFonts w:hint="eastAsia" w:ascii="仿宋_GB2312" w:hAnsi="仿宋_GB2312" w:eastAsia="仿宋_GB2312" w:cs="仿宋_GB2312"/>
          <w:color w:val="000000"/>
          <w:kern w:val="2"/>
          <w:sz w:val="24"/>
          <w:szCs w:val="24"/>
          <w:lang w:eastAsia="zh-CN"/>
        </w:rPr>
        <w:t>条中的约定，向乙方支付费用。</w:t>
      </w:r>
    </w:p>
    <w:p>
      <w:pPr>
        <w:pStyle w:val="116"/>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b/>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三）</w:t>
      </w:r>
      <w:r>
        <w:rPr>
          <w:rFonts w:hint="eastAsia" w:ascii="仿宋_GB2312" w:hAnsi="仿宋_GB2312" w:eastAsia="仿宋_GB2312" w:cs="仿宋_GB2312"/>
          <w:color w:val="000000"/>
          <w:kern w:val="2"/>
          <w:sz w:val="24"/>
          <w:szCs w:val="24"/>
          <w:lang w:eastAsia="zh-CN"/>
        </w:rPr>
        <w:t>甲方对其提供的文件、资料享有著作权及使用权，乙方仅可依据合同约定进行</w:t>
      </w:r>
      <w:r>
        <w:rPr>
          <w:rFonts w:hint="eastAsia" w:ascii="仿宋_GB2312" w:hAnsi="仿宋_GB2312" w:eastAsia="仿宋_GB2312" w:cs="仿宋_GB2312"/>
          <w:color w:val="000000"/>
          <w:kern w:val="2"/>
          <w:sz w:val="24"/>
          <w:szCs w:val="24"/>
          <w:lang w:val="en-US" w:eastAsia="zh-CN"/>
        </w:rPr>
        <w:t>使用</w:t>
      </w:r>
      <w:r>
        <w:rPr>
          <w:rFonts w:hint="eastAsia" w:ascii="仿宋_GB2312" w:hAnsi="仿宋_GB2312" w:eastAsia="仿宋_GB2312" w:cs="仿宋_GB2312"/>
          <w:color w:val="000000"/>
          <w:kern w:val="2"/>
          <w:sz w:val="24"/>
          <w:szCs w:val="24"/>
          <w:lang w:eastAsia="zh-CN"/>
        </w:rPr>
        <w:t>，不得用于其他任何用途或许可第三方使用，否则甲方有权追究乙方由此给甲方造成的损失。</w:t>
      </w:r>
    </w:p>
    <w:p>
      <w:pPr>
        <w:pStyle w:val="116"/>
        <w:keepNext w:val="0"/>
        <w:keepLines w:val="0"/>
        <w:pageBreakBefore w:val="0"/>
        <w:widowControl w:val="0"/>
        <w:kinsoku/>
        <w:wordWrap/>
        <w:overflowPunct/>
        <w:topLinePunct w:val="0"/>
        <w:autoSpaceDE/>
        <w:autoSpaceDN/>
        <w:bidi w:val="0"/>
        <w:spacing w:line="360" w:lineRule="auto"/>
        <w:outlineLvl w:val="1"/>
        <w:rPr>
          <w:rFonts w:hint="eastAsia" w:ascii="仿宋_GB2312" w:hAnsi="仿宋_GB2312" w:eastAsia="仿宋_GB2312" w:cs="仿宋_GB2312"/>
          <w:color w:val="000000"/>
          <w:kern w:val="2"/>
          <w:sz w:val="24"/>
          <w:szCs w:val="24"/>
          <w:lang w:eastAsia="zh-CN"/>
        </w:rPr>
      </w:pPr>
      <w:bookmarkStart w:id="400" w:name="_Toc5813"/>
      <w:r>
        <w:rPr>
          <w:rFonts w:hint="eastAsia" w:ascii="仿宋_GB2312" w:hAnsi="仿宋_GB2312" w:eastAsia="仿宋_GB2312" w:cs="仿宋_GB2312"/>
          <w:b/>
          <w:color w:val="000000"/>
          <w:kern w:val="2"/>
          <w:sz w:val="24"/>
          <w:szCs w:val="24"/>
          <w:lang w:eastAsia="zh-CN"/>
        </w:rPr>
        <w:t>第六条：乙方义务</w:t>
      </w:r>
      <w:bookmarkEnd w:id="400"/>
    </w:p>
    <w:p>
      <w:pPr>
        <w:pStyle w:val="116"/>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一）</w:t>
      </w:r>
      <w:r>
        <w:rPr>
          <w:rFonts w:hint="eastAsia" w:ascii="仿宋_GB2312" w:hAnsi="仿宋_GB2312" w:eastAsia="仿宋_GB2312" w:cs="仿宋_GB2312"/>
          <w:color w:val="000000"/>
          <w:kern w:val="2"/>
          <w:sz w:val="24"/>
          <w:szCs w:val="24"/>
          <w:lang w:eastAsia="zh-CN"/>
        </w:rPr>
        <w:t>乙方须按合同第一条中的约定，认真、严谨地实施承诺甲方的服务内容。</w:t>
      </w:r>
    </w:p>
    <w:p>
      <w:pPr>
        <w:pStyle w:val="116"/>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二）</w:t>
      </w:r>
      <w:r>
        <w:rPr>
          <w:rFonts w:hint="eastAsia" w:ascii="仿宋_GB2312" w:hAnsi="仿宋_GB2312" w:eastAsia="仿宋_GB2312" w:cs="仿宋_GB2312"/>
          <w:color w:val="000000"/>
          <w:kern w:val="2"/>
          <w:sz w:val="24"/>
          <w:szCs w:val="24"/>
          <w:lang w:eastAsia="zh-CN"/>
        </w:rPr>
        <w:t>乙方承诺对甲方履行本合同所提供的资料及其他商业机密负有保密义务，并采取一切合理的措施以使其所接受的资料免于散发、传播、批露、复制、滥用及被无关人员接触。</w:t>
      </w:r>
    </w:p>
    <w:p>
      <w:pPr>
        <w:pStyle w:val="116"/>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三）</w:t>
      </w:r>
      <w:r>
        <w:rPr>
          <w:rFonts w:hint="eastAsia" w:ascii="仿宋_GB2312" w:hAnsi="仿宋_GB2312" w:eastAsia="仿宋_GB2312" w:cs="仿宋_GB2312"/>
          <w:color w:val="000000"/>
          <w:kern w:val="2"/>
          <w:sz w:val="24"/>
          <w:szCs w:val="24"/>
          <w:lang w:eastAsia="zh-CN"/>
        </w:rPr>
        <w:t>若乙方的</w:t>
      </w:r>
      <w:r>
        <w:rPr>
          <w:rFonts w:hint="eastAsia" w:ascii="仿宋_GB2312" w:hAnsi="仿宋_GB2312" w:eastAsia="仿宋_GB2312" w:cs="仿宋_GB2312"/>
          <w:color w:val="000000"/>
          <w:kern w:val="2"/>
          <w:sz w:val="24"/>
          <w:szCs w:val="24"/>
          <w:lang w:val="en-US" w:eastAsia="zh-CN"/>
        </w:rPr>
        <w:t>相关</w:t>
      </w:r>
      <w:r>
        <w:rPr>
          <w:rFonts w:hint="eastAsia" w:ascii="仿宋_GB2312" w:hAnsi="仿宋_GB2312" w:eastAsia="仿宋_GB2312" w:cs="仿宋_GB2312"/>
          <w:color w:val="000000"/>
          <w:kern w:val="2"/>
          <w:sz w:val="24"/>
          <w:szCs w:val="24"/>
          <w:lang w:eastAsia="zh-CN"/>
        </w:rPr>
        <w:t>工作令甲方不满意，甲方有权向乙方提出工作调整意见，乙方应根据甲方的调整意见及时整改，保证合同中约定的服务内容及效果，</w:t>
      </w:r>
      <w:r>
        <w:rPr>
          <w:rFonts w:hint="eastAsia" w:ascii="仿宋_GB2312" w:hAnsi="仿宋_GB2312" w:eastAsia="仿宋_GB2312" w:cs="仿宋_GB2312"/>
          <w:color w:val="000000"/>
          <w:kern w:val="2"/>
          <w:sz w:val="24"/>
          <w:szCs w:val="24"/>
          <w:lang w:val="en-US" w:eastAsia="zh-CN"/>
        </w:rPr>
        <w:t>项目结束</w:t>
      </w:r>
      <w:r>
        <w:rPr>
          <w:rFonts w:hint="eastAsia" w:ascii="仿宋_GB2312" w:hAnsi="仿宋_GB2312" w:eastAsia="仿宋_GB2312" w:cs="仿宋_GB2312"/>
          <w:color w:val="000000"/>
          <w:kern w:val="2"/>
          <w:sz w:val="24"/>
          <w:szCs w:val="24"/>
          <w:lang w:eastAsia="zh-CN"/>
        </w:rPr>
        <w:t>向甲方提供相关服务</w:t>
      </w:r>
      <w:r>
        <w:rPr>
          <w:rFonts w:hint="eastAsia" w:ascii="仿宋_GB2312" w:hAnsi="仿宋_GB2312" w:eastAsia="仿宋_GB2312" w:cs="仿宋_GB2312"/>
          <w:color w:val="000000"/>
          <w:kern w:val="2"/>
          <w:sz w:val="24"/>
          <w:szCs w:val="24"/>
          <w:lang w:val="en-US" w:eastAsia="zh-CN"/>
        </w:rPr>
        <w:t>验收</w:t>
      </w:r>
      <w:r>
        <w:rPr>
          <w:rFonts w:hint="eastAsia" w:ascii="仿宋_GB2312" w:hAnsi="仿宋_GB2312" w:eastAsia="仿宋_GB2312" w:cs="仿宋_GB2312"/>
          <w:color w:val="000000"/>
          <w:kern w:val="2"/>
          <w:sz w:val="24"/>
          <w:szCs w:val="24"/>
          <w:lang w:eastAsia="zh-CN"/>
        </w:rPr>
        <w:t>报告。</w:t>
      </w:r>
    </w:p>
    <w:p>
      <w:pPr>
        <w:pStyle w:val="116"/>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四）</w:t>
      </w:r>
      <w:r>
        <w:rPr>
          <w:rFonts w:hint="eastAsia" w:ascii="仿宋_GB2312" w:hAnsi="仿宋_GB2312" w:eastAsia="仿宋_GB2312" w:cs="仿宋_GB2312"/>
          <w:color w:val="000000"/>
          <w:kern w:val="2"/>
          <w:sz w:val="24"/>
          <w:szCs w:val="24"/>
          <w:lang w:eastAsia="zh-CN"/>
        </w:rPr>
        <w:t>对于甲方向乙方提供的</w:t>
      </w:r>
      <w:r>
        <w:rPr>
          <w:rFonts w:hint="eastAsia" w:ascii="仿宋_GB2312" w:hAnsi="仿宋_GB2312" w:eastAsia="仿宋_GB2312" w:cs="仿宋_GB2312"/>
          <w:color w:val="000000"/>
          <w:kern w:val="2"/>
          <w:sz w:val="24"/>
          <w:szCs w:val="24"/>
          <w:lang w:val="en-US" w:eastAsia="zh-CN"/>
        </w:rPr>
        <w:t>素材</w:t>
      </w:r>
      <w:r>
        <w:rPr>
          <w:rFonts w:hint="eastAsia" w:ascii="仿宋_GB2312" w:hAnsi="仿宋_GB2312" w:eastAsia="仿宋_GB2312" w:cs="仿宋_GB2312"/>
          <w:color w:val="000000"/>
          <w:kern w:val="2"/>
          <w:sz w:val="24"/>
          <w:szCs w:val="24"/>
          <w:lang w:eastAsia="zh-CN"/>
        </w:rPr>
        <w:t>及其内容（包括含有的文字、图片、视频等素材），甲方享有署名权在内的全部著作权，乙方应按照甲方的要求进行标注。乙方有责任按甲方的要求在规定时间内完成服务内容；未经甲方同意不得擅自变更甲方的信息内容，未经甲方同意不得擅自删除或更改已发布的内容；如遇特殊原因需调整发布时间的，乙方应提前</w:t>
      </w:r>
      <w:r>
        <w:rPr>
          <w:rFonts w:hint="eastAsia" w:ascii="仿宋_GB2312" w:hAnsi="仿宋_GB2312" w:eastAsia="仿宋_GB2312" w:cs="仿宋_GB2312"/>
          <w:color w:val="000000"/>
          <w:kern w:val="2"/>
          <w:sz w:val="24"/>
          <w:szCs w:val="24"/>
          <w:lang w:val="en-US" w:eastAsia="zh-CN"/>
        </w:rPr>
        <w:t>1</w:t>
      </w:r>
      <w:r>
        <w:rPr>
          <w:rFonts w:hint="eastAsia" w:ascii="仿宋_GB2312" w:hAnsi="仿宋_GB2312" w:eastAsia="仿宋_GB2312" w:cs="仿宋_GB2312"/>
          <w:color w:val="000000"/>
          <w:kern w:val="2"/>
          <w:sz w:val="24"/>
          <w:szCs w:val="24"/>
          <w:lang w:eastAsia="zh-CN"/>
        </w:rPr>
        <w:t>个工作日通知甲方，并取得甲方同意。</w:t>
      </w:r>
    </w:p>
    <w:p>
      <w:pPr>
        <w:pStyle w:val="116"/>
        <w:keepNext w:val="0"/>
        <w:keepLines w:val="0"/>
        <w:pageBreakBefore w:val="0"/>
        <w:widowControl w:val="0"/>
        <w:kinsoku/>
        <w:wordWrap/>
        <w:overflowPunct/>
        <w:topLinePunct w:val="0"/>
        <w:autoSpaceDE/>
        <w:autoSpaceDN/>
        <w:bidi w:val="0"/>
        <w:spacing w:line="360" w:lineRule="auto"/>
        <w:outlineLvl w:val="2"/>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五）</w:t>
      </w:r>
      <w:r>
        <w:rPr>
          <w:rFonts w:hint="eastAsia" w:ascii="仿宋_GB2312" w:hAnsi="仿宋_GB2312" w:eastAsia="仿宋_GB2312" w:cs="仿宋_GB2312"/>
          <w:color w:val="000000"/>
          <w:kern w:val="2"/>
          <w:sz w:val="24"/>
          <w:szCs w:val="24"/>
          <w:lang w:eastAsia="zh-CN"/>
        </w:rPr>
        <w:t>乙方应对其提供的文件、资料的合法性和真实性负责。</w:t>
      </w:r>
    </w:p>
    <w:p>
      <w:pPr>
        <w:pStyle w:val="116"/>
        <w:keepNext w:val="0"/>
        <w:keepLines w:val="0"/>
        <w:pageBreakBefore w:val="0"/>
        <w:widowControl w:val="0"/>
        <w:kinsoku/>
        <w:wordWrap/>
        <w:overflowPunct/>
        <w:topLinePunct w:val="0"/>
        <w:autoSpaceDE/>
        <w:autoSpaceDN/>
        <w:bidi w:val="0"/>
        <w:spacing w:line="360" w:lineRule="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六）</w:t>
      </w:r>
      <w:r>
        <w:rPr>
          <w:rFonts w:hint="eastAsia" w:ascii="仿宋_GB2312" w:hAnsi="仿宋_GB2312" w:eastAsia="仿宋_GB2312" w:cs="仿宋_GB2312"/>
          <w:color w:val="000000"/>
          <w:kern w:val="2"/>
          <w:sz w:val="24"/>
          <w:szCs w:val="24"/>
          <w:lang w:eastAsia="zh-CN"/>
        </w:rPr>
        <w:t>乙方有责任对本合同内容和甲方提供的其他资料或商业秘密进行保密。</w:t>
      </w:r>
    </w:p>
    <w:p>
      <w:pPr>
        <w:pStyle w:val="116"/>
        <w:keepNext w:val="0"/>
        <w:keepLines w:val="0"/>
        <w:pageBreakBefore w:val="0"/>
        <w:widowControl w:val="0"/>
        <w:kinsoku/>
        <w:wordWrap/>
        <w:overflowPunct/>
        <w:topLinePunct w:val="0"/>
        <w:autoSpaceDE/>
        <w:autoSpaceDN/>
        <w:bidi w:val="0"/>
        <w:spacing w:line="360" w:lineRule="auto"/>
        <w:outlineLvl w:val="1"/>
        <w:rPr>
          <w:rFonts w:hint="eastAsia" w:ascii="仿宋_GB2312" w:hAnsi="仿宋_GB2312" w:eastAsia="仿宋_GB2312" w:cs="仿宋_GB2312"/>
          <w:color w:val="000000"/>
          <w:kern w:val="2"/>
          <w:sz w:val="24"/>
          <w:szCs w:val="24"/>
          <w:lang w:eastAsia="zh-CN"/>
        </w:rPr>
      </w:pPr>
      <w:bookmarkStart w:id="401" w:name="_Toc30957"/>
      <w:r>
        <w:rPr>
          <w:rFonts w:hint="eastAsia" w:ascii="仿宋_GB2312" w:hAnsi="仿宋_GB2312" w:eastAsia="仿宋_GB2312" w:cs="仿宋_GB2312"/>
          <w:b/>
          <w:color w:val="000000"/>
          <w:kern w:val="2"/>
          <w:sz w:val="24"/>
          <w:szCs w:val="24"/>
          <w:lang w:eastAsia="zh-CN"/>
        </w:rPr>
        <w:t>第七条：违约责任</w:t>
      </w:r>
      <w:bookmarkEnd w:id="401"/>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除不可抗力外，一切违反本协议规定之任何行为均构成违约。</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（二）乙方在宣传、直播等工作过程中，如出现不良引导或者言语违规等一切被处罚行为，处罚单位包括且不仅限于文化部门、赛事组委会等，所造成的罚款等损失，由乙方承担。</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任何一方对协议约定义务的延迟履行和不完全履行为一般违约行为，违约方在收到对方书面督促履行通知后十五日内，仍未适当履行其义务的，另一方有权单方面解决本协议，并要求对方承担相应的违约责任。</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违约一方给对方造成不可挽回损失的违约行为和在合理督促期内仍未能弥补的违约行为将视为实质性违约行为。在违约一方出现实质性违约行为时，无过错方有权书面通知违约方终止本协议，并追究违约一方的违约责任。</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rPr>
        <w:t>如甲方逾期未向乙方支付本协议所规定的款项，则每逾期一日，甲方应按应付未付款项金额的千分之</w:t>
      </w: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‰/日）向乙方支付违约金。</w:t>
      </w:r>
    </w:p>
    <w:p>
      <w:pPr>
        <w:keepNext w:val="0"/>
        <w:keepLines w:val="0"/>
        <w:pageBreakBefore w:val="0"/>
        <w:widowControl w:val="0"/>
        <w:numPr>
          <w:ilvl w:val="0"/>
          <w:numId w:val="0"/>
        </w:numPr>
        <w:tabs>
          <w:tab w:val="left" w:pos="540"/>
        </w:tabs>
        <w:kinsoku/>
        <w:wordWrap/>
        <w:overflowPunct/>
        <w:topLinePunct w:val="0"/>
        <w:autoSpaceDE/>
        <w:autoSpaceDN/>
        <w:bidi w:val="0"/>
        <w:spacing w:line="360" w:lineRule="auto"/>
        <w:ind w:leftChars="0"/>
        <w:outlineLvl w:val="1"/>
        <w:rPr>
          <w:rFonts w:hint="eastAsia" w:ascii="仿宋_GB2312" w:hAnsi="仿宋_GB2312" w:eastAsia="仿宋_GB2312" w:cs="仿宋_GB2312"/>
          <w:color w:val="auto"/>
          <w:sz w:val="24"/>
          <w:szCs w:val="24"/>
          <w:highlight w:val="none"/>
        </w:rPr>
      </w:pPr>
      <w:bookmarkStart w:id="402" w:name="_Toc22840"/>
      <w:r>
        <w:rPr>
          <w:rFonts w:hint="eastAsia" w:ascii="仿宋_GB2312" w:hAnsi="仿宋_GB2312" w:eastAsia="仿宋_GB2312" w:cs="仿宋_GB2312"/>
          <w:b/>
          <w:color w:val="auto"/>
          <w:sz w:val="24"/>
          <w:szCs w:val="24"/>
          <w:highlight w:val="none"/>
          <w:lang w:val="en-US" w:eastAsia="zh-CN"/>
        </w:rPr>
        <w:t>第八条：</w:t>
      </w:r>
      <w:r>
        <w:rPr>
          <w:rFonts w:hint="eastAsia" w:ascii="仿宋_GB2312" w:hAnsi="仿宋_GB2312" w:eastAsia="仿宋_GB2312" w:cs="仿宋_GB2312"/>
          <w:b/>
          <w:color w:val="auto"/>
          <w:sz w:val="24"/>
          <w:szCs w:val="24"/>
          <w:highlight w:val="none"/>
        </w:rPr>
        <w:t>不可抗力</w:t>
      </w:r>
      <w:bookmarkEnd w:id="40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rPr>
        <w:t>任何一方对于因发生不可抗力且自身无过错造成延误不能履行本协议有关条款之规定义务时，该种不履行将不构成违约。但当事一方必须采取一切必要的补救措施以减少造成的损失，并在发生不可抗力十五日内向另一方提交协议不能履行的或部分不能履行的，以及需延期的理由报告，同时提供有关部门出据的不可抗力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本协议所称不可抗力，是指不能预见、不能避免且不能克服的客观情况，如战争、自然灾害、大规模流行性甲级传染病流行、社会动乱、国家法律法规变动、国家行政主管机关和地方性政府强制性政策等。</w:t>
      </w:r>
    </w:p>
    <w:p>
      <w:pPr>
        <w:pStyle w:val="116"/>
        <w:keepNext w:val="0"/>
        <w:keepLines w:val="0"/>
        <w:pageBreakBefore w:val="0"/>
        <w:widowControl w:val="0"/>
        <w:kinsoku/>
        <w:wordWrap/>
        <w:overflowPunct/>
        <w:topLinePunct w:val="0"/>
        <w:autoSpaceDE/>
        <w:autoSpaceDN/>
        <w:bidi w:val="0"/>
        <w:spacing w:line="360" w:lineRule="auto"/>
        <w:outlineLvl w:val="1"/>
        <w:rPr>
          <w:rFonts w:hint="eastAsia" w:ascii="仿宋_GB2312" w:hAnsi="仿宋_GB2312" w:eastAsia="仿宋_GB2312" w:cs="仿宋_GB2312"/>
          <w:color w:val="000000"/>
          <w:kern w:val="2"/>
          <w:sz w:val="24"/>
          <w:szCs w:val="24"/>
          <w:lang w:eastAsia="zh-CN"/>
        </w:rPr>
      </w:pPr>
      <w:bookmarkStart w:id="403" w:name="_Toc7471"/>
      <w:r>
        <w:rPr>
          <w:rFonts w:hint="eastAsia" w:ascii="仿宋_GB2312" w:hAnsi="仿宋_GB2312" w:eastAsia="仿宋_GB2312" w:cs="仿宋_GB2312"/>
          <w:b/>
          <w:color w:val="000000"/>
          <w:kern w:val="2"/>
          <w:sz w:val="24"/>
          <w:szCs w:val="24"/>
          <w:lang w:eastAsia="zh-CN"/>
        </w:rPr>
        <w:t>第</w:t>
      </w:r>
      <w:r>
        <w:rPr>
          <w:rFonts w:hint="eastAsia" w:ascii="仿宋_GB2312" w:hAnsi="仿宋_GB2312" w:eastAsia="仿宋_GB2312" w:cs="仿宋_GB2312"/>
          <w:b/>
          <w:color w:val="000000"/>
          <w:kern w:val="2"/>
          <w:sz w:val="24"/>
          <w:szCs w:val="24"/>
          <w:lang w:val="en-US" w:eastAsia="zh-CN"/>
        </w:rPr>
        <w:t>九</w:t>
      </w:r>
      <w:r>
        <w:rPr>
          <w:rFonts w:hint="eastAsia" w:ascii="仿宋_GB2312" w:hAnsi="仿宋_GB2312" w:eastAsia="仿宋_GB2312" w:cs="仿宋_GB2312"/>
          <w:b/>
          <w:color w:val="000000"/>
          <w:kern w:val="2"/>
          <w:sz w:val="24"/>
          <w:szCs w:val="24"/>
          <w:lang w:eastAsia="zh-CN"/>
        </w:rPr>
        <w:t>条：争议及解决</w:t>
      </w:r>
      <w:bookmarkEnd w:id="403"/>
    </w:p>
    <w:p>
      <w:pPr>
        <w:pStyle w:val="116"/>
        <w:keepNext w:val="0"/>
        <w:keepLines w:val="0"/>
        <w:pageBreakBefore w:val="0"/>
        <w:widowControl w:val="0"/>
        <w:kinsoku/>
        <w:wordWrap/>
        <w:overflowPunct/>
        <w:topLinePunct w:val="0"/>
        <w:autoSpaceDE/>
        <w:autoSpaceDN/>
        <w:bidi w:val="0"/>
        <w:spacing w:line="360" w:lineRule="auto"/>
        <w:ind w:firstLine="480" w:firstLineChars="200"/>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如发生本合同未能估计到的事故或与此有关的一切纠纷，由甲、乙双方共同协商解决，并按</w:t>
      </w:r>
      <w:r>
        <w:rPr>
          <w:rFonts w:hint="eastAsia" w:ascii="仿宋_GB2312" w:hAnsi="仿宋_GB2312" w:eastAsia="仿宋_GB2312" w:cs="仿宋_GB2312"/>
          <w:color w:val="000000"/>
          <w:sz w:val="24"/>
          <w:szCs w:val="24"/>
          <w:lang w:eastAsia="zh-CN"/>
        </w:rPr>
        <w:t>《中华人民共和国</w:t>
      </w:r>
      <w:r>
        <w:rPr>
          <w:rFonts w:hint="eastAsia" w:ascii="仿宋_GB2312" w:hAnsi="仿宋_GB2312" w:eastAsia="仿宋_GB2312" w:cs="仿宋_GB2312"/>
          <w:color w:val="000000"/>
          <w:sz w:val="24"/>
          <w:szCs w:val="24"/>
          <w:lang w:val="en-US" w:eastAsia="zh-CN"/>
        </w:rPr>
        <w:t>民法典</w:t>
      </w:r>
      <w:r>
        <w:rPr>
          <w:rFonts w:hint="eastAsia" w:ascii="仿宋_GB2312" w:hAnsi="仿宋_GB2312" w:eastAsia="仿宋_GB2312" w:cs="仿宋_GB2312"/>
          <w:color w:val="000000"/>
          <w:sz w:val="24"/>
          <w:szCs w:val="24"/>
          <w:lang w:eastAsia="zh-CN"/>
        </w:rPr>
        <w:t>》及有关法律法规</w:t>
      </w:r>
      <w:r>
        <w:rPr>
          <w:rFonts w:hint="eastAsia" w:ascii="仿宋_GB2312" w:hAnsi="仿宋_GB2312" w:eastAsia="仿宋_GB2312" w:cs="仿宋_GB2312"/>
          <w:color w:val="000000"/>
          <w:kern w:val="2"/>
          <w:sz w:val="24"/>
          <w:szCs w:val="24"/>
          <w:lang w:eastAsia="zh-CN"/>
        </w:rPr>
        <w:t>执行，协商不成的由甲方所在地人民法院通过诉讼解决。</w:t>
      </w:r>
    </w:p>
    <w:p>
      <w:pPr>
        <w:pStyle w:val="116"/>
        <w:keepNext w:val="0"/>
        <w:keepLines w:val="0"/>
        <w:pageBreakBefore w:val="0"/>
        <w:widowControl w:val="0"/>
        <w:kinsoku/>
        <w:wordWrap/>
        <w:overflowPunct/>
        <w:topLinePunct w:val="0"/>
        <w:autoSpaceDE/>
        <w:autoSpaceDN/>
        <w:bidi w:val="0"/>
        <w:spacing w:line="360" w:lineRule="auto"/>
        <w:outlineLvl w:val="1"/>
        <w:rPr>
          <w:rFonts w:hint="eastAsia" w:ascii="仿宋_GB2312" w:hAnsi="仿宋_GB2312" w:eastAsia="仿宋_GB2312" w:cs="仿宋_GB2312"/>
          <w:color w:val="000000"/>
          <w:kern w:val="2"/>
          <w:sz w:val="24"/>
          <w:szCs w:val="24"/>
          <w:lang w:eastAsia="zh-CN"/>
        </w:rPr>
      </w:pPr>
      <w:bookmarkStart w:id="404" w:name="_Toc30130"/>
      <w:r>
        <w:rPr>
          <w:rFonts w:hint="eastAsia" w:ascii="仿宋_GB2312" w:hAnsi="仿宋_GB2312" w:eastAsia="仿宋_GB2312" w:cs="仿宋_GB2312"/>
          <w:b/>
          <w:color w:val="000000"/>
          <w:kern w:val="2"/>
          <w:sz w:val="24"/>
          <w:szCs w:val="24"/>
          <w:lang w:eastAsia="zh-CN"/>
        </w:rPr>
        <w:t>第</w:t>
      </w:r>
      <w:r>
        <w:rPr>
          <w:rFonts w:hint="eastAsia" w:ascii="仿宋_GB2312" w:hAnsi="仿宋_GB2312" w:eastAsia="仿宋_GB2312" w:cs="仿宋_GB2312"/>
          <w:b/>
          <w:color w:val="000000"/>
          <w:kern w:val="2"/>
          <w:sz w:val="24"/>
          <w:szCs w:val="24"/>
          <w:lang w:val="en-US" w:eastAsia="zh-CN"/>
        </w:rPr>
        <w:t>十</w:t>
      </w:r>
      <w:r>
        <w:rPr>
          <w:rFonts w:hint="eastAsia" w:ascii="仿宋_GB2312" w:hAnsi="仿宋_GB2312" w:eastAsia="仿宋_GB2312" w:cs="仿宋_GB2312"/>
          <w:b/>
          <w:color w:val="000000"/>
          <w:kern w:val="2"/>
          <w:sz w:val="24"/>
          <w:szCs w:val="24"/>
          <w:lang w:eastAsia="zh-CN"/>
        </w:rPr>
        <w:t>条：附则</w:t>
      </w:r>
      <w:bookmarkEnd w:id="404"/>
    </w:p>
    <w:p>
      <w:pPr>
        <w:pStyle w:val="116"/>
        <w:keepNext w:val="0"/>
        <w:keepLines w:val="0"/>
        <w:pageBreakBefore w:val="0"/>
        <w:widowControl w:val="0"/>
        <w:numPr>
          <w:ilvl w:val="0"/>
          <w:numId w:val="0"/>
        </w:numPr>
        <w:kinsoku/>
        <w:wordWrap/>
        <w:overflowPunct/>
        <w:topLinePunct w:val="0"/>
        <w:autoSpaceDE/>
        <w:autoSpaceDN/>
        <w:bidi w:val="0"/>
        <w:spacing w:line="360" w:lineRule="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一）</w:t>
      </w:r>
      <w:r>
        <w:rPr>
          <w:rFonts w:hint="eastAsia" w:ascii="仿宋_GB2312" w:hAnsi="仿宋_GB2312" w:eastAsia="仿宋_GB2312" w:cs="仿宋_GB2312"/>
          <w:color w:val="000000"/>
          <w:kern w:val="2"/>
          <w:sz w:val="24"/>
          <w:szCs w:val="24"/>
          <w:lang w:eastAsia="zh-CN"/>
        </w:rPr>
        <w:t>本合同一式</w:t>
      </w:r>
      <w:r>
        <w:rPr>
          <w:rFonts w:hint="eastAsia" w:ascii="仿宋_GB2312" w:hAnsi="仿宋_GB2312" w:eastAsia="仿宋_GB2312" w:cs="仿宋_GB2312"/>
          <w:color w:val="000000"/>
          <w:kern w:val="2"/>
          <w:sz w:val="24"/>
          <w:szCs w:val="24"/>
          <w:lang w:val="en-US" w:eastAsia="zh-CN"/>
        </w:rPr>
        <w:t>肆</w:t>
      </w:r>
      <w:r>
        <w:rPr>
          <w:rFonts w:hint="eastAsia" w:ascii="仿宋_GB2312" w:hAnsi="仿宋_GB2312" w:eastAsia="仿宋_GB2312" w:cs="仿宋_GB2312"/>
          <w:color w:val="000000"/>
          <w:kern w:val="2"/>
          <w:sz w:val="24"/>
          <w:szCs w:val="24"/>
          <w:lang w:eastAsia="zh-CN"/>
        </w:rPr>
        <w:t>份，双方盖章后正式生效。甲、乙双方各执</w:t>
      </w:r>
      <w:r>
        <w:rPr>
          <w:rFonts w:hint="eastAsia" w:ascii="仿宋_GB2312" w:hAnsi="仿宋_GB2312" w:eastAsia="仿宋_GB2312" w:cs="仿宋_GB2312"/>
          <w:color w:val="000000"/>
          <w:kern w:val="2"/>
          <w:sz w:val="24"/>
          <w:szCs w:val="24"/>
          <w:lang w:val="en-US" w:eastAsia="zh-CN"/>
        </w:rPr>
        <w:t>贰</w:t>
      </w:r>
      <w:r>
        <w:rPr>
          <w:rFonts w:hint="eastAsia" w:ascii="仿宋_GB2312" w:hAnsi="仿宋_GB2312" w:eastAsia="仿宋_GB2312" w:cs="仿宋_GB2312"/>
          <w:color w:val="000000"/>
          <w:kern w:val="2"/>
          <w:sz w:val="24"/>
          <w:szCs w:val="24"/>
          <w:lang w:eastAsia="zh-CN"/>
        </w:rPr>
        <w:t xml:space="preserve">份。  </w:t>
      </w:r>
    </w:p>
    <w:p>
      <w:pPr>
        <w:pStyle w:val="116"/>
        <w:keepNext w:val="0"/>
        <w:keepLines w:val="0"/>
        <w:pageBreakBefore w:val="0"/>
        <w:widowControl w:val="0"/>
        <w:numPr>
          <w:ilvl w:val="0"/>
          <w:numId w:val="0"/>
        </w:numPr>
        <w:kinsoku/>
        <w:wordWrap/>
        <w:overflowPunct/>
        <w:topLinePunct w:val="0"/>
        <w:autoSpaceDE/>
        <w:autoSpaceDN/>
        <w:bidi w:val="0"/>
        <w:spacing w:line="360" w:lineRule="auto"/>
        <w:outlineLvl w:val="2"/>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w:t>
      </w:r>
      <w:r>
        <w:rPr>
          <w:rFonts w:hint="eastAsia" w:ascii="仿宋_GB2312" w:hAnsi="仿宋_GB2312" w:eastAsia="仿宋_GB2312" w:cs="仿宋_GB2312"/>
          <w:color w:val="000000"/>
          <w:kern w:val="2"/>
          <w:sz w:val="24"/>
          <w:szCs w:val="24"/>
          <w:lang w:val="en-US" w:eastAsia="zh-CN"/>
        </w:rPr>
        <w:t>二）</w:t>
      </w:r>
      <w:r>
        <w:rPr>
          <w:rFonts w:hint="eastAsia" w:ascii="仿宋_GB2312" w:hAnsi="仿宋_GB2312" w:eastAsia="仿宋_GB2312" w:cs="仿宋_GB2312"/>
          <w:color w:val="000000"/>
          <w:kern w:val="2"/>
          <w:sz w:val="24"/>
          <w:szCs w:val="24"/>
          <w:lang w:eastAsia="zh-CN"/>
        </w:rPr>
        <w:t>本合同双方应加盖有效的公司公章或合同专用章。（以下无正文）</w:t>
      </w:r>
    </w:p>
    <w:p>
      <w:pPr>
        <w:pStyle w:val="116"/>
        <w:keepLines w:val="0"/>
        <w:widowControl w:val="0"/>
        <w:numPr>
          <w:ilvl w:val="0"/>
          <w:numId w:val="0"/>
        </w:numPr>
        <w:spacing w:line="400" w:lineRule="atLeast"/>
        <w:ind w:left="420" w:leftChars="0"/>
        <w:rPr>
          <w:rFonts w:hint="eastAsia" w:ascii="仿宋_GB2312" w:hAnsi="仿宋_GB2312" w:eastAsia="仿宋_GB2312" w:cs="仿宋_GB2312"/>
          <w:color w:val="000000"/>
          <w:kern w:val="2"/>
          <w:sz w:val="24"/>
          <w:szCs w:val="24"/>
          <w:lang w:eastAsia="zh-CN"/>
        </w:rPr>
      </w:pPr>
    </w:p>
    <w:p>
      <w:pPr>
        <w:pStyle w:val="116"/>
        <w:keepLines w:val="0"/>
        <w:widowControl w:val="0"/>
        <w:spacing w:line="400" w:lineRule="atLeast"/>
        <w:ind w:firstLine="960" w:firstLineChars="40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甲</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方：</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乙</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方：</w:t>
      </w:r>
    </w:p>
    <w:p>
      <w:pPr>
        <w:pStyle w:val="116"/>
        <w:keepLines w:val="0"/>
        <w:widowControl w:val="0"/>
        <w:spacing w:line="400" w:lineRule="atLeast"/>
        <w:ind w:firstLine="720" w:firstLineChars="300"/>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盖章有效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盖章有效</w:t>
      </w:r>
      <w:r>
        <w:rPr>
          <w:rFonts w:hint="eastAsia" w:ascii="仿宋_GB2312" w:hAnsi="仿宋_GB2312" w:eastAsia="仿宋_GB2312" w:cs="仿宋_GB2312"/>
          <w:color w:val="000000"/>
          <w:sz w:val="24"/>
          <w:szCs w:val="24"/>
          <w:lang w:eastAsia="zh-CN"/>
        </w:rPr>
        <w:t>）</w:t>
      </w:r>
    </w:p>
    <w:p>
      <w:pPr>
        <w:spacing w:line="400" w:lineRule="atLeast"/>
        <w:ind w:firstLine="960" w:firstLineChars="4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签约代表：                                    签约代表：</w:t>
      </w:r>
    </w:p>
    <w:p>
      <w:pPr>
        <w:spacing w:line="40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期：</w:t>
      </w:r>
      <w:r>
        <w:rPr>
          <w:rFonts w:hint="eastAsia" w:ascii="仿宋_GB2312" w:hAnsi="仿宋_GB2312" w:eastAsia="仿宋_GB2312" w:cs="仿宋_GB2312"/>
          <w:color w:val="000000"/>
          <w:sz w:val="24"/>
          <w:szCs w:val="24"/>
          <w:lang w:val="en-US" w:eastAsia="zh-CN"/>
        </w:rPr>
        <w:t xml:space="preserve">    年    月    日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pPr>
        <w:pageBreakBefore/>
        <w:spacing w:line="520" w:lineRule="exact"/>
        <w:jc w:val="center"/>
        <w:outlineLvl w:val="1"/>
        <w:rPr>
          <w:rFonts w:ascii="微软雅黑" w:hAnsi="宋体" w:eastAsia="微软雅黑"/>
          <w:bCs/>
          <w:color w:val="auto"/>
          <w:sz w:val="44"/>
          <w:szCs w:val="44"/>
          <w:highlight w:val="none"/>
        </w:rPr>
      </w:pPr>
      <w:bookmarkStart w:id="405" w:name="_Toc17953"/>
      <w:r>
        <w:rPr>
          <w:rFonts w:hint="eastAsia" w:ascii="微软雅黑" w:hAnsi="宋体" w:eastAsia="微软雅黑"/>
          <w:bCs/>
          <w:color w:val="auto"/>
          <w:sz w:val="44"/>
          <w:szCs w:val="44"/>
          <w:highlight w:val="none"/>
        </w:rPr>
        <w:t>廉  政  协  议</w:t>
      </w:r>
      <w:bookmarkEnd w:id="405"/>
    </w:p>
    <w:p>
      <w:pPr>
        <w:spacing w:line="420" w:lineRule="exact"/>
        <w:ind w:firstLine="420" w:firstLineChars="200"/>
        <w:rPr>
          <w:rFonts w:hAnsi="宋体"/>
          <w:color w:val="auto"/>
          <w:szCs w:val="21"/>
          <w:highlight w:val="none"/>
        </w:rPr>
      </w:pPr>
    </w:p>
    <w:p>
      <w:pPr>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 xml:space="preserve">：                                </w:t>
      </w:r>
    </w:p>
    <w:p>
      <w:pPr>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p>
    <w:p>
      <w:pPr>
        <w:spacing w:line="500" w:lineRule="exact"/>
        <w:ind w:firstLine="420" w:firstLineChars="200"/>
        <w:rPr>
          <w:rFonts w:hint="eastAsia" w:ascii="宋体" w:hAnsi="宋体" w:cs="宋体"/>
          <w:color w:val="auto"/>
          <w:szCs w:val="21"/>
          <w:highlight w:val="none"/>
        </w:rPr>
      </w:pP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outlineLvl w:val="1"/>
        <w:rPr>
          <w:rFonts w:hint="eastAsia" w:ascii="宋体" w:hAnsi="宋体" w:cs="宋体"/>
          <w:color w:val="auto"/>
          <w:szCs w:val="21"/>
          <w:highlight w:val="none"/>
        </w:rPr>
      </w:pPr>
      <w:bookmarkStart w:id="406" w:name="_Toc12637"/>
      <w:r>
        <w:rPr>
          <w:rFonts w:hint="eastAsia" w:ascii="宋体" w:hAnsi="宋体" w:cs="宋体"/>
          <w:b/>
          <w:color w:val="auto"/>
          <w:szCs w:val="21"/>
          <w:highlight w:val="none"/>
        </w:rPr>
        <w:t>第一条</w:t>
      </w:r>
      <w:r>
        <w:rPr>
          <w:rFonts w:hint="eastAsia" w:ascii="宋体" w:hAnsi="宋体" w:cs="宋体"/>
          <w:color w:val="auto"/>
          <w:szCs w:val="21"/>
          <w:highlight w:val="none"/>
        </w:rPr>
        <w:t xml:space="preserve">  甲乙双方的权利和义务</w:t>
      </w:r>
      <w:bookmarkEnd w:id="406"/>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（一）甲乙双方自觉遵守《中华人民共和国反不正当竞争法》、国家工商行政管理局《关于禁止商业贿赂行为的暂行规定》、国家最高人民检察院、最高人民法院《关于办理受贿刑事</w:t>
      </w:r>
      <w:r>
        <w:rPr>
          <w:rFonts w:hint="eastAsia" w:ascii="宋体" w:hAnsi="宋体" w:cs="宋体"/>
          <w:color w:val="auto"/>
          <w:szCs w:val="21"/>
          <w:highlight w:val="none"/>
          <w:lang w:eastAsia="zh-CN"/>
        </w:rPr>
        <w:t>案例</w:t>
      </w:r>
      <w:r>
        <w:rPr>
          <w:rFonts w:hint="eastAsia" w:ascii="宋体" w:hAnsi="宋体" w:cs="宋体"/>
          <w:color w:val="auto"/>
          <w:szCs w:val="21"/>
          <w:highlight w:val="none"/>
        </w:rPr>
        <w:t>适用法律若干问题的意见》及相关法律法规和廉政建设的规定。</w:t>
      </w:r>
    </w:p>
    <w:p>
      <w:pPr>
        <w:spacing w:line="50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（二）严格执行合同的要求，自觉履行合同约定的相关义务。</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（三）在业务活动中坚持公开、公正、诚信、透明的原则，不得损害国家、集体利益。</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（四）建立健全廉政制度，开展廉政教育，公布举报电话，监督并认真查处违法违纪行为。</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outlineLvl w:val="1"/>
        <w:rPr>
          <w:rFonts w:hint="eastAsia" w:ascii="宋体" w:hAnsi="宋体" w:cs="宋体"/>
          <w:color w:val="auto"/>
          <w:szCs w:val="21"/>
          <w:highlight w:val="none"/>
        </w:rPr>
      </w:pPr>
      <w:bookmarkStart w:id="407" w:name="_Toc23232"/>
      <w:r>
        <w:rPr>
          <w:rFonts w:hint="eastAsia" w:ascii="宋体" w:hAnsi="宋体" w:cs="宋体"/>
          <w:b/>
          <w:color w:val="auto"/>
          <w:szCs w:val="21"/>
          <w:highlight w:val="none"/>
        </w:rPr>
        <w:t>第二条</w:t>
      </w:r>
      <w:r>
        <w:rPr>
          <w:rFonts w:hint="eastAsia" w:ascii="宋体" w:hAnsi="宋体" w:cs="宋体"/>
          <w:color w:val="auto"/>
          <w:szCs w:val="21"/>
          <w:highlight w:val="none"/>
        </w:rPr>
        <w:t xml:space="preserve">  甲方的义务</w:t>
      </w:r>
      <w:bookmarkEnd w:id="407"/>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（六）甲方工作人员不得利用职务之便收受乙方以回扣、手续费、加班费、咨询费、劳务费、协调费等各种名义给予或赠送的钱物。</w:t>
      </w:r>
    </w:p>
    <w:p>
      <w:pPr>
        <w:spacing w:line="50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（七）甲方工作人员不得接受乙方给予或赠送的干股或红利。</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（八）甲方任何人不得以个人的名义向乙方推荐设备、部件等供货商以及其他合作单位。</w:t>
      </w:r>
    </w:p>
    <w:p>
      <w:pPr>
        <w:spacing w:line="500" w:lineRule="exact"/>
        <w:ind w:firstLine="422" w:firstLineChars="200"/>
        <w:outlineLvl w:val="1"/>
        <w:rPr>
          <w:rFonts w:hint="eastAsia" w:ascii="宋体" w:hAnsi="宋体" w:cs="宋体"/>
          <w:color w:val="auto"/>
          <w:szCs w:val="21"/>
          <w:highlight w:val="none"/>
        </w:rPr>
      </w:pPr>
      <w:bookmarkStart w:id="408" w:name="_Toc23363"/>
      <w:r>
        <w:rPr>
          <w:rFonts w:hint="eastAsia" w:ascii="宋体" w:hAnsi="宋体" w:cs="宋体"/>
          <w:b/>
          <w:color w:val="auto"/>
          <w:szCs w:val="21"/>
          <w:highlight w:val="none"/>
        </w:rPr>
        <w:t xml:space="preserve">第三条  </w:t>
      </w:r>
      <w:r>
        <w:rPr>
          <w:rFonts w:hint="eastAsia" w:ascii="宋体" w:hAnsi="宋体" w:cs="宋体"/>
          <w:color w:val="auto"/>
          <w:szCs w:val="21"/>
          <w:highlight w:val="none"/>
        </w:rPr>
        <w:t>乙方的义务</w:t>
      </w:r>
      <w:bookmarkEnd w:id="408"/>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(一)乙方不得以任何理由向甲方及其工作人员行贿或馈赠礼金、有价证券、贵重礼品。</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（二)乙方不得以任何名义为甲方及其工作人员报销应由甲方单位或个人支付的任何费用。</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（六）乙方不得以回扣、手续费、加班费、咨询费、劳务费等各种名义向甲方工作人员给予或赠送钱物。</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（七）乙方不得向甲方工作人员提供干股或红利。</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（八）乙方须按文旅博览集团纪委要求开展相关工作。</w:t>
      </w:r>
    </w:p>
    <w:p>
      <w:pPr>
        <w:spacing w:line="500" w:lineRule="exact"/>
        <w:ind w:firstLine="422" w:firstLineChars="200"/>
        <w:outlineLvl w:val="1"/>
        <w:rPr>
          <w:rFonts w:hint="eastAsia" w:ascii="宋体" w:hAnsi="宋体" w:cs="宋体"/>
          <w:color w:val="auto"/>
          <w:szCs w:val="21"/>
          <w:highlight w:val="none"/>
        </w:rPr>
      </w:pPr>
      <w:bookmarkStart w:id="409" w:name="_Toc27109"/>
      <w:r>
        <w:rPr>
          <w:rFonts w:hint="eastAsia" w:ascii="宋体" w:hAnsi="宋体" w:cs="宋体"/>
          <w:b/>
          <w:color w:val="auto"/>
          <w:szCs w:val="21"/>
          <w:highlight w:val="none"/>
        </w:rPr>
        <w:t>第四条</w:t>
      </w:r>
      <w:r>
        <w:rPr>
          <w:rFonts w:hint="eastAsia" w:ascii="宋体" w:hAnsi="宋体" w:cs="宋体"/>
          <w:color w:val="auto"/>
          <w:szCs w:val="21"/>
          <w:highlight w:val="none"/>
        </w:rPr>
        <w:t xml:space="preserve">  违约责任</w:t>
      </w:r>
      <w:bookmarkEnd w:id="409"/>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投诉联系部门：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，举报邮箱：</w:t>
      </w:r>
      <w:r>
        <w:rPr>
          <w:rFonts w:hint="eastAsia" w:ascii="宋体" w:hAnsi="宋体" w:cs="宋体"/>
          <w:color w:val="auto"/>
          <w:szCs w:val="21"/>
          <w:highlight w:val="none"/>
          <w:u w:val="single"/>
        </w:rPr>
        <w:t xml:space="preserve">        </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"mailto:zt_jcsjb@163.com"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zt_jcsjb@163.com</w:t>
      </w:r>
      <w:r>
        <w:rPr>
          <w:rFonts w:hint="eastAsia" w:ascii="宋体" w:hAnsi="宋体" w:cs="宋体"/>
          <w:color w:val="auto"/>
          <w:szCs w:val="21"/>
          <w:highlight w:val="none"/>
        </w:rPr>
        <w:fldChar w:fldCharType="end"/>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1．向建设行政部门、招投标管理部门及乙方上级主管部门通报，建议作出相应处理； </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2．甲方有权扣除乙方履约保证金全部或部分（视情节严重性而定）；</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4．终止或解除双方已签订的包括（不限于）本合同在内的所有合同。</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甲方作出的处理意见，乙方应无条件接受并承担给甲方造成的损失，全额返还通过不正当手段从甲方获取的非法所得，并承担相应的法律责任。</w:t>
      </w:r>
    </w:p>
    <w:p>
      <w:pPr>
        <w:spacing w:line="500" w:lineRule="exact"/>
        <w:ind w:firstLine="422" w:firstLineChars="200"/>
        <w:outlineLvl w:val="1"/>
        <w:rPr>
          <w:rFonts w:hint="eastAsia" w:ascii="宋体" w:hAnsi="宋体" w:cs="宋体"/>
          <w:color w:val="auto"/>
          <w:szCs w:val="21"/>
          <w:highlight w:val="none"/>
        </w:rPr>
      </w:pPr>
      <w:bookmarkStart w:id="410" w:name="_Toc15082"/>
      <w:r>
        <w:rPr>
          <w:rFonts w:hint="eastAsia" w:ascii="宋体" w:hAnsi="宋体" w:cs="宋体"/>
          <w:b/>
          <w:color w:val="auto"/>
          <w:szCs w:val="21"/>
          <w:highlight w:val="none"/>
        </w:rPr>
        <w:t>第五条</w:t>
      </w:r>
      <w:r>
        <w:rPr>
          <w:rFonts w:hint="eastAsia" w:ascii="宋体" w:hAnsi="宋体" w:cs="宋体"/>
          <w:color w:val="auto"/>
          <w:szCs w:val="21"/>
          <w:highlight w:val="none"/>
        </w:rPr>
        <w:t xml:space="preserve">  双方约定</w:t>
      </w:r>
      <w:bookmarkEnd w:id="410"/>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第六条  </w:t>
      </w:r>
      <w:r>
        <w:rPr>
          <w:rFonts w:hint="eastAsia" w:ascii="宋体" w:hAnsi="宋体" w:cs="宋体"/>
          <w:color w:val="auto"/>
          <w:szCs w:val="21"/>
          <w:highlight w:val="none"/>
        </w:rPr>
        <w:t xml:space="preserve">本协议有效期为甲乙双方签署之日起至合同终止。  </w:t>
      </w:r>
    </w:p>
    <w:p>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第七条 </w:t>
      </w:r>
      <w:r>
        <w:rPr>
          <w:rFonts w:hint="eastAsia" w:ascii="宋体" w:hAnsi="宋体" w:cs="宋体"/>
          <w:color w:val="auto"/>
          <w:szCs w:val="21"/>
          <w:highlight w:val="none"/>
        </w:rPr>
        <w:t xml:space="preserve"> 本协议作为合同的附件，与本合同具有同等法律效力。</w:t>
      </w:r>
    </w:p>
    <w:p>
      <w:pPr>
        <w:spacing w:line="500" w:lineRule="exact"/>
        <w:rPr>
          <w:rFonts w:hint="eastAsia" w:ascii="宋体" w:hAnsi="宋体" w:cs="宋体"/>
          <w:color w:val="auto"/>
          <w:szCs w:val="21"/>
          <w:highlight w:val="none"/>
        </w:rPr>
      </w:pPr>
    </w:p>
    <w:p>
      <w:pPr>
        <w:spacing w:line="500" w:lineRule="exact"/>
        <w:rPr>
          <w:rFonts w:hint="eastAsia" w:ascii="宋体" w:hAnsi="宋体" w:cs="宋体"/>
          <w:color w:val="auto"/>
          <w:szCs w:val="21"/>
          <w:highlight w:val="none"/>
        </w:rPr>
      </w:pPr>
    </w:p>
    <w:p>
      <w:pPr>
        <w:spacing w:line="500" w:lineRule="exact"/>
        <w:rPr>
          <w:rFonts w:hint="eastAsia" w:ascii="宋体" w:hAnsi="宋体" w:cs="宋体"/>
          <w:color w:val="auto"/>
          <w:szCs w:val="21"/>
          <w:highlight w:val="none"/>
        </w:rPr>
      </w:pPr>
    </w:p>
    <w:p>
      <w:pPr>
        <w:spacing w:line="500" w:lineRule="exact"/>
        <w:rPr>
          <w:rFonts w:hint="eastAsia" w:ascii="宋体" w:hAnsi="宋体" w:cs="宋体"/>
          <w:color w:val="auto"/>
          <w:szCs w:val="21"/>
          <w:highlight w:val="none"/>
        </w:rPr>
      </w:pPr>
    </w:p>
    <w:p>
      <w:pPr>
        <w:spacing w:line="500" w:lineRule="exact"/>
        <w:rPr>
          <w:rFonts w:hint="eastAsia" w:ascii="宋体" w:hAnsi="宋体" w:cs="宋体"/>
          <w:color w:val="auto"/>
          <w:szCs w:val="21"/>
          <w:highlight w:val="none"/>
        </w:rPr>
      </w:pP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甲方（盖章）：                   乙方（盖章）：</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法定代表人或</w:t>
      </w:r>
      <w:r>
        <w:rPr>
          <w:rFonts w:hint="eastAsia" w:ascii="宋体" w:hAnsi="宋体" w:cs="宋体"/>
          <w:color w:val="auto"/>
          <w:szCs w:val="21"/>
          <w:highlight w:val="none"/>
        </w:rPr>
        <w:tab/>
      </w:r>
      <w:r>
        <w:rPr>
          <w:rFonts w:hint="eastAsia" w:ascii="宋体" w:hAnsi="宋体" w:cs="宋体"/>
          <w:color w:val="auto"/>
          <w:szCs w:val="21"/>
          <w:highlight w:val="none"/>
        </w:rPr>
        <w:t xml:space="preserve">                    法定代表人或</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授权代表：   (职务)               授权代表：  （职务）</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rPr>
        <w:tab/>
      </w:r>
      <w:r>
        <w:rPr>
          <w:rFonts w:hint="eastAsia" w:ascii="宋体" w:hAnsi="宋体" w:cs="宋体"/>
          <w:color w:val="auto"/>
          <w:szCs w:val="21"/>
          <w:highlight w:val="none"/>
        </w:rPr>
        <w:t xml:space="preserve">                       姓名</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签字：                            签字：</w:t>
      </w:r>
    </w:p>
    <w:p>
      <w:pPr>
        <w:spacing w:line="500" w:lineRule="exact"/>
        <w:ind w:firstLine="420" w:firstLineChars="200"/>
        <w:rPr>
          <w:rFonts w:hint="eastAsia" w:ascii="宋体" w:hAnsi="宋体" w:cs="宋体"/>
          <w:color w:val="auto"/>
          <w:szCs w:val="21"/>
          <w:highlight w:val="none"/>
        </w:rPr>
      </w:pP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廉政监督联系人                    廉政监督联系人</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姓名                              姓名</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签字：                            签字：</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                            电话：</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地址：                            地址：         </w:t>
      </w:r>
    </w:p>
    <w:p>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日期：                            日期：</w:t>
      </w:r>
    </w:p>
    <w:p>
      <w:pPr>
        <w:spacing w:line="360" w:lineRule="auto"/>
        <w:ind w:left="1323" w:leftChars="200" w:hanging="903" w:hangingChars="430"/>
        <w:rPr>
          <w:rFonts w:ascii="Times New Roman" w:hAnsi="Times New Roman"/>
          <w:color w:val="auto"/>
          <w:szCs w:val="21"/>
          <w:highlight w:val="none"/>
        </w:rPr>
      </w:pPr>
    </w:p>
    <w:p>
      <w:pPr>
        <w:spacing w:line="360" w:lineRule="auto"/>
        <w:ind w:left="1323" w:leftChars="200" w:hanging="903" w:hangingChars="430"/>
        <w:rPr>
          <w:rFonts w:ascii="Times New Roman" w:hAnsi="Times New Roman"/>
          <w:color w:val="auto"/>
          <w:szCs w:val="21"/>
          <w:highlight w:val="none"/>
        </w:rPr>
      </w:pPr>
    </w:p>
    <w:p>
      <w:pPr>
        <w:pStyle w:val="2"/>
        <w:pageBreakBefore/>
        <w:spacing w:before="240" w:beforeLines="100" w:after="240" w:afterLines="100" w:line="500" w:lineRule="exact"/>
        <w:jc w:val="center"/>
        <w:rPr>
          <w:rFonts w:eastAsia="黑体"/>
          <w:bCs/>
          <w:color w:val="auto"/>
          <w:kern w:val="2"/>
          <w:sz w:val="32"/>
          <w:szCs w:val="32"/>
          <w:highlight w:val="none"/>
        </w:rPr>
      </w:pPr>
      <w:bookmarkStart w:id="411" w:name="_Toc1424"/>
      <w:bookmarkStart w:id="412" w:name="_Toc2254"/>
      <w:r>
        <w:rPr>
          <w:rFonts w:eastAsia="黑体"/>
          <w:bCs/>
          <w:color w:val="auto"/>
          <w:kern w:val="2"/>
          <w:sz w:val="32"/>
          <w:szCs w:val="32"/>
          <w:highlight w:val="none"/>
        </w:rPr>
        <w:t xml:space="preserve">第五章  </w:t>
      </w:r>
      <w:r>
        <w:rPr>
          <w:rFonts w:hint="eastAsia" w:eastAsia="黑体"/>
          <w:bCs/>
          <w:color w:val="auto"/>
          <w:kern w:val="2"/>
          <w:sz w:val="32"/>
          <w:szCs w:val="32"/>
          <w:highlight w:val="none"/>
        </w:rPr>
        <w:t>招标</w:t>
      </w:r>
      <w:r>
        <w:rPr>
          <w:rFonts w:eastAsia="黑体"/>
          <w:bCs/>
          <w:color w:val="auto"/>
          <w:kern w:val="2"/>
          <w:sz w:val="32"/>
          <w:szCs w:val="32"/>
          <w:highlight w:val="none"/>
        </w:rPr>
        <w:t>人要求</w:t>
      </w:r>
      <w:bookmarkEnd w:id="411"/>
      <w:bookmarkEnd w:id="412"/>
    </w:p>
    <w:bookmarkEnd w:id="381"/>
    <w:bookmarkEnd w:id="382"/>
    <w:bookmarkEnd w:id="383"/>
    <w:bookmarkEnd w:id="384"/>
    <w:p>
      <w:pPr>
        <w:spacing w:line="540" w:lineRule="exact"/>
        <w:ind w:firstLine="422" w:firstLineChars="200"/>
        <w:rPr>
          <w:rFonts w:hint="eastAsia" w:ascii="宋体" w:hAnsi="宋体" w:cs="宋体"/>
          <w:b/>
          <w:bCs/>
          <w:color w:val="auto"/>
          <w:sz w:val="21"/>
          <w:szCs w:val="21"/>
          <w:highlight w:val="none"/>
        </w:rPr>
      </w:pPr>
      <w:bookmarkStart w:id="413" w:name="_Toc30011"/>
      <w:r>
        <w:rPr>
          <w:rFonts w:hint="eastAsia" w:ascii="宋体" w:hAnsi="宋体" w:cs="宋体"/>
          <w:b/>
          <w:bCs/>
          <w:color w:val="auto"/>
          <w:sz w:val="21"/>
          <w:szCs w:val="21"/>
          <w:highlight w:val="none"/>
        </w:rPr>
        <w:t>一、项目概况</w:t>
      </w:r>
      <w:bookmarkEnd w:id="413"/>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bookmarkStart w:id="414" w:name="_Toc27393"/>
      <w:r>
        <w:rPr>
          <w:rFonts w:hint="eastAsia" w:ascii="仿宋_GB2312" w:hAnsi="仿宋_GB2312" w:eastAsia="仿宋_GB2312" w:cs="仿宋_GB2312"/>
          <w:color w:val="auto"/>
          <w:sz w:val="21"/>
          <w:szCs w:val="21"/>
          <w:highlight w:val="none"/>
          <w:lang w:val="en-US" w:eastAsia="zh-CN"/>
        </w:rPr>
        <w:t>为大力推进体育强国建设，振兴安徽“三大球”，助力合肥竞技体育的发展，合肥文旅博览集团组建安徽省第一支女子职业篮球俱乐部，迎战2024-2025赛季WCBA联赛。于此同时，2025年，将继续引进更多高水平体育赛事落户合肥体育中心，满足更多合肥市民家门口观赛的需求。为全面宣传2025年全年在合肥体育中心举行的以“2024-2025赛季WCBA联赛”为代表的体育赛事，不断建立体育公司优质的赛事IP品牌，提升体育赛事的知名度和美誉度，传播合肥乃至安徽优秀的城市体育文化。</w:t>
      </w:r>
    </w:p>
    <w:p>
      <w:pPr>
        <w:numPr>
          <w:ilvl w:val="0"/>
          <w:numId w:val="4"/>
        </w:numPr>
        <w:spacing w:line="540" w:lineRule="exact"/>
        <w:ind w:firstLine="422" w:firstLineChars="200"/>
        <w:rPr>
          <w:rFonts w:hint="default" w:ascii="宋体" w:hAnsi="宋体" w:eastAsia="宋体" w:cs="宋体"/>
          <w:b/>
          <w:bCs/>
          <w:color w:val="auto"/>
          <w:sz w:val="21"/>
          <w:szCs w:val="21"/>
          <w:highlight w:val="none"/>
          <w:lang w:val="en-US"/>
        </w:rPr>
      </w:pPr>
      <w:bookmarkStart w:id="415" w:name="_Toc8914"/>
      <w:r>
        <w:rPr>
          <w:rFonts w:hint="eastAsia" w:ascii="宋体" w:hAnsi="宋体" w:eastAsia="宋体" w:cs="宋体"/>
          <w:b/>
          <w:bCs/>
          <w:color w:val="auto"/>
          <w:sz w:val="21"/>
          <w:szCs w:val="21"/>
          <w:highlight w:val="none"/>
          <w:lang w:val="en-US" w:eastAsia="zh-CN"/>
        </w:rPr>
        <w:t>体育赛事综合宣传服务</w:t>
      </w:r>
      <w:bookmarkEnd w:id="414"/>
      <w:bookmarkStart w:id="416" w:name="_Toc22745"/>
      <w:r>
        <w:rPr>
          <w:rFonts w:hint="eastAsia" w:ascii="宋体" w:hAnsi="宋体" w:eastAsia="宋体" w:cs="宋体"/>
          <w:b/>
          <w:bCs/>
          <w:color w:val="auto"/>
          <w:sz w:val="21"/>
          <w:szCs w:val="21"/>
          <w:highlight w:val="none"/>
          <w:lang w:val="en-US" w:eastAsia="zh-CN"/>
        </w:rPr>
        <w:t>需求</w:t>
      </w:r>
      <w:bookmarkEnd w:id="415"/>
    </w:p>
    <w:bookmarkEnd w:id="416"/>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（一）赛事宣传（不少于60篇/条）</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根据合肥体育中心体育赛事的安排，完成相关赛事的宣传工作（包括但不限于：媒体邀请、赛事预热、通稿拟定、宣传报道、图片、视频资料提供等内容）。赛事宣传内容在市级及以上主流媒体宣传发布，如党报平台、报纸、网站、客户端、微信公众号、视频号等，做好体育赛事的深度宣传报道，达到宣传体育中心高水平赛事，打造合肥体育中心赛事品牌的目的。</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根据2024-2025赛季WCBA联赛各重点赛程、主场比赛等撰写系列高质量宣传稿件，宣传内容在市级及以上主流媒体宣传发布，如党报平台、报纸、网站、客户端、微信公众号、视频号等，达到WCBA联赛的宣传深度、以及提升合肥文旅女篮在全市范围内广泛宣传的广度。</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根据2025年度合肥体育中心体育赛事和2024-2025赛季WCBA联赛赛程，需整合新媒体资源，通过社交媒体、自媒体、短视频平台、直播等多种形式进行赛事宣传和推广，形成良好的宣传互动效果，提升合肥体育中心和文旅女篮体育品牌形象，助力打造优质的赛事IP。</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（二）宣传片制作（时长4分钟左右）</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通过制作宣传片，展现合肥文旅女篮的形象和专业特色，展示合肥文旅女篮热情积极的精神风貌，传递合肥文旅女篮坚韧不屈、勇敢团结的体育精神，制作出一部能够代表合肥文旅女篮形象的宣传片。宣传片内容涵盖合肥文旅女篮介绍、队员特长，突出合肥文旅女篮在WCBA联赛的重要价值，展现合肥文旅博览集团在体育文化板块的发展成效。</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（三）赛事直播及其他</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根据合肥体育中心2025年度其他体育赛事和2024-2025赛季WCBA联赛的宣传需求，提供相关直播服务（1-2个机位）和赛事宣传海报设计服务，相关宣传不定期推送至政府发布平台进行宣传推广。</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（四）开通专栏、专题页面</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 xml:space="preserve">   在市级网站及APP开通2025年度合肥体育中心体育赛事和2024-2025赛季WCBA联赛专栏、专题，同步宣传发布赛事宣传报道，达到宣传相关体育赛事和WCBA联赛的目标，扩大合肥体育中心高水平赛事的影响力，提升合肥文旅女篮在全市范围内广泛宣传的广度。   </w:t>
      </w: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spacing w:line="540" w:lineRule="exact"/>
        <w:ind w:firstLine="420" w:firstLineChars="200"/>
        <w:rPr>
          <w:rFonts w:hint="eastAsia" w:ascii="仿宋_GB2312" w:hAnsi="仿宋_GB2312" w:eastAsia="仿宋_GB2312" w:cs="仿宋_GB2312"/>
          <w:color w:val="auto"/>
          <w:sz w:val="21"/>
          <w:szCs w:val="21"/>
          <w:highlight w:val="none"/>
          <w:lang w:val="en-US" w:eastAsia="zh-CN"/>
        </w:rPr>
      </w:pPr>
    </w:p>
    <w:p>
      <w:pPr>
        <w:bidi w:val="0"/>
        <w:jc w:val="center"/>
        <w:outlineLvl w:val="0"/>
        <w:rPr>
          <w:rFonts w:ascii="Times New Roman" w:hAnsi="Times New Roman" w:eastAsia="黑体"/>
          <w:color w:val="auto"/>
          <w:sz w:val="32"/>
          <w:szCs w:val="32"/>
          <w:highlight w:val="none"/>
        </w:rPr>
      </w:pPr>
      <w:r>
        <w:rPr>
          <w:rFonts w:ascii="Times New Roman" w:hAnsi="Times New Roman"/>
          <w:color w:val="auto"/>
          <w:highlight w:val="none"/>
        </w:rPr>
        <w:br w:type="page"/>
      </w:r>
      <w:bookmarkStart w:id="417" w:name="_Toc8679"/>
      <w:r>
        <w:rPr>
          <w:rFonts w:ascii="Times New Roman" w:hAnsi="Times New Roman" w:eastAsia="黑体"/>
          <w:b/>
          <w:bCs/>
          <w:color w:val="auto"/>
          <w:sz w:val="32"/>
          <w:szCs w:val="32"/>
          <w:highlight w:val="none"/>
        </w:rPr>
        <w:t>第六章</w:t>
      </w:r>
      <w:r>
        <w:rPr>
          <w:rFonts w:hint="eastAsia" w:ascii="Times New Roman" w:hAnsi="Times New Roman" w:eastAsia="黑体"/>
          <w:b/>
          <w:bCs/>
          <w:color w:val="auto"/>
          <w:sz w:val="32"/>
          <w:szCs w:val="32"/>
          <w:highlight w:val="none"/>
        </w:rPr>
        <w:t xml:space="preserve"> </w:t>
      </w:r>
      <w:r>
        <w:rPr>
          <w:rFonts w:ascii="Times New Roman" w:hAnsi="Times New Roman" w:eastAsia="黑体"/>
          <w:b/>
          <w:bCs/>
          <w:color w:val="auto"/>
          <w:sz w:val="32"/>
          <w:szCs w:val="32"/>
          <w:highlight w:val="none"/>
        </w:rPr>
        <w:t>投标文件格式</w:t>
      </w:r>
      <w:bookmarkEnd w:id="417"/>
    </w:p>
    <w:p>
      <w:pPr>
        <w:spacing w:line="400" w:lineRule="exact"/>
        <w:rPr>
          <w:rFonts w:ascii="Times New Roman" w:hAnsi="Times New Roman"/>
          <w:color w:val="auto"/>
          <w:highlight w:val="none"/>
        </w:rPr>
      </w:pPr>
    </w:p>
    <w:p>
      <w:pPr>
        <w:spacing w:line="400" w:lineRule="exact"/>
        <w:jc w:val="center"/>
        <w:outlineLvl w:val="1"/>
        <w:rPr>
          <w:rFonts w:ascii="Times New Roman" w:hAnsi="Times New Roman" w:eastAsia="黑体"/>
          <w:color w:val="auto"/>
          <w:sz w:val="28"/>
          <w:szCs w:val="28"/>
          <w:highlight w:val="none"/>
          <w:u w:val="single"/>
        </w:rPr>
      </w:pPr>
      <w:bookmarkStart w:id="418" w:name="_Toc11216"/>
      <w:r>
        <w:rPr>
          <w:rFonts w:ascii="Times New Roman" w:hAnsi="Times New Roman" w:eastAsia="黑体"/>
          <w:color w:val="auto"/>
          <w:sz w:val="28"/>
          <w:szCs w:val="28"/>
          <w:highlight w:val="none"/>
          <w:u w:val="single"/>
        </w:rPr>
        <w:t>某招标项目标段名称</w:t>
      </w:r>
      <w:r>
        <w:rPr>
          <w:rFonts w:ascii="Times New Roman" w:hAnsi="Times New Roman" w:eastAsia="黑体"/>
          <w:color w:val="auto"/>
          <w:sz w:val="28"/>
          <w:szCs w:val="28"/>
          <w:highlight w:val="none"/>
        </w:rPr>
        <w:t>招标</w:t>
      </w:r>
      <w:bookmarkEnd w:id="418"/>
    </w:p>
    <w:p>
      <w:pPr>
        <w:rPr>
          <w:rFonts w:ascii="Times New Roman" w:hAnsi="Times New Roman" w:eastAsia="黑体"/>
          <w:color w:val="auto"/>
          <w:sz w:val="20"/>
          <w:highlight w:val="none"/>
        </w:rPr>
      </w:pPr>
    </w:p>
    <w:p>
      <w:pPr>
        <w:rPr>
          <w:rFonts w:ascii="Times New Roman" w:hAnsi="Times New Roman" w:eastAsia="黑体"/>
          <w:color w:val="auto"/>
          <w:sz w:val="20"/>
          <w:highlight w:val="none"/>
        </w:rPr>
      </w:pPr>
    </w:p>
    <w:p>
      <w:pPr>
        <w:rPr>
          <w:rFonts w:ascii="Times New Roman" w:hAnsi="Times New Roman" w:eastAsia="黑体"/>
          <w:color w:val="auto"/>
          <w:sz w:val="20"/>
          <w:highlight w:val="none"/>
        </w:rPr>
      </w:pPr>
    </w:p>
    <w:p>
      <w:pPr>
        <w:rPr>
          <w:rFonts w:ascii="Times New Roman" w:hAnsi="Times New Roman" w:eastAsia="黑体"/>
          <w:color w:val="auto"/>
          <w:sz w:val="20"/>
          <w:highlight w:val="none"/>
        </w:rPr>
      </w:pPr>
    </w:p>
    <w:p>
      <w:pPr>
        <w:pStyle w:val="3"/>
        <w:jc w:val="center"/>
        <w:rPr>
          <w:rFonts w:hint="eastAsia" w:ascii="Times New Roman" w:hAnsi="Times New Roman" w:eastAsia="黑体"/>
          <w:b w:val="0"/>
          <w:color w:val="auto"/>
          <w:sz w:val="44"/>
          <w:szCs w:val="44"/>
          <w:highlight w:val="none"/>
          <w:lang w:eastAsia="zh-CN"/>
        </w:rPr>
      </w:pPr>
      <w:bookmarkStart w:id="419" w:name="_Toc23690"/>
      <w:bookmarkStart w:id="420" w:name="_Toc10342"/>
      <w:bookmarkStart w:id="421" w:name="_Toc3383"/>
      <w:bookmarkStart w:id="422" w:name="_Toc18759"/>
      <w:bookmarkStart w:id="423" w:name="_Toc1453"/>
      <w:bookmarkStart w:id="424" w:name="_Toc2621"/>
      <w:bookmarkStart w:id="425" w:name="_Toc16245"/>
      <w:bookmarkStart w:id="426" w:name="_Toc5071"/>
      <w:r>
        <w:rPr>
          <w:rFonts w:ascii="Times New Roman" w:hAnsi="Times New Roman"/>
          <w:b w:val="0"/>
          <w:color w:val="auto"/>
          <w:sz w:val="44"/>
          <w:szCs w:val="44"/>
          <w:highlight w:val="none"/>
        </w:rPr>
        <w:t>投标文件</w:t>
      </w:r>
      <w:bookmarkEnd w:id="419"/>
      <w:bookmarkEnd w:id="420"/>
    </w:p>
    <w:p>
      <w:pPr>
        <w:pStyle w:val="3"/>
        <w:jc w:val="center"/>
        <w:rPr>
          <w:rFonts w:ascii="Times New Roman" w:hAnsi="Times New Roman"/>
          <w:b w:val="0"/>
          <w:color w:val="auto"/>
          <w:sz w:val="44"/>
          <w:szCs w:val="44"/>
          <w:highlight w:val="none"/>
        </w:rPr>
      </w:pPr>
      <w:bookmarkStart w:id="427" w:name="_Toc29478"/>
      <w:bookmarkStart w:id="428" w:name="_Toc2995"/>
      <w:r>
        <w:rPr>
          <w:rFonts w:ascii="Times New Roman" w:hAnsi="Times New Roman"/>
          <w:b w:val="0"/>
          <w:color w:val="auto"/>
          <w:sz w:val="44"/>
          <w:szCs w:val="44"/>
          <w:highlight w:val="none"/>
        </w:rPr>
        <w:t>（技术</w:t>
      </w:r>
      <w:r>
        <w:rPr>
          <w:rFonts w:hint="eastAsia" w:ascii="Times New Roman" w:hAnsi="Times New Roman"/>
          <w:b w:val="0"/>
          <w:color w:val="auto"/>
          <w:sz w:val="44"/>
          <w:szCs w:val="44"/>
          <w:highlight w:val="none"/>
          <w:lang w:val="en-US" w:eastAsia="zh-CN"/>
        </w:rPr>
        <w:t>及资信</w:t>
      </w:r>
      <w:r>
        <w:rPr>
          <w:rFonts w:ascii="Times New Roman" w:hAnsi="Times New Roman"/>
          <w:b w:val="0"/>
          <w:color w:val="auto"/>
          <w:sz w:val="44"/>
          <w:szCs w:val="44"/>
          <w:highlight w:val="none"/>
        </w:rPr>
        <w:t>文件）</w:t>
      </w:r>
      <w:bookmarkEnd w:id="421"/>
      <w:bookmarkEnd w:id="422"/>
      <w:bookmarkEnd w:id="423"/>
      <w:bookmarkEnd w:id="424"/>
      <w:bookmarkEnd w:id="425"/>
      <w:bookmarkEnd w:id="426"/>
      <w:bookmarkEnd w:id="427"/>
      <w:bookmarkEnd w:id="428"/>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rPr>
          <w:rFonts w:ascii="Times New Roman" w:hAnsi="Times New Roman" w:eastAsia="黑体"/>
          <w:color w:val="auto"/>
          <w:sz w:val="28"/>
          <w:highlight w:val="none"/>
        </w:rPr>
      </w:pPr>
    </w:p>
    <w:p>
      <w:pPr>
        <w:spacing w:line="360" w:lineRule="auto"/>
        <w:ind w:firstLine="1820" w:firstLineChars="650"/>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p>
    <w:p>
      <w:pPr>
        <w:spacing w:line="600" w:lineRule="exact"/>
        <w:jc w:val="center"/>
        <w:rPr>
          <w:rFonts w:ascii="Times New Roman" w:hAnsi="Times New Roman" w:eastAsia="黑体"/>
          <w:color w:val="auto"/>
          <w:sz w:val="32"/>
          <w:szCs w:val="32"/>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r>
        <w:rPr>
          <w:rFonts w:ascii="Times New Roman" w:hAnsi="Times New Roman"/>
          <w:color w:val="auto"/>
          <w:highlight w:val="none"/>
        </w:rPr>
        <w:br w:type="page"/>
      </w:r>
      <w:r>
        <w:rPr>
          <w:rFonts w:ascii="Times New Roman" w:hAnsi="Times New Roman" w:eastAsia="黑体"/>
          <w:color w:val="auto"/>
          <w:sz w:val="32"/>
          <w:szCs w:val="32"/>
          <w:highlight w:val="none"/>
        </w:rPr>
        <w:t>目  录</w:t>
      </w:r>
    </w:p>
    <w:p>
      <w:pPr>
        <w:numPr>
          <w:ilvl w:val="0"/>
          <w:numId w:val="5"/>
        </w:numPr>
        <w:spacing w:line="480" w:lineRule="auto"/>
        <w:rPr>
          <w:rFonts w:ascii="Times New Roman" w:hAnsi="Times New Roman"/>
          <w:color w:val="auto"/>
          <w:szCs w:val="21"/>
          <w:highlight w:val="none"/>
        </w:rPr>
      </w:pPr>
      <w:r>
        <w:rPr>
          <w:rFonts w:ascii="Times New Roman" w:hAnsi="Times New Roman"/>
          <w:color w:val="auto"/>
          <w:szCs w:val="21"/>
          <w:highlight w:val="none"/>
        </w:rPr>
        <w:t>投标函（不含报价）</w:t>
      </w:r>
    </w:p>
    <w:p>
      <w:pPr>
        <w:numPr>
          <w:ilvl w:val="0"/>
          <w:numId w:val="5"/>
        </w:numPr>
        <w:spacing w:line="480" w:lineRule="auto"/>
        <w:ind w:left="0" w:leftChars="0" w:firstLine="0" w:firstLineChars="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法定代表人身份证明或授权委托书</w:t>
      </w:r>
    </w:p>
    <w:p>
      <w:pPr>
        <w:numPr>
          <w:ilvl w:val="0"/>
          <w:numId w:val="0"/>
        </w:numPr>
        <w:spacing w:line="480" w:lineRule="auto"/>
        <w:ind w:leftChars="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三、联合体协议书</w:t>
      </w:r>
    </w:p>
    <w:p>
      <w:pPr>
        <w:spacing w:line="480" w:lineRule="auto"/>
        <w:rPr>
          <w:rFonts w:ascii="Times New Roman" w:hAnsi="Times New Roman"/>
          <w:color w:val="auto"/>
          <w:szCs w:val="21"/>
          <w:highlight w:val="none"/>
        </w:rPr>
      </w:pPr>
      <w:r>
        <w:rPr>
          <w:rFonts w:ascii="Times New Roman" w:hAnsi="Times New Roman"/>
          <w:color w:val="auto"/>
          <w:szCs w:val="21"/>
          <w:highlight w:val="none"/>
        </w:rPr>
        <w:t>四、投标保证金</w:t>
      </w:r>
    </w:p>
    <w:p>
      <w:pPr>
        <w:spacing w:line="480" w:lineRule="auto"/>
        <w:rPr>
          <w:rFonts w:ascii="Times New Roman" w:hAnsi="Times New Roman"/>
          <w:color w:val="auto"/>
          <w:szCs w:val="21"/>
          <w:highlight w:val="none"/>
        </w:rPr>
      </w:pPr>
      <w:r>
        <w:rPr>
          <w:rFonts w:ascii="Times New Roman" w:hAnsi="Times New Roman"/>
          <w:color w:val="auto"/>
          <w:szCs w:val="21"/>
          <w:highlight w:val="none"/>
        </w:rPr>
        <w:t>五、投标保证金退还声明</w:t>
      </w:r>
    </w:p>
    <w:p>
      <w:pPr>
        <w:spacing w:line="480" w:lineRule="auto"/>
        <w:rPr>
          <w:rFonts w:ascii="Times New Roman" w:hAnsi="Times New Roman"/>
          <w:color w:val="auto"/>
          <w:szCs w:val="21"/>
          <w:highlight w:val="none"/>
        </w:rPr>
      </w:pPr>
      <w:r>
        <w:rPr>
          <w:rFonts w:ascii="Times New Roman" w:hAnsi="Times New Roman"/>
          <w:color w:val="auto"/>
          <w:szCs w:val="21"/>
          <w:highlight w:val="none"/>
        </w:rPr>
        <w:t>六、</w:t>
      </w:r>
      <w:r>
        <w:rPr>
          <w:rFonts w:ascii="Times New Roman" w:hAnsi="Times New Roman"/>
          <w:color w:val="auto"/>
          <w:highlight w:val="none"/>
        </w:rPr>
        <w:t>拟委任的主要人员汇总表</w:t>
      </w:r>
    </w:p>
    <w:p>
      <w:pPr>
        <w:spacing w:line="480" w:lineRule="auto"/>
        <w:rPr>
          <w:rFonts w:ascii="Times New Roman" w:hAnsi="Times New Roman"/>
          <w:color w:val="auto"/>
          <w:szCs w:val="21"/>
          <w:highlight w:val="none"/>
        </w:rPr>
      </w:pPr>
      <w:r>
        <w:rPr>
          <w:rFonts w:ascii="Times New Roman" w:hAnsi="Times New Roman"/>
          <w:color w:val="auto"/>
          <w:szCs w:val="21"/>
          <w:highlight w:val="none"/>
        </w:rPr>
        <w:t>七、资格审查资料</w:t>
      </w:r>
    </w:p>
    <w:p>
      <w:pPr>
        <w:spacing w:line="480" w:lineRule="auto"/>
        <w:outlineLvl w:val="1"/>
        <w:rPr>
          <w:rFonts w:ascii="Times New Roman" w:hAnsi="Times New Roman"/>
          <w:color w:val="auto"/>
          <w:szCs w:val="21"/>
          <w:highlight w:val="none"/>
        </w:rPr>
      </w:pPr>
      <w:bookmarkStart w:id="429" w:name="_Toc14436"/>
      <w:r>
        <w:rPr>
          <w:rFonts w:ascii="Times New Roman" w:hAnsi="Times New Roman"/>
          <w:color w:val="auto"/>
          <w:szCs w:val="21"/>
          <w:highlight w:val="none"/>
        </w:rPr>
        <w:t>（一）投标人基本情况表</w:t>
      </w:r>
      <w:bookmarkEnd w:id="429"/>
    </w:p>
    <w:p>
      <w:pPr>
        <w:spacing w:line="480" w:lineRule="auto"/>
        <w:rPr>
          <w:rFonts w:ascii="Times New Roman" w:hAnsi="Times New Roman"/>
          <w:color w:val="auto"/>
          <w:szCs w:val="21"/>
          <w:highlight w:val="none"/>
        </w:rPr>
      </w:pPr>
      <w:r>
        <w:rPr>
          <w:rFonts w:ascii="Times New Roman" w:hAnsi="Times New Roman"/>
          <w:color w:val="auto"/>
          <w:szCs w:val="21"/>
          <w:highlight w:val="none"/>
        </w:rPr>
        <w:t>八、服务方案</w:t>
      </w:r>
    </w:p>
    <w:p>
      <w:pPr>
        <w:spacing w:line="480" w:lineRule="auto"/>
        <w:rPr>
          <w:rFonts w:ascii="Times New Roman" w:hAnsi="Times New Roman"/>
          <w:color w:val="auto"/>
          <w:szCs w:val="21"/>
          <w:highlight w:val="none"/>
        </w:rPr>
      </w:pPr>
      <w:r>
        <w:rPr>
          <w:rFonts w:ascii="Times New Roman" w:hAnsi="Times New Roman"/>
          <w:color w:val="auto"/>
          <w:szCs w:val="21"/>
          <w:highlight w:val="none"/>
        </w:rPr>
        <w:t>九、其他资料</w:t>
      </w:r>
    </w:p>
    <w:p>
      <w:pPr>
        <w:pStyle w:val="4"/>
        <w:spacing w:line="413" w:lineRule="auto"/>
        <w:ind w:firstLine="137"/>
        <w:jc w:val="center"/>
        <w:rPr>
          <w:rFonts w:ascii="Times New Roman" w:hAnsi="Times New Roman"/>
          <w:color w:val="auto"/>
          <w:sz w:val="24"/>
          <w:szCs w:val="24"/>
          <w:highlight w:val="none"/>
        </w:rPr>
      </w:pPr>
      <w:bookmarkStart w:id="430" w:name="_Toc352691655"/>
      <w:bookmarkStart w:id="431" w:name="_Toc7039"/>
      <w:bookmarkStart w:id="432" w:name="_Toc369531691"/>
      <w:r>
        <w:rPr>
          <w:rFonts w:ascii="Times New Roman" w:hAnsi="Times New Roman"/>
          <w:color w:val="auto"/>
          <w:highlight w:val="none"/>
        </w:rPr>
        <w:br w:type="page"/>
      </w:r>
      <w:bookmarkEnd w:id="430"/>
      <w:bookmarkEnd w:id="431"/>
      <w:bookmarkEnd w:id="432"/>
      <w:r>
        <w:rPr>
          <w:rFonts w:ascii="Times New Roman" w:hAnsi="Times New Roman"/>
          <w:color w:val="auto"/>
          <w:sz w:val="24"/>
          <w:szCs w:val="24"/>
          <w:highlight w:val="none"/>
        </w:rPr>
        <w:t>一、投标</w:t>
      </w:r>
      <w:bookmarkStart w:id="433" w:name="_Toc352691656"/>
      <w:bookmarkStart w:id="434" w:name="_Toc369531692"/>
      <w:bookmarkStart w:id="435" w:name="_Toc6931"/>
      <w:r>
        <w:rPr>
          <w:rFonts w:ascii="Times New Roman" w:hAnsi="Times New Roman"/>
          <w:color w:val="auto"/>
          <w:sz w:val="24"/>
          <w:szCs w:val="24"/>
          <w:highlight w:val="none"/>
        </w:rPr>
        <w:t>函</w:t>
      </w:r>
    </w:p>
    <w:bookmarkEnd w:id="433"/>
    <w:bookmarkEnd w:id="434"/>
    <w:bookmarkEnd w:id="435"/>
    <w:p>
      <w:pPr>
        <w:adjustRightInd w:val="0"/>
        <w:snapToGrid w:val="0"/>
        <w:spacing w:before="48" w:beforeLines="20" w:after="48" w:afterLines="20" w:line="400" w:lineRule="exact"/>
        <w:rPr>
          <w:rFonts w:ascii="Times New Roman" w:hAnsi="Times New Roman"/>
          <w:color w:val="auto"/>
          <w:szCs w:val="21"/>
          <w:highlight w:val="none"/>
        </w:rPr>
      </w:pPr>
      <w:r>
        <w:rPr>
          <w:rFonts w:ascii="Times New Roman" w:hAnsi="Times New Roman"/>
          <w:color w:val="auto"/>
          <w:szCs w:val="21"/>
          <w:highlight w:val="none"/>
          <w:u w:val="single"/>
        </w:rPr>
        <w:t>某委托单位</w:t>
      </w:r>
      <w:r>
        <w:rPr>
          <w:rFonts w:ascii="Times New Roman" w:hAnsi="Times New Roman"/>
          <w:snapToGrid w:val="0"/>
          <w:color w:val="auto"/>
          <w:kern w:val="0"/>
          <w:szCs w:val="21"/>
          <w:highlight w:val="none"/>
        </w:rPr>
        <w:t>：</w:t>
      </w:r>
    </w:p>
    <w:p>
      <w:pPr>
        <w:spacing w:line="440" w:lineRule="exact"/>
        <w:ind w:firstLine="405"/>
        <w:rPr>
          <w:rFonts w:ascii="Times New Roman" w:hAnsi="Times New Roman"/>
          <w:color w:val="auto"/>
          <w:highlight w:val="none"/>
        </w:rPr>
      </w:pPr>
      <w:bookmarkStart w:id="436" w:name="_Hlk12788694"/>
      <w:r>
        <w:rPr>
          <w:rFonts w:ascii="Times New Roman" w:hAnsi="Times New Roman"/>
          <w:color w:val="auto"/>
          <w:szCs w:val="21"/>
          <w:highlight w:val="none"/>
        </w:rPr>
        <w:t>1．</w:t>
      </w:r>
      <w:r>
        <w:rPr>
          <w:rFonts w:ascii="Times New Roman" w:hAnsi="Times New Roman"/>
          <w:color w:val="auto"/>
          <w:highlight w:val="none"/>
        </w:rPr>
        <w:t>我方已仔细研究</w:t>
      </w:r>
      <w:r>
        <w:rPr>
          <w:rFonts w:ascii="Times New Roman" w:hAnsi="Times New Roman"/>
          <w:color w:val="auto"/>
          <w:szCs w:val="21"/>
          <w:highlight w:val="none"/>
          <w:u w:val="single"/>
        </w:rPr>
        <w:t>某招标项目标段名称</w:t>
      </w:r>
      <w:r>
        <w:rPr>
          <w:rFonts w:ascii="Times New Roman" w:hAnsi="Times New Roman"/>
          <w:color w:val="auto"/>
          <w:highlight w:val="none"/>
        </w:rPr>
        <w:t>招标文件的全部内容，在考察项目现场后，愿以</w:t>
      </w:r>
      <w:r>
        <w:rPr>
          <w:rFonts w:ascii="Times New Roman" w:hAnsi="Times New Roman"/>
          <w:color w:val="auto"/>
          <w:szCs w:val="21"/>
          <w:highlight w:val="none"/>
          <w:u w:val="single"/>
        </w:rPr>
        <w:t>报价文件投标函中</w:t>
      </w:r>
      <w:r>
        <w:rPr>
          <w:rFonts w:ascii="Times New Roman" w:hAnsi="Times New Roman"/>
          <w:color w:val="auto"/>
          <w:highlight w:val="none"/>
          <w:u w:val="single"/>
        </w:rPr>
        <w:t>的</w:t>
      </w:r>
      <w:r>
        <w:rPr>
          <w:rFonts w:ascii="Times New Roman" w:hAnsi="Times New Roman"/>
          <w:color w:val="auto"/>
          <w:highlight w:val="none"/>
        </w:rPr>
        <w:t>投标总报价，并承诺按本招标文件、合同条款的条件、承担上述项目的全部内容。</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color w:val="auto"/>
          <w:highlight w:val="none"/>
        </w:rPr>
      </w:pPr>
      <w:r>
        <w:rPr>
          <w:rFonts w:ascii="Times New Roman" w:hAnsi="Times New Roman"/>
          <w:color w:val="auto"/>
          <w:highlight w:val="none"/>
        </w:rPr>
        <w:t>2. 我方承诺在招标文件规定的投标有效期内不撤销投标文件。</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color w:val="auto"/>
          <w:highlight w:val="none"/>
        </w:rPr>
      </w:pPr>
      <w:r>
        <w:rPr>
          <w:rFonts w:ascii="Times New Roman" w:hAnsi="Times New Roman"/>
          <w:color w:val="auto"/>
          <w:highlight w:val="none"/>
        </w:rPr>
        <w:t>3. 质量：</w:t>
      </w:r>
      <w:r>
        <w:rPr>
          <w:rFonts w:ascii="Times New Roman" w:hAnsi="Times New Roman"/>
          <w:color w:val="auto"/>
          <w:highlight w:val="none"/>
          <w:u w:val="single"/>
        </w:rPr>
        <w:t>响应招标文件要求</w:t>
      </w:r>
      <w:r>
        <w:rPr>
          <w:rFonts w:ascii="Times New Roman" w:hAnsi="Times New Roman"/>
          <w:color w:val="auto"/>
          <w:highlight w:val="none"/>
        </w:rPr>
        <w:t>；</w:t>
      </w:r>
      <w:r>
        <w:rPr>
          <w:rFonts w:ascii="Times New Roman" w:hAnsi="Times New Roman"/>
          <w:color w:val="auto"/>
          <w:szCs w:val="21"/>
          <w:highlight w:val="none"/>
        </w:rPr>
        <w:t>服务期限</w:t>
      </w:r>
      <w:r>
        <w:rPr>
          <w:rFonts w:ascii="Times New Roman" w:hAnsi="Times New Roman"/>
          <w:color w:val="auto"/>
          <w:highlight w:val="none"/>
        </w:rPr>
        <w:t>：</w:t>
      </w:r>
      <w:r>
        <w:rPr>
          <w:rFonts w:ascii="Times New Roman" w:hAnsi="Times New Roman"/>
          <w:color w:val="auto"/>
          <w:highlight w:val="none"/>
          <w:u w:val="single"/>
        </w:rPr>
        <w:t>响应招标文件要求</w:t>
      </w:r>
      <w:r>
        <w:rPr>
          <w:rFonts w:ascii="Times New Roman" w:hAnsi="Times New Roman"/>
          <w:color w:val="auto"/>
          <w:highlight w:val="none"/>
        </w:rPr>
        <w:t>。</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bCs/>
          <w:color w:val="auto"/>
          <w:szCs w:val="32"/>
          <w:highlight w:val="none"/>
        </w:rPr>
      </w:pPr>
      <w:r>
        <w:rPr>
          <w:rFonts w:ascii="Times New Roman" w:hAnsi="Times New Roman"/>
          <w:bCs/>
          <w:color w:val="auto"/>
          <w:szCs w:val="32"/>
          <w:highlight w:val="none"/>
        </w:rPr>
        <w:t>4. 我方将与本投标函一起提交投标保证金，且承诺投标保证金转出账户真实有效。</w:t>
      </w:r>
    </w:p>
    <w:p>
      <w:pPr>
        <w:spacing w:line="440" w:lineRule="exact"/>
        <w:ind w:firstLine="420" w:firstLineChars="200"/>
        <w:outlineLvl w:val="3"/>
        <w:rPr>
          <w:rFonts w:ascii="Times New Roman" w:hAnsi="Times New Roman"/>
          <w:color w:val="auto"/>
          <w:szCs w:val="21"/>
          <w:highlight w:val="none"/>
        </w:rPr>
      </w:pPr>
      <w:r>
        <w:rPr>
          <w:rFonts w:ascii="Times New Roman" w:hAnsi="Times New Roman"/>
          <w:color w:val="auto"/>
          <w:szCs w:val="21"/>
          <w:highlight w:val="none"/>
        </w:rPr>
        <w:t>5．如我方中标，我方承诺：</w:t>
      </w:r>
    </w:p>
    <w:p>
      <w:pPr>
        <w:spacing w:line="400" w:lineRule="exact"/>
        <w:ind w:firstLine="405"/>
        <w:rPr>
          <w:rFonts w:ascii="Times New Roman" w:hAnsi="Times New Roman"/>
          <w:bCs/>
          <w:color w:val="auto"/>
          <w:szCs w:val="32"/>
          <w:highlight w:val="none"/>
        </w:rPr>
      </w:pPr>
      <w:r>
        <w:rPr>
          <w:rFonts w:ascii="Times New Roman" w:hAnsi="Times New Roman"/>
          <w:bCs/>
          <w:color w:val="auto"/>
          <w:szCs w:val="32"/>
          <w:highlight w:val="none"/>
        </w:rPr>
        <w:t>（1）在收到中标通知书后，在中标通知书规定的期限内与你方签订合同；</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（2）在签订合同时不向你方提出附加条件；</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（3）按照招标文件要求提交履约保证金；</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（4）在合同约定的期限内完成合同规定的全部义务；</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（5）</w:t>
      </w:r>
      <w:r>
        <w:rPr>
          <w:rFonts w:ascii="Times New Roman" w:hAnsi="Times New Roman"/>
          <w:color w:val="auto"/>
          <w:highlight w:val="none"/>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400" w:lineRule="exact"/>
        <w:ind w:firstLine="405"/>
        <w:rPr>
          <w:rFonts w:ascii="Times New Roman" w:hAnsi="Times New Roman"/>
          <w:color w:val="auto"/>
          <w:szCs w:val="21"/>
          <w:highlight w:val="none"/>
        </w:rPr>
      </w:pPr>
      <w:r>
        <w:rPr>
          <w:rFonts w:ascii="Times New Roman" w:hAnsi="Times New Roman"/>
          <w:bCs/>
          <w:color w:val="auto"/>
          <w:szCs w:val="32"/>
          <w:highlight w:val="none"/>
        </w:rPr>
        <w:t>（6）</w:t>
      </w:r>
      <w:r>
        <w:rPr>
          <w:rFonts w:ascii="Times New Roman" w:hAnsi="Times New Roman"/>
          <w:color w:val="auto"/>
          <w:highlight w:val="none"/>
        </w:rPr>
        <w:t>按照《纳税人跨县（市、区）提供建筑服务增值税征收管理暂行办法》（国家税务总局公告2016年第17号）规定，在建筑服务发生地及时足额预缴增值税（适用于注册地不在合肥市行政区域范围（含四县一市）的中标人）；</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bookmarkStart w:id="437" w:name="_Toc1187"/>
      <w:bookmarkStart w:id="438" w:name="_Toc369531694"/>
      <w:bookmarkStart w:id="439" w:name="_Toc352691658"/>
      <w:r>
        <w:rPr>
          <w:rFonts w:ascii="Times New Roman" w:hAnsi="Times New Roman"/>
          <w:bCs/>
          <w:color w:val="auto"/>
          <w:szCs w:val="32"/>
          <w:highlight w:val="none"/>
        </w:rPr>
        <w:t>6.</w:t>
      </w:r>
      <w:r>
        <w:rPr>
          <w:rFonts w:ascii="Times New Roman" w:hAnsi="Times New Roman"/>
          <w:snapToGrid w:val="0"/>
          <w:color w:val="auto"/>
          <w:kern w:val="0"/>
          <w:szCs w:val="21"/>
          <w:highlight w:val="none"/>
        </w:rPr>
        <w:t xml:space="preserve"> 我方在此声明，所递交的投标文件及有关资料内容完整、真实和准确，符合资格审查条件(信誉最低要求)，且不存在招标文件第二章 “投标人须知”第1.4.3项和第1.4.4项规定的任何一种情形。</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7. 除非另外达成协议并生效，你方的中标通知书和本投标文件以及招标文件、招标文件澄清、修改、补充文件将成为约束双方的合同文件的组成部分。</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 xml:space="preserve">8. </w:t>
      </w:r>
      <w:r>
        <w:rPr>
          <w:rFonts w:ascii="Times New Roman" w:hAnsi="Times New Roman" w:eastAsia="黑体"/>
          <w:snapToGrid w:val="0"/>
          <w:color w:val="auto"/>
          <w:kern w:val="0"/>
          <w:szCs w:val="21"/>
          <w:highlight w:val="none"/>
          <w:u w:val="single"/>
        </w:rPr>
        <w:t xml:space="preserve">                          </w:t>
      </w:r>
      <w:r>
        <w:rPr>
          <w:rFonts w:ascii="Times New Roman" w:hAnsi="Times New Roman"/>
          <w:snapToGrid w:val="0"/>
          <w:color w:val="auto"/>
          <w:kern w:val="0"/>
          <w:szCs w:val="21"/>
          <w:highlight w:val="none"/>
        </w:rPr>
        <w:t>（其他补充说明）。</w:t>
      </w:r>
      <w:bookmarkEnd w:id="437"/>
      <w:bookmarkEnd w:id="438"/>
      <w:bookmarkEnd w:id="439"/>
    </w:p>
    <w:p>
      <w:pPr>
        <w:adjustRightInd w:val="0"/>
        <w:snapToGrid w:val="0"/>
        <w:spacing w:before="48" w:beforeLines="20" w:after="48" w:afterLines="20" w:line="400" w:lineRule="exact"/>
        <w:ind w:firstLine="490" w:firstLineChars="175"/>
        <w:rPr>
          <w:rFonts w:ascii="Times New Roman" w:hAnsi="Times New Roman"/>
          <w:bCs/>
          <w:color w:val="auto"/>
          <w:sz w:val="28"/>
          <w:szCs w:val="32"/>
          <w:highlight w:val="none"/>
        </w:rPr>
      </w:pPr>
    </w:p>
    <w:p>
      <w:pPr>
        <w:adjustRightInd w:val="0"/>
        <w:snapToGrid w:val="0"/>
        <w:spacing w:before="48" w:beforeLines="20" w:after="48" w:afterLines="20" w:line="400" w:lineRule="exact"/>
        <w:ind w:firstLine="367" w:firstLineChars="175"/>
        <w:rPr>
          <w:rFonts w:ascii="Times New Roman" w:hAnsi="Times New Roman"/>
          <w:bCs/>
          <w:color w:val="auto"/>
          <w:szCs w:val="21"/>
          <w:highlight w:val="none"/>
          <w:u w:val="single"/>
        </w:rPr>
      </w:pPr>
      <w:r>
        <w:rPr>
          <w:rFonts w:ascii="Times New Roman" w:hAnsi="Times New Roman"/>
          <w:bCs/>
          <w:color w:val="auto"/>
          <w:szCs w:val="21"/>
          <w:highlight w:val="none"/>
        </w:rPr>
        <w:t>投 标 人：</w:t>
      </w:r>
      <w:r>
        <w:rPr>
          <w:rFonts w:ascii="Times New Roman" w:hAnsi="Times New Roman"/>
          <w:bCs/>
          <w:color w:val="auto"/>
          <w:szCs w:val="21"/>
          <w:highlight w:val="none"/>
          <w:u w:val="single"/>
        </w:rPr>
        <w:t xml:space="preserve">                                             </w:t>
      </w:r>
      <w:r>
        <w:rPr>
          <w:rFonts w:ascii="Times New Roman" w:hAnsi="Times New Roman"/>
          <w:bCs/>
          <w:color w:val="auto"/>
          <w:szCs w:val="21"/>
          <w:highlight w:val="none"/>
        </w:rPr>
        <w:t>（盖单位章）</w:t>
      </w:r>
    </w:p>
    <w:p>
      <w:pPr>
        <w:tabs>
          <w:tab w:val="left" w:pos="7839"/>
        </w:tabs>
        <w:adjustRightInd w:val="0"/>
        <w:snapToGrid w:val="0"/>
        <w:spacing w:before="48" w:beforeLines="20" w:after="48" w:afterLines="20" w:line="400" w:lineRule="exact"/>
        <w:ind w:firstLine="367" w:firstLineChars="175"/>
        <w:rPr>
          <w:rFonts w:ascii="Times New Roman" w:hAnsi="Times New Roman"/>
          <w:color w:val="auto"/>
          <w:szCs w:val="21"/>
          <w:highlight w:val="none"/>
          <w:u w:val="singl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（签字或盖章）</w:t>
      </w:r>
    </w:p>
    <w:p>
      <w:pPr>
        <w:adjustRightInd w:val="0"/>
        <w:snapToGrid w:val="0"/>
        <w:spacing w:before="48" w:beforeLines="20" w:after="48" w:afterLines="20" w:line="400" w:lineRule="exact"/>
        <w:ind w:firstLine="367" w:firstLineChars="175"/>
        <w:rPr>
          <w:rFonts w:ascii="Times New Roman" w:hAnsi="Times New Roman"/>
          <w:color w:val="auto"/>
          <w:szCs w:val="21"/>
          <w:highlight w:val="none"/>
          <w:u w:val="single"/>
        </w:rPr>
      </w:pPr>
      <w:r>
        <w:rPr>
          <w:rFonts w:ascii="Times New Roman" w:hAnsi="Times New Roman"/>
          <w:color w:val="auto"/>
          <w:szCs w:val="21"/>
          <w:highlight w:val="none"/>
        </w:rPr>
        <w:t>单位地址：</w:t>
      </w:r>
      <w:r>
        <w:rPr>
          <w:rFonts w:ascii="Times New Roman" w:hAnsi="Times New Roman"/>
          <w:color w:val="auto"/>
          <w:szCs w:val="21"/>
          <w:highlight w:val="none"/>
          <w:u w:val="single"/>
        </w:rPr>
        <w:t xml:space="preserve">                                                       </w:t>
      </w:r>
    </w:p>
    <w:p>
      <w:pPr>
        <w:adjustRightInd w:val="0"/>
        <w:snapToGrid w:val="0"/>
        <w:spacing w:before="48" w:beforeLines="20" w:after="48" w:afterLines="20" w:line="400" w:lineRule="exact"/>
        <w:ind w:firstLine="367" w:firstLineChars="175"/>
        <w:rPr>
          <w:rFonts w:ascii="Times New Roman" w:hAnsi="Times New Roman"/>
          <w:color w:val="auto"/>
          <w:szCs w:val="21"/>
          <w:highlight w:val="none"/>
          <w:u w:val="single"/>
        </w:rPr>
      </w:pPr>
      <w:r>
        <w:rPr>
          <w:rFonts w:ascii="Times New Roman" w:hAnsi="Times New Roman"/>
          <w:bCs/>
          <w:color w:val="auto"/>
          <w:szCs w:val="21"/>
          <w:highlight w:val="none"/>
        </w:rPr>
        <w:t>邮政编码</w:t>
      </w:r>
      <w:r>
        <w:rPr>
          <w:rFonts w:ascii="Times New Roman" w:hAnsi="Times New Roman"/>
          <w:color w:val="auto"/>
          <w:szCs w:val="21"/>
          <w:highlight w:val="none"/>
        </w:rPr>
        <w:t>：</w:t>
      </w:r>
      <w:r>
        <w:rPr>
          <w:rFonts w:ascii="Times New Roman" w:hAnsi="Times New Roman"/>
          <w:bCs/>
          <w:color w:val="auto"/>
          <w:szCs w:val="32"/>
          <w:highlight w:val="none"/>
          <w:u w:val="single"/>
        </w:rPr>
        <w:t xml:space="preserve">           </w:t>
      </w:r>
      <w:r>
        <w:rPr>
          <w:rFonts w:ascii="Times New Roman" w:hAnsi="Times New Roman"/>
          <w:color w:val="auto"/>
          <w:szCs w:val="21"/>
          <w:highlight w:val="none"/>
        </w:rPr>
        <w:t>电话：</w:t>
      </w:r>
      <w:r>
        <w:rPr>
          <w:rFonts w:ascii="Times New Roman" w:hAnsi="Times New Roman"/>
          <w:bCs/>
          <w:color w:val="auto"/>
          <w:szCs w:val="32"/>
          <w:highlight w:val="none"/>
          <w:u w:val="single"/>
        </w:rPr>
        <w:t xml:space="preserve">           </w:t>
      </w:r>
      <w:r>
        <w:rPr>
          <w:rFonts w:ascii="Times New Roman" w:hAnsi="Times New Roman"/>
          <w:color w:val="auto"/>
          <w:szCs w:val="21"/>
          <w:highlight w:val="none"/>
        </w:rPr>
        <w:t xml:space="preserve"> 传真：</w:t>
      </w:r>
      <w:r>
        <w:rPr>
          <w:rFonts w:ascii="Times New Roman" w:hAnsi="Times New Roman"/>
          <w:color w:val="auto"/>
          <w:szCs w:val="21"/>
          <w:highlight w:val="none"/>
          <w:u w:val="single"/>
        </w:rPr>
        <w:t xml:space="preserve">                    </w:t>
      </w:r>
    </w:p>
    <w:p>
      <w:pPr>
        <w:adjustRightInd w:val="0"/>
        <w:snapToGrid w:val="0"/>
        <w:spacing w:before="48" w:beforeLines="20" w:after="48" w:afterLines="20" w:line="400" w:lineRule="exact"/>
        <w:ind w:firstLine="367" w:firstLineChars="175"/>
        <w:rPr>
          <w:rFonts w:ascii="Times New Roman" w:hAnsi="Times New Roman"/>
          <w:color w:val="auto"/>
          <w:szCs w:val="21"/>
          <w:highlight w:val="none"/>
        </w:rPr>
      </w:pPr>
      <w:r>
        <w:rPr>
          <w:rFonts w:ascii="Times New Roman" w:hAnsi="Times New Roman"/>
          <w:color w:val="auto"/>
          <w:szCs w:val="21"/>
          <w:highlight w:val="none"/>
        </w:rPr>
        <w:t>投标人基本账户开户名：</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rPr>
        <w:t>账号：</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开户行：</w:t>
      </w:r>
      <w:r>
        <w:rPr>
          <w:rFonts w:ascii="Times New Roman" w:hAnsi="Times New Roman"/>
          <w:color w:val="auto"/>
          <w:szCs w:val="21"/>
          <w:highlight w:val="none"/>
          <w:u w:val="single"/>
        </w:rPr>
        <w:t xml:space="preserve">           </w:t>
      </w:r>
    </w:p>
    <w:p>
      <w:pPr>
        <w:adjustRightInd w:val="0"/>
        <w:snapToGrid w:val="0"/>
        <w:spacing w:before="48" w:beforeLines="20" w:after="48" w:afterLines="20" w:line="400" w:lineRule="exact"/>
        <w:ind w:firstLine="367" w:firstLineChars="175"/>
        <w:rPr>
          <w:rFonts w:ascii="Times New Roman" w:hAnsi="Times New Roman"/>
          <w:color w:val="auto"/>
          <w:szCs w:val="21"/>
          <w:highlight w:val="none"/>
        </w:rPr>
      </w:pPr>
      <w:r>
        <w:rPr>
          <w:rFonts w:ascii="Times New Roman" w:hAnsi="Times New Roman"/>
          <w:bCs/>
          <w:color w:val="auto"/>
          <w:szCs w:val="21"/>
          <w:highlight w:val="none"/>
        </w:rPr>
        <w:t>日期</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bookmarkEnd w:id="385"/>
    <w:bookmarkEnd w:id="386"/>
    <w:bookmarkEnd w:id="387"/>
    <w:bookmarkEnd w:id="388"/>
    <w:bookmarkEnd w:id="389"/>
    <w:bookmarkEnd w:id="390"/>
    <w:bookmarkEnd w:id="391"/>
    <w:bookmarkEnd w:id="392"/>
    <w:bookmarkEnd w:id="393"/>
    <w:p>
      <w:pPr>
        <w:spacing w:line="440" w:lineRule="exact"/>
        <w:rPr>
          <w:rFonts w:ascii="Times New Roman" w:hAnsi="Times New Roman"/>
          <w:color w:val="auto"/>
          <w:szCs w:val="21"/>
          <w:highlight w:val="none"/>
        </w:rPr>
      </w:pPr>
      <w:bookmarkStart w:id="440" w:name="_Toc16568"/>
      <w:bookmarkEnd w:id="440"/>
      <w:bookmarkStart w:id="441" w:name="_Toc369531695"/>
      <w:bookmarkEnd w:id="441"/>
      <w:bookmarkStart w:id="442" w:name="_Toc369531696"/>
      <w:bookmarkEnd w:id="442"/>
      <w:bookmarkStart w:id="443" w:name="_Toc352691660"/>
      <w:bookmarkEnd w:id="443"/>
      <w:bookmarkStart w:id="444" w:name="_Toc16824"/>
      <w:bookmarkEnd w:id="444"/>
      <w:bookmarkStart w:id="445" w:name="_Toc352691659"/>
      <w:bookmarkEnd w:id="445"/>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bookmarkEnd w:id="436"/>
    <w:p>
      <w:pPr>
        <w:pStyle w:val="4"/>
        <w:ind w:firstLine="118"/>
        <w:jc w:val="center"/>
        <w:rPr>
          <w:rFonts w:ascii="Times New Roman" w:hAnsi="Times New Roman"/>
          <w:color w:val="auto"/>
          <w:sz w:val="24"/>
          <w:szCs w:val="24"/>
          <w:highlight w:val="none"/>
        </w:rPr>
      </w:pPr>
      <w:bookmarkStart w:id="446" w:name="_Toc300835209"/>
      <w:bookmarkStart w:id="447" w:name="_Toc361508752"/>
      <w:bookmarkStart w:id="448" w:name="_Toc384308375"/>
      <w:bookmarkStart w:id="449" w:name="_Toc247527827"/>
      <w:bookmarkStart w:id="450" w:name="_Toc152045787"/>
      <w:bookmarkStart w:id="451" w:name="_Toc144974856"/>
      <w:bookmarkStart w:id="452" w:name="_Toc17960"/>
      <w:bookmarkStart w:id="453" w:name="_Toc247514246"/>
      <w:bookmarkStart w:id="454" w:name="_Toc352691661"/>
      <w:bookmarkStart w:id="455" w:name="_Toc369531697"/>
      <w:bookmarkStart w:id="456" w:name="_Toc152042576"/>
      <w:r>
        <w:rPr>
          <w:rFonts w:ascii="Times New Roman" w:hAnsi="Times New Roman"/>
          <w:color w:val="auto"/>
          <w:sz w:val="24"/>
          <w:szCs w:val="24"/>
          <w:highlight w:val="none"/>
        </w:rPr>
        <w:t>二、法定代表人身份证明或授权委托书</w:t>
      </w:r>
    </w:p>
    <w:p>
      <w:pPr>
        <w:jc w:val="center"/>
        <w:rPr>
          <w:rFonts w:ascii="Times New Roman" w:hAnsi="Times New Roman" w:eastAsia="黑体"/>
          <w:bCs/>
          <w:color w:val="auto"/>
          <w:sz w:val="24"/>
          <w:highlight w:val="none"/>
        </w:rPr>
      </w:pPr>
      <w:r>
        <w:rPr>
          <w:rFonts w:ascii="Times New Roman" w:hAnsi="Times New Roman" w:eastAsia="黑体"/>
          <w:bCs/>
          <w:color w:val="auto"/>
          <w:sz w:val="24"/>
          <w:highlight w:val="none"/>
        </w:rPr>
        <w:t>法定代表人身份证明</w:t>
      </w:r>
    </w:p>
    <w:p>
      <w:pPr>
        <w:ind w:left="765"/>
        <w:rPr>
          <w:rFonts w:ascii="Times New Roman" w:hAnsi="Times New Roman"/>
          <w:color w:val="auto"/>
          <w:highlight w:val="none"/>
        </w:rPr>
      </w:pPr>
    </w:p>
    <w:p>
      <w:pPr>
        <w:spacing w:line="500" w:lineRule="exac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单位性质：</w:t>
      </w:r>
      <w:r>
        <w:rPr>
          <w:rFonts w:ascii="Times New Roman" w:hAnsi="Times New Roman"/>
          <w:color w:val="auto"/>
          <w:szCs w:val="21"/>
          <w:highlight w:val="none"/>
          <w:u w:val="single"/>
        </w:rPr>
        <w:t xml:space="preserve">                                                        </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成立时间：</w:t>
      </w: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经营期限：</w:t>
      </w:r>
      <w:r>
        <w:rPr>
          <w:rFonts w:ascii="Times New Roman" w:hAnsi="Times New Roman"/>
          <w:color w:val="auto"/>
          <w:szCs w:val="21"/>
          <w:highlight w:val="none"/>
          <w:u w:val="single"/>
        </w:rPr>
        <w:t xml:space="preserve">                                                        </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姓    名：</w:t>
      </w:r>
      <w:r>
        <w:rPr>
          <w:rFonts w:ascii="Times New Roman" w:hAnsi="Times New Roman"/>
          <w:color w:val="auto"/>
          <w:szCs w:val="21"/>
          <w:highlight w:val="none"/>
          <w:u w:val="single"/>
        </w:rPr>
        <w:t xml:space="preserve">                          </w:t>
      </w:r>
      <w:r>
        <w:rPr>
          <w:rFonts w:ascii="Times New Roman" w:hAnsi="Times New Roman"/>
          <w:color w:val="auto"/>
          <w:szCs w:val="21"/>
          <w:highlight w:val="none"/>
        </w:rPr>
        <w:t>性        别：</w:t>
      </w:r>
      <w:r>
        <w:rPr>
          <w:rFonts w:ascii="Times New Roman" w:hAnsi="Times New Roman"/>
          <w:color w:val="auto"/>
          <w:szCs w:val="21"/>
          <w:highlight w:val="none"/>
          <w:u w:val="single"/>
        </w:rPr>
        <w:t xml:space="preserve">                </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年    龄：</w:t>
      </w:r>
      <w:r>
        <w:rPr>
          <w:rFonts w:ascii="Times New Roman" w:hAnsi="Times New Roman"/>
          <w:color w:val="auto"/>
          <w:szCs w:val="21"/>
          <w:highlight w:val="none"/>
          <w:u w:val="single"/>
        </w:rPr>
        <w:t xml:space="preserve">                          </w:t>
      </w:r>
      <w:r>
        <w:rPr>
          <w:rFonts w:ascii="Times New Roman" w:hAnsi="Times New Roman"/>
          <w:color w:val="auto"/>
          <w:szCs w:val="21"/>
          <w:highlight w:val="none"/>
        </w:rPr>
        <w:t>职        务：</w:t>
      </w:r>
      <w:r>
        <w:rPr>
          <w:rFonts w:ascii="Times New Roman" w:hAnsi="Times New Roman"/>
          <w:color w:val="auto"/>
          <w:szCs w:val="21"/>
          <w:highlight w:val="none"/>
          <w:u w:val="single"/>
        </w:rPr>
        <w:t xml:space="preserve">                </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系</w:t>
      </w:r>
      <w:r>
        <w:rPr>
          <w:rFonts w:ascii="Times New Roman" w:hAnsi="Times New Roman"/>
          <w:color w:val="auto"/>
          <w:szCs w:val="21"/>
          <w:highlight w:val="none"/>
          <w:u w:val="single"/>
        </w:rPr>
        <w:t xml:space="preserve">                                                 </w:t>
      </w:r>
      <w:r>
        <w:rPr>
          <w:rFonts w:ascii="Times New Roman" w:hAnsi="Times New Roman"/>
          <w:color w:val="auto"/>
          <w:szCs w:val="21"/>
          <w:highlight w:val="none"/>
        </w:rPr>
        <w:t>（投标人名称）的法定代表人。</w:t>
      </w:r>
    </w:p>
    <w:p>
      <w:pPr>
        <w:spacing w:line="500" w:lineRule="exact"/>
        <w:rPr>
          <w:rFonts w:ascii="Times New Roman" w:hAnsi="Times New Roman"/>
          <w:color w:val="auto"/>
          <w:szCs w:val="21"/>
          <w:highlight w:val="none"/>
        </w:rPr>
      </w:pPr>
      <w:r>
        <w:rPr>
          <w:rFonts w:ascii="Times New Roman" w:hAnsi="Times New Roman"/>
          <w:color w:val="auto"/>
          <w:szCs w:val="21"/>
          <w:highlight w:val="none"/>
        </w:rPr>
        <w:t>特此证明。</w:t>
      </w:r>
    </w:p>
    <w:p>
      <w:pPr>
        <w:spacing w:line="500" w:lineRule="exact"/>
        <w:rPr>
          <w:rFonts w:ascii="Times New Roman" w:hAnsi="Times New Roman"/>
          <w:color w:val="auto"/>
          <w:szCs w:val="21"/>
          <w:highlight w:val="none"/>
        </w:rPr>
      </w:pPr>
    </w:p>
    <w:p>
      <w:pPr>
        <w:spacing w:line="500" w:lineRule="exact"/>
        <w:rPr>
          <w:rFonts w:ascii="Times New Roman" w:hAnsi="Times New Roman"/>
          <w:color w:val="auto"/>
          <w:szCs w:val="21"/>
          <w:highlight w:val="none"/>
        </w:rPr>
      </w:pPr>
    </w:p>
    <w:p>
      <w:pPr>
        <w:wordWrap w:val="0"/>
        <w:spacing w:line="500" w:lineRule="exact"/>
        <w:jc w:val="right"/>
        <w:rPr>
          <w:rFonts w:ascii="Times New Roman" w:hAnsi="Times New Roman"/>
          <w:color w:val="auto"/>
          <w:szCs w:val="21"/>
          <w:highlight w:val="none"/>
        </w:rPr>
      </w:pPr>
      <w:r>
        <w:rPr>
          <w:rFonts w:ascii="Times New Roman" w:hAnsi="Times New Roman"/>
          <w:color w:val="auto"/>
          <w:szCs w:val="21"/>
          <w:highlight w:val="none"/>
        </w:rPr>
        <w:t>投标人：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（盖单位章）</w:t>
      </w:r>
    </w:p>
    <w:p>
      <w:pPr>
        <w:spacing w:before="48" w:beforeLines="20" w:after="48" w:afterLines="20" w:line="540" w:lineRule="exact"/>
        <w:ind w:firstLine="5565" w:firstLineChars="2650"/>
        <w:rPr>
          <w:rFonts w:ascii="Times New Roman" w:hAnsi="Times New Roman"/>
          <w:color w:val="auto"/>
          <w:sz w:val="24"/>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p>
      <w:pPr>
        <w:widowControl/>
        <w:jc w:val="left"/>
        <w:rPr>
          <w:rFonts w:ascii="Times New Roman" w:hAnsi="Times New Roman" w:eastAsia="黑体"/>
          <w:bCs/>
          <w:color w:val="auto"/>
          <w:sz w:val="24"/>
          <w:highlight w:val="none"/>
        </w:rPr>
      </w:pPr>
      <w:r>
        <w:rPr>
          <w:rFonts w:ascii="Times New Roman" w:hAnsi="Times New Roman" w:eastAsia="黑体"/>
          <w:bCs/>
          <w:color w:val="auto"/>
          <w:sz w:val="24"/>
          <w:highlight w:val="none"/>
        </w:rPr>
        <w:br w:type="page"/>
      </w:r>
    </w:p>
    <w:p>
      <w:pPr>
        <w:jc w:val="center"/>
        <w:outlineLvl w:val="3"/>
        <w:rPr>
          <w:rFonts w:ascii="Times New Roman" w:hAnsi="Times New Roman"/>
          <w:color w:val="auto"/>
          <w:sz w:val="32"/>
          <w:szCs w:val="32"/>
          <w:highlight w:val="none"/>
        </w:rPr>
      </w:pPr>
      <w:r>
        <w:rPr>
          <w:rFonts w:ascii="Times New Roman" w:hAnsi="Times New Roman" w:eastAsia="黑体"/>
          <w:bCs/>
          <w:color w:val="auto"/>
          <w:sz w:val="24"/>
          <w:highlight w:val="none"/>
        </w:rPr>
        <w:t>授权委托书</w:t>
      </w:r>
    </w:p>
    <w:p>
      <w:pPr>
        <w:rPr>
          <w:rFonts w:ascii="Times New Roman" w:hAnsi="Times New Roman"/>
          <w:color w:val="auto"/>
          <w:highlight w:val="none"/>
        </w:rPr>
      </w:pPr>
    </w:p>
    <w:p>
      <w:pPr>
        <w:snapToGrid w:val="0"/>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本人</w:t>
      </w:r>
      <w:r>
        <w:rPr>
          <w:rFonts w:ascii="Times New Roman" w:hAnsi="Times New Roman"/>
          <w:color w:val="auto"/>
          <w:szCs w:val="21"/>
          <w:highlight w:val="none"/>
          <w:u w:val="single"/>
        </w:rPr>
        <w:t xml:space="preserve">         </w:t>
      </w:r>
      <w:r>
        <w:rPr>
          <w:rFonts w:ascii="Times New Roman" w:hAnsi="Times New Roman"/>
          <w:color w:val="auto"/>
          <w:szCs w:val="21"/>
          <w:highlight w:val="none"/>
        </w:rPr>
        <w:t>（姓名）系</w:t>
      </w:r>
      <w:r>
        <w:rPr>
          <w:rFonts w:ascii="Times New Roman" w:hAnsi="Times New Roman"/>
          <w:color w:val="auto"/>
          <w:szCs w:val="21"/>
          <w:highlight w:val="none"/>
          <w:u w:val="single"/>
        </w:rPr>
        <w:t xml:space="preserve">         </w:t>
      </w:r>
      <w:r>
        <w:rPr>
          <w:rFonts w:ascii="Times New Roman" w:hAnsi="Times New Roman"/>
          <w:color w:val="auto"/>
          <w:szCs w:val="21"/>
          <w:highlight w:val="none"/>
        </w:rPr>
        <w:t>（投标人名称）的法定代表人，现委托</w:t>
      </w:r>
      <w:r>
        <w:rPr>
          <w:rFonts w:ascii="Times New Roman" w:hAnsi="Times New Roman"/>
          <w:color w:val="auto"/>
          <w:szCs w:val="21"/>
          <w:highlight w:val="none"/>
          <w:u w:val="single"/>
        </w:rPr>
        <w:t xml:space="preserve">      </w:t>
      </w:r>
      <w:r>
        <w:rPr>
          <w:rFonts w:ascii="Times New Roman" w:hAnsi="Times New Roman"/>
          <w:color w:val="auto"/>
          <w:szCs w:val="21"/>
          <w:highlight w:val="none"/>
        </w:rPr>
        <w:t>（姓名）为我方代理人。代理人根据授权，以我方名义签署、澄清、说明、补正、递交、撤回、修改</w:t>
      </w:r>
      <w:r>
        <w:rPr>
          <w:rFonts w:ascii="Times New Roman" w:hAnsi="Times New Roman"/>
          <w:color w:val="auto"/>
          <w:szCs w:val="21"/>
          <w:highlight w:val="none"/>
          <w:u w:val="single"/>
        </w:rPr>
        <w:t>某招标项目标段名称</w:t>
      </w:r>
      <w:r>
        <w:rPr>
          <w:rFonts w:ascii="Times New Roman" w:hAnsi="Times New Roman"/>
          <w:color w:val="auto"/>
          <w:szCs w:val="21"/>
          <w:highlight w:val="none"/>
        </w:rPr>
        <w:t>投标文件、签订合同和处理有关事宜，其法律后果由我方承担。</w:t>
      </w:r>
    </w:p>
    <w:p>
      <w:pPr>
        <w:snapToGri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委托期限：</w:t>
      </w:r>
      <w:r>
        <w:rPr>
          <w:rFonts w:ascii="Times New Roman" w:hAnsi="Times New Roman"/>
          <w:color w:val="auto"/>
          <w:szCs w:val="21"/>
          <w:highlight w:val="none"/>
          <w:u w:val="single"/>
        </w:rPr>
        <w:t>自本委托书签署之日起至投标有效期期满</w:t>
      </w:r>
      <w:r>
        <w:rPr>
          <w:rFonts w:ascii="Times New Roman" w:hAnsi="Times New Roman"/>
          <w:color w:val="auto"/>
          <w:szCs w:val="21"/>
          <w:highlight w:val="none"/>
        </w:rPr>
        <w:t>。</w:t>
      </w:r>
    </w:p>
    <w:p>
      <w:pPr>
        <w:snapToGri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代理人无转委托权。</w:t>
      </w:r>
    </w:p>
    <w:p>
      <w:pPr>
        <w:snapToGri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附：法定代表人身份证明</w:t>
      </w:r>
    </w:p>
    <w:p>
      <w:pPr>
        <w:spacing w:line="500" w:lineRule="exact"/>
        <w:rPr>
          <w:rFonts w:ascii="Times New Roman" w:hAnsi="Times New Roman"/>
          <w:color w:val="auto"/>
          <w:szCs w:val="21"/>
          <w:highlight w:val="none"/>
        </w:rPr>
      </w:pPr>
    </w:p>
    <w:p>
      <w:pPr>
        <w:spacing w:line="400" w:lineRule="exact"/>
        <w:ind w:firstLine="3570" w:firstLineChars="1700"/>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（盖单位章）</w:t>
      </w:r>
    </w:p>
    <w:p>
      <w:pPr>
        <w:spacing w:line="400" w:lineRule="exact"/>
        <w:ind w:firstLine="3570" w:firstLineChars="1700"/>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（签字或盖章）</w:t>
      </w:r>
    </w:p>
    <w:p>
      <w:pPr>
        <w:spacing w:line="400" w:lineRule="exact"/>
        <w:ind w:firstLine="3570" w:firstLineChars="1700"/>
        <w:rPr>
          <w:rFonts w:ascii="Times New Roman" w:hAnsi="Times New Roman"/>
          <w:color w:val="auto"/>
          <w:szCs w:val="21"/>
          <w:highlight w:val="none"/>
          <w:u w:val="single"/>
        </w:rPr>
      </w:pPr>
      <w:r>
        <w:rPr>
          <w:rFonts w:ascii="Times New Roman" w:hAnsi="Times New Roman"/>
          <w:color w:val="auto"/>
          <w:szCs w:val="21"/>
          <w:highlight w:val="none"/>
        </w:rPr>
        <w:t>身份证号码（代理人）：</w:t>
      </w:r>
      <w:r>
        <w:rPr>
          <w:rFonts w:ascii="Times New Roman" w:hAnsi="Times New Roman"/>
          <w:color w:val="auto"/>
          <w:szCs w:val="21"/>
          <w:highlight w:val="none"/>
          <w:u w:val="single"/>
        </w:rPr>
        <w:t xml:space="preserve">                                   </w:t>
      </w:r>
    </w:p>
    <w:p>
      <w:pPr>
        <w:spacing w:line="400" w:lineRule="exact"/>
        <w:ind w:firstLine="4830" w:firstLineChars="2300"/>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p>
      <w:pPr>
        <w:autoSpaceDE w:val="0"/>
        <w:autoSpaceDN w:val="0"/>
        <w:adjustRightInd w:val="0"/>
        <w:snapToGrid w:val="0"/>
        <w:spacing w:line="360" w:lineRule="auto"/>
        <w:jc w:val="left"/>
        <w:rPr>
          <w:rFonts w:ascii="Times New Roman" w:hAnsi="Times New Roman"/>
          <w:color w:val="auto"/>
          <w:kern w:val="0"/>
          <w:highlight w:val="none"/>
        </w:rPr>
      </w:pPr>
    </w:p>
    <w:p>
      <w:pPr>
        <w:tabs>
          <w:tab w:val="left" w:pos="5760"/>
        </w:tabs>
        <w:autoSpaceDE w:val="0"/>
        <w:autoSpaceDN w:val="0"/>
        <w:adjustRightInd w:val="0"/>
        <w:spacing w:line="300" w:lineRule="exact"/>
        <w:ind w:right="11"/>
        <w:rPr>
          <w:rFonts w:ascii="Times New Roman" w:hAnsi="Times New Roman"/>
          <w:color w:val="auto"/>
          <w:kern w:val="0"/>
          <w:highlight w:val="none"/>
        </w:rPr>
      </w:pPr>
      <w:r>
        <w:rPr>
          <w:rFonts w:ascii="Times New Roman" w:hAnsi="Times New Roman"/>
          <w:color w:val="auto"/>
          <w:kern w:val="0"/>
          <w:highlight w:val="none"/>
        </w:rPr>
        <w:t>注：</w:t>
      </w:r>
    </w:p>
    <w:p>
      <w:pPr>
        <w:tabs>
          <w:tab w:val="left" w:pos="5760"/>
        </w:tabs>
        <w:autoSpaceDE w:val="0"/>
        <w:autoSpaceDN w:val="0"/>
        <w:adjustRightInd w:val="0"/>
        <w:spacing w:line="300" w:lineRule="exact"/>
        <w:ind w:right="11"/>
        <w:rPr>
          <w:rFonts w:ascii="Times New Roman" w:hAnsi="Times New Roman"/>
          <w:color w:val="auto"/>
          <w:kern w:val="0"/>
          <w:highlight w:val="none"/>
        </w:rPr>
      </w:pPr>
      <w:r>
        <w:rPr>
          <w:rFonts w:ascii="Times New Roman" w:hAnsi="Times New Roman"/>
          <w:color w:val="auto"/>
          <w:kern w:val="0"/>
          <w:highlight w:val="none"/>
        </w:rPr>
        <w:t>法定代表人参加投标活动并签署文件的不需要授权委托书，只需提供法定代表人身份证明；非法定代表人参加投标活动及签署文件的除提供法定代表人身份证明外还须提供授权委托书。</w:t>
      </w:r>
    </w:p>
    <w:p>
      <w:pPr>
        <w:pStyle w:val="4"/>
        <w:ind w:firstLine="137"/>
        <w:jc w:val="center"/>
        <w:rPr>
          <w:rFonts w:ascii="Times New Roman" w:hAnsi="Times New Roman"/>
          <w:color w:val="auto"/>
          <w:sz w:val="24"/>
          <w:szCs w:val="24"/>
          <w:highlight w:val="none"/>
        </w:rPr>
      </w:pPr>
      <w:r>
        <w:rPr>
          <w:rFonts w:ascii="Times New Roman" w:hAnsi="Times New Roman"/>
          <w:color w:val="auto"/>
          <w:kern w:val="0"/>
          <w:highlight w:val="none"/>
        </w:rPr>
        <w:br w:type="page"/>
      </w:r>
      <w:bookmarkEnd w:id="446"/>
      <w:bookmarkEnd w:id="447"/>
      <w:bookmarkEnd w:id="448"/>
      <w:bookmarkEnd w:id="449"/>
      <w:bookmarkEnd w:id="450"/>
      <w:bookmarkEnd w:id="451"/>
      <w:bookmarkEnd w:id="452"/>
      <w:bookmarkEnd w:id="453"/>
      <w:bookmarkEnd w:id="454"/>
      <w:bookmarkEnd w:id="455"/>
      <w:bookmarkEnd w:id="456"/>
      <w:bookmarkStart w:id="457" w:name="_Toc535241085"/>
      <w:bookmarkStart w:id="458" w:name="_Toc535241131"/>
      <w:bookmarkStart w:id="459" w:name="_Toc535241228"/>
      <w:r>
        <w:rPr>
          <w:rFonts w:ascii="Times New Roman" w:hAnsi="Times New Roman"/>
          <w:color w:val="auto"/>
          <w:sz w:val="24"/>
          <w:szCs w:val="24"/>
          <w:highlight w:val="none"/>
        </w:rPr>
        <w:t>三、联合体协议书</w:t>
      </w:r>
      <w:bookmarkEnd w:id="457"/>
      <w:bookmarkEnd w:id="458"/>
      <w:bookmarkEnd w:id="459"/>
    </w:p>
    <w:p>
      <w:pPr>
        <w:spacing w:line="220" w:lineRule="exact"/>
        <w:jc w:val="center"/>
        <w:rPr>
          <w:rFonts w:ascii="Times New Roman" w:hAnsi="Times New Roman"/>
          <w:color w:val="auto"/>
          <w:szCs w:val="21"/>
          <w:highlight w:val="none"/>
        </w:rPr>
      </w:pPr>
      <w:r>
        <w:rPr>
          <w:rFonts w:ascii="Times New Roman" w:hAnsi="Times New Roman"/>
          <w:color w:val="auto"/>
          <w:szCs w:val="21"/>
          <w:highlight w:val="none"/>
        </w:rPr>
        <w:t>（不接受联合体投标或未组成联合体投标，无需此件）</w:t>
      </w:r>
    </w:p>
    <w:p>
      <w:pPr>
        <w:spacing w:line="394" w:lineRule="exact"/>
        <w:rPr>
          <w:rFonts w:ascii="Times New Roman" w:hAnsi="Times New Roman"/>
          <w:color w:val="auto"/>
          <w:szCs w:val="21"/>
          <w:highlight w:val="none"/>
        </w:rPr>
      </w:pPr>
      <w:r>
        <w:rPr>
          <w:rFonts w:ascii="Times New Roman" w:hAnsi="Times New Roman"/>
          <w:color w:val="auto"/>
          <w:szCs w:val="21"/>
          <w:highlight w:val="none"/>
        </w:rPr>
        <w:t>牵头人（成员一）名称：</w:t>
      </w:r>
      <w:r>
        <w:rPr>
          <w:rFonts w:ascii="Times New Roman" w:hAnsi="Times New Roman"/>
          <w:color w:val="auto"/>
          <w:szCs w:val="21"/>
          <w:highlight w:val="none"/>
          <w:u w:val="single"/>
        </w:rPr>
        <w:t xml:space="preserve">                                        </w:t>
      </w:r>
    </w:p>
    <w:p>
      <w:pPr>
        <w:spacing w:line="394" w:lineRule="exact"/>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p>
    <w:p>
      <w:pPr>
        <w:spacing w:line="394" w:lineRule="exact"/>
        <w:rPr>
          <w:rFonts w:ascii="Times New Roman" w:hAnsi="Times New Roman"/>
          <w:color w:val="auto"/>
          <w:szCs w:val="21"/>
          <w:highlight w:val="none"/>
        </w:rPr>
      </w:pPr>
      <w:r>
        <w:rPr>
          <w:rFonts w:ascii="Times New Roman" w:hAnsi="Times New Roman"/>
          <w:color w:val="auto"/>
          <w:szCs w:val="21"/>
          <w:highlight w:val="none"/>
        </w:rPr>
        <w:t>法定住所：</w:t>
      </w:r>
      <w:r>
        <w:rPr>
          <w:rFonts w:ascii="Times New Roman" w:hAnsi="Times New Roman"/>
          <w:color w:val="auto"/>
          <w:szCs w:val="21"/>
          <w:highlight w:val="none"/>
          <w:u w:val="single"/>
        </w:rPr>
        <w:t xml:space="preserve">                                                    </w:t>
      </w:r>
    </w:p>
    <w:p>
      <w:pPr>
        <w:spacing w:line="394" w:lineRule="exact"/>
        <w:rPr>
          <w:rFonts w:ascii="Times New Roman" w:hAnsi="Times New Roman"/>
          <w:color w:val="auto"/>
          <w:szCs w:val="21"/>
          <w:highlight w:val="none"/>
        </w:rPr>
      </w:pPr>
      <w:r>
        <w:rPr>
          <w:rFonts w:ascii="Times New Roman" w:hAnsi="Times New Roman"/>
          <w:color w:val="auto"/>
          <w:szCs w:val="21"/>
          <w:highlight w:val="none"/>
        </w:rPr>
        <w:t>成员二名称：</w:t>
      </w:r>
      <w:r>
        <w:rPr>
          <w:rFonts w:ascii="Times New Roman" w:hAnsi="Times New Roman"/>
          <w:color w:val="auto"/>
          <w:szCs w:val="21"/>
          <w:highlight w:val="none"/>
          <w:u w:val="single"/>
        </w:rPr>
        <w:t xml:space="preserve">                                                  </w:t>
      </w:r>
    </w:p>
    <w:p>
      <w:pPr>
        <w:spacing w:line="394" w:lineRule="exact"/>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p>
    <w:p>
      <w:pPr>
        <w:spacing w:line="394" w:lineRule="exact"/>
        <w:rPr>
          <w:rFonts w:ascii="Times New Roman" w:hAnsi="Times New Roman"/>
          <w:color w:val="auto"/>
          <w:szCs w:val="21"/>
          <w:highlight w:val="none"/>
          <w:u w:val="single"/>
        </w:rPr>
      </w:pPr>
      <w:r>
        <w:rPr>
          <w:rFonts w:ascii="Times New Roman" w:hAnsi="Times New Roman"/>
          <w:color w:val="auto"/>
          <w:szCs w:val="21"/>
          <w:highlight w:val="none"/>
        </w:rPr>
        <w:t>法定住所：</w:t>
      </w:r>
      <w:r>
        <w:rPr>
          <w:rFonts w:ascii="Times New Roman" w:hAnsi="Times New Roman"/>
          <w:color w:val="auto"/>
          <w:szCs w:val="21"/>
          <w:highlight w:val="none"/>
          <w:u w:val="single"/>
        </w:rPr>
        <w:t xml:space="preserve">                                                    </w:t>
      </w:r>
    </w:p>
    <w:p>
      <w:pPr>
        <w:spacing w:line="394" w:lineRule="exact"/>
        <w:ind w:firstLine="525" w:firstLineChars="250"/>
        <w:rPr>
          <w:rFonts w:ascii="Times New Roman" w:hAnsi="Times New Roman"/>
          <w:color w:val="auto"/>
          <w:szCs w:val="21"/>
          <w:highlight w:val="none"/>
        </w:rPr>
      </w:pPr>
      <w:r>
        <w:rPr>
          <w:rFonts w:ascii="Times New Roman" w:hAnsi="Times New Roman"/>
          <w:color w:val="auto"/>
          <w:szCs w:val="21"/>
          <w:highlight w:val="none"/>
        </w:rPr>
        <w:t>……</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鉴于上述各成员单位经过友好协商，自愿组成</w:t>
      </w:r>
      <w:r>
        <w:rPr>
          <w:rFonts w:ascii="Times New Roman" w:hAnsi="Times New Roman"/>
          <w:color w:val="auto"/>
          <w:szCs w:val="21"/>
          <w:highlight w:val="none"/>
          <w:u w:val="single"/>
        </w:rPr>
        <w:t xml:space="preserve">       </w:t>
      </w:r>
      <w:r>
        <w:rPr>
          <w:rFonts w:ascii="Times New Roman" w:hAnsi="Times New Roman"/>
          <w:color w:val="auto"/>
          <w:szCs w:val="21"/>
          <w:highlight w:val="none"/>
        </w:rPr>
        <w:t>（联合体名称）联合体，共同参加</w:t>
      </w:r>
    </w:p>
    <w:p>
      <w:pPr>
        <w:spacing w:line="394" w:lineRule="exact"/>
        <w:rPr>
          <w:rFonts w:ascii="Times New Roman" w:hAnsi="Times New Roman"/>
          <w:color w:val="auto"/>
          <w:szCs w:val="21"/>
          <w:highlight w:val="none"/>
        </w:rPr>
      </w:pPr>
      <w:r>
        <w:rPr>
          <w:rFonts w:ascii="Times New Roman" w:hAnsi="Times New Roman"/>
          <w:color w:val="auto"/>
          <w:szCs w:val="21"/>
          <w:highlight w:val="none"/>
          <w:u w:val="single"/>
        </w:rPr>
        <w:t>某委托单位</w:t>
      </w:r>
      <w:r>
        <w:rPr>
          <w:rFonts w:ascii="Times New Roman" w:hAnsi="Times New Roman"/>
          <w:color w:val="auto"/>
          <w:szCs w:val="21"/>
          <w:highlight w:val="none"/>
        </w:rPr>
        <w:t>（以下简称招标人）</w:t>
      </w:r>
      <w:r>
        <w:rPr>
          <w:rFonts w:ascii="Times New Roman" w:hAnsi="Times New Roman"/>
          <w:color w:val="auto"/>
          <w:szCs w:val="21"/>
          <w:highlight w:val="none"/>
          <w:u w:val="single"/>
        </w:rPr>
        <w:t>某招标项目标段名称</w:t>
      </w:r>
      <w:r>
        <w:rPr>
          <w:rFonts w:ascii="Times New Roman" w:hAnsi="Times New Roman"/>
          <w:color w:val="auto"/>
          <w:szCs w:val="21"/>
          <w:highlight w:val="none"/>
        </w:rPr>
        <w:t>（以下简称本项目）的投标并争取赢得本项目委托合同（以下简称合同）。现就联合体投标事宜订立如下协议：</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w:t>
      </w:r>
      <w:r>
        <w:rPr>
          <w:rFonts w:ascii="Times New Roman" w:hAnsi="Times New Roman"/>
          <w:color w:val="auto"/>
          <w:szCs w:val="21"/>
          <w:highlight w:val="none"/>
          <w:u w:val="single"/>
        </w:rPr>
        <w:t xml:space="preserve">        </w:t>
      </w:r>
      <w:r>
        <w:rPr>
          <w:rFonts w:ascii="Times New Roman" w:hAnsi="Times New Roman"/>
          <w:color w:val="auto"/>
          <w:szCs w:val="21"/>
          <w:highlight w:val="none"/>
        </w:rPr>
        <w:t>（某成员单位名称）为</w:t>
      </w:r>
      <w:r>
        <w:rPr>
          <w:rFonts w:ascii="Times New Roman" w:hAnsi="Times New Roman"/>
          <w:color w:val="auto"/>
          <w:szCs w:val="21"/>
          <w:highlight w:val="none"/>
          <w:u w:val="single"/>
        </w:rPr>
        <w:t xml:space="preserve">              </w:t>
      </w:r>
      <w:r>
        <w:rPr>
          <w:rFonts w:ascii="Times New Roman" w:hAnsi="Times New Roman"/>
          <w:color w:val="auto"/>
          <w:szCs w:val="21"/>
          <w:highlight w:val="none"/>
        </w:rPr>
        <w:t>（联合体名称）牵头人。</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94" w:lineRule="exact"/>
        <w:ind w:firstLine="420" w:firstLineChars="200"/>
        <w:outlineLvl w:val="3"/>
        <w:rPr>
          <w:rFonts w:ascii="Times New Roman" w:hAnsi="Times New Roman"/>
          <w:color w:val="auto"/>
          <w:szCs w:val="21"/>
          <w:highlight w:val="none"/>
        </w:rPr>
      </w:pPr>
      <w:r>
        <w:rPr>
          <w:rFonts w:ascii="Times New Roman" w:hAnsi="Times New Roman"/>
          <w:color w:val="auto"/>
          <w:szCs w:val="21"/>
          <w:highlight w:val="none"/>
        </w:rPr>
        <w:t>4．联合体各成员单位内部的职责分工如下：</w:t>
      </w:r>
    </w:p>
    <w:p>
      <w:pPr>
        <w:tabs>
          <w:tab w:val="left" w:pos="6300"/>
          <w:tab w:val="left" w:pos="8295"/>
        </w:tabs>
        <w:autoSpaceDE w:val="0"/>
        <w:autoSpaceDN w:val="0"/>
        <w:adjustRightInd w:val="0"/>
        <w:snapToGrid w:val="0"/>
        <w:spacing w:line="400" w:lineRule="exact"/>
        <w:ind w:left="735" w:leftChars="200" w:hanging="315" w:hangingChars="150"/>
        <w:jc w:val="left"/>
        <w:rPr>
          <w:rFonts w:ascii="Times New Roman" w:hAnsi="Times New Roman"/>
          <w:snapToGrid w:val="0"/>
          <w:color w:val="auto"/>
          <w:kern w:val="0"/>
          <w:szCs w:val="21"/>
          <w:highlight w:val="none"/>
        </w:rPr>
      </w:pPr>
      <w:r>
        <w:rPr>
          <w:rFonts w:ascii="Times New Roman" w:hAnsi="Times New Roman"/>
          <w:color w:val="auto"/>
          <w:szCs w:val="21"/>
          <w:highlight w:val="none"/>
        </w:rPr>
        <w:t>牵头人（成员一）</w:t>
      </w:r>
      <w:r>
        <w:rPr>
          <w:rFonts w:ascii="Times New Roman" w:hAnsi="Times New Roman"/>
          <w:snapToGrid w:val="0"/>
          <w:color w:val="auto"/>
          <w:kern w:val="0"/>
          <w:szCs w:val="21"/>
          <w:highlight w:val="none"/>
        </w:rPr>
        <w:t>名称：</w:t>
      </w:r>
      <w:r>
        <w:rPr>
          <w:rFonts w:ascii="Times New Roman" w:hAnsi="Times New Roman"/>
          <w:snapToGrid w:val="0"/>
          <w:color w:val="auto"/>
          <w:kern w:val="0"/>
          <w:szCs w:val="21"/>
          <w:highlight w:val="none"/>
          <w:u w:val="single"/>
        </w:rPr>
        <w:t xml:space="preserve">         </w:t>
      </w:r>
      <w:r>
        <w:rPr>
          <w:rFonts w:ascii="Times New Roman" w:hAnsi="Times New Roman"/>
          <w:snapToGrid w:val="0"/>
          <w:color w:val="auto"/>
          <w:kern w:val="0"/>
          <w:szCs w:val="21"/>
          <w:highlight w:val="none"/>
        </w:rPr>
        <w:t>，具有</w:t>
      </w:r>
      <w:r>
        <w:rPr>
          <w:rFonts w:ascii="Times New Roman" w:hAnsi="Times New Roman"/>
          <w:snapToGrid w:val="0"/>
          <w:color w:val="auto"/>
          <w:kern w:val="0"/>
          <w:szCs w:val="21"/>
          <w:highlight w:val="none"/>
          <w:u w:val="single"/>
        </w:rPr>
        <w:t xml:space="preserve">            </w:t>
      </w:r>
      <w:r>
        <w:rPr>
          <w:rFonts w:ascii="Times New Roman" w:hAnsi="Times New Roman"/>
          <w:snapToGrid w:val="0"/>
          <w:color w:val="auto"/>
          <w:kern w:val="0"/>
          <w:szCs w:val="21"/>
          <w:highlight w:val="none"/>
        </w:rPr>
        <w:t>资格，承担</w:t>
      </w:r>
      <w:r>
        <w:rPr>
          <w:rFonts w:ascii="Times New Roman" w:hAnsi="Times New Roman"/>
          <w:snapToGrid w:val="0"/>
          <w:color w:val="auto"/>
          <w:kern w:val="0"/>
          <w:szCs w:val="21"/>
          <w:highlight w:val="none"/>
          <w:u w:val="single"/>
        </w:rPr>
        <w:t xml:space="preserve">       </w:t>
      </w:r>
      <w:r>
        <w:rPr>
          <w:rFonts w:ascii="Times New Roman" w:hAnsi="Times New Roman"/>
          <w:snapToGrid w:val="0"/>
          <w:color w:val="auto"/>
          <w:kern w:val="0"/>
          <w:szCs w:val="21"/>
          <w:highlight w:val="none"/>
        </w:rPr>
        <w:t xml:space="preserve">  工作；</w:t>
      </w:r>
    </w:p>
    <w:p>
      <w:pPr>
        <w:spacing w:line="394" w:lineRule="exact"/>
        <w:ind w:firstLine="420" w:firstLineChars="200"/>
        <w:rPr>
          <w:rFonts w:ascii="Times New Roman" w:hAnsi="Times New Roman"/>
          <w:snapToGrid w:val="0"/>
          <w:color w:val="auto"/>
          <w:kern w:val="0"/>
          <w:szCs w:val="21"/>
          <w:highlight w:val="none"/>
        </w:rPr>
      </w:pPr>
      <w:r>
        <w:rPr>
          <w:rFonts w:ascii="Times New Roman" w:hAnsi="Times New Roman"/>
          <w:snapToGrid w:val="0"/>
          <w:color w:val="auto"/>
          <w:kern w:val="0"/>
          <w:szCs w:val="21"/>
          <w:highlight w:val="none"/>
        </w:rPr>
        <w:t>成员二名称：</w:t>
      </w:r>
      <w:r>
        <w:rPr>
          <w:rFonts w:ascii="Times New Roman" w:hAnsi="Times New Roman"/>
          <w:snapToGrid w:val="0"/>
          <w:color w:val="auto"/>
          <w:kern w:val="0"/>
          <w:szCs w:val="21"/>
          <w:highlight w:val="none"/>
          <w:u w:val="single"/>
        </w:rPr>
        <w:t xml:space="preserve">                  </w:t>
      </w:r>
      <w:r>
        <w:rPr>
          <w:rFonts w:ascii="Times New Roman" w:hAnsi="Times New Roman"/>
          <w:snapToGrid w:val="0"/>
          <w:color w:val="auto"/>
          <w:kern w:val="0"/>
          <w:szCs w:val="21"/>
          <w:highlight w:val="none"/>
        </w:rPr>
        <w:t xml:space="preserve"> ，具有</w:t>
      </w:r>
      <w:r>
        <w:rPr>
          <w:rFonts w:ascii="Times New Roman" w:hAnsi="Times New Roman"/>
          <w:snapToGrid w:val="0"/>
          <w:color w:val="auto"/>
          <w:kern w:val="0"/>
          <w:szCs w:val="21"/>
          <w:highlight w:val="none"/>
          <w:u w:val="single"/>
        </w:rPr>
        <w:t xml:space="preserve">            </w:t>
      </w:r>
      <w:r>
        <w:rPr>
          <w:rFonts w:ascii="Times New Roman" w:hAnsi="Times New Roman"/>
          <w:snapToGrid w:val="0"/>
          <w:color w:val="auto"/>
          <w:kern w:val="0"/>
          <w:szCs w:val="21"/>
          <w:highlight w:val="none"/>
        </w:rPr>
        <w:t>资格，承担</w:t>
      </w:r>
      <w:r>
        <w:rPr>
          <w:rFonts w:ascii="Times New Roman" w:hAnsi="Times New Roman"/>
          <w:snapToGrid w:val="0"/>
          <w:color w:val="auto"/>
          <w:kern w:val="0"/>
          <w:szCs w:val="21"/>
          <w:highlight w:val="none"/>
          <w:u w:val="single"/>
        </w:rPr>
        <w:t xml:space="preserve">       </w:t>
      </w:r>
      <w:r>
        <w:rPr>
          <w:rFonts w:ascii="Times New Roman" w:hAnsi="Times New Roman"/>
          <w:snapToGrid w:val="0"/>
          <w:color w:val="auto"/>
          <w:kern w:val="0"/>
          <w:szCs w:val="21"/>
          <w:highlight w:val="none"/>
        </w:rPr>
        <w:t xml:space="preserve">  工作；</w:t>
      </w:r>
    </w:p>
    <w:p>
      <w:pPr>
        <w:spacing w:line="394" w:lineRule="exact"/>
        <w:ind w:firstLine="420" w:firstLineChars="200"/>
        <w:rPr>
          <w:rFonts w:ascii="Times New Roman" w:hAnsi="Times New Roman"/>
          <w:snapToGrid w:val="0"/>
          <w:color w:val="auto"/>
          <w:kern w:val="0"/>
          <w:szCs w:val="21"/>
          <w:highlight w:val="none"/>
        </w:rPr>
      </w:pPr>
      <w:r>
        <w:rPr>
          <w:rFonts w:ascii="Times New Roman" w:hAnsi="Times New Roman"/>
          <w:snapToGrid w:val="0"/>
          <w:color w:val="auto"/>
          <w:kern w:val="0"/>
          <w:szCs w:val="21"/>
          <w:highlight w:val="none"/>
        </w:rPr>
        <w:t>……。</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5．投标工作和联合体在中标后项目实施过程中的有关费用按各自承担的工作量分摊。</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6．联合体中标后，本联合体协议是合同的附件，对联合体各成员单位有合同约束力。</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7．本协议书自签署之日起生效，联合体未中标或者中标时合同履行完毕后自动失效。</w:t>
      </w:r>
    </w:p>
    <w:p>
      <w:pPr>
        <w:spacing w:line="394"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8．本协议书一式</w:t>
      </w:r>
      <w:r>
        <w:rPr>
          <w:rFonts w:ascii="Times New Roman" w:hAnsi="Times New Roman"/>
          <w:color w:val="auto"/>
          <w:szCs w:val="21"/>
          <w:highlight w:val="none"/>
          <w:u w:val="single"/>
        </w:rPr>
        <w:t xml:space="preserve">            </w:t>
      </w:r>
      <w:r>
        <w:rPr>
          <w:rFonts w:ascii="Times New Roman" w:hAnsi="Times New Roman"/>
          <w:color w:val="auto"/>
          <w:szCs w:val="21"/>
          <w:highlight w:val="none"/>
        </w:rPr>
        <w:t>份，联合体成员和招标人各执一份。</w:t>
      </w:r>
    </w:p>
    <w:p>
      <w:pPr>
        <w:spacing w:line="394" w:lineRule="exact"/>
        <w:rPr>
          <w:rFonts w:ascii="Times New Roman" w:hAnsi="Times New Roman"/>
          <w:color w:val="auto"/>
          <w:szCs w:val="21"/>
          <w:highlight w:val="none"/>
        </w:rPr>
      </w:pPr>
    </w:p>
    <w:p>
      <w:pPr>
        <w:spacing w:line="394" w:lineRule="exact"/>
        <w:ind w:firstLine="1785" w:firstLineChars="850"/>
        <w:rPr>
          <w:rFonts w:ascii="Times New Roman" w:hAnsi="Times New Roman"/>
          <w:color w:val="auto"/>
          <w:szCs w:val="21"/>
          <w:highlight w:val="none"/>
        </w:rPr>
      </w:pPr>
      <w:r>
        <w:rPr>
          <w:rFonts w:ascii="Times New Roman" w:hAnsi="Times New Roman"/>
          <w:color w:val="auto"/>
          <w:szCs w:val="21"/>
          <w:highlight w:val="none"/>
        </w:rPr>
        <w:t>牵头人（成员一）名称：</w:t>
      </w:r>
      <w:r>
        <w:rPr>
          <w:rFonts w:ascii="Times New Roman" w:hAnsi="Times New Roman"/>
          <w:color w:val="auto"/>
          <w:szCs w:val="21"/>
          <w:highlight w:val="none"/>
          <w:u w:val="single"/>
        </w:rPr>
        <w:t xml:space="preserve">                         </w:t>
      </w:r>
      <w:r>
        <w:rPr>
          <w:rFonts w:ascii="Times New Roman" w:hAnsi="Times New Roman"/>
          <w:color w:val="auto"/>
          <w:szCs w:val="21"/>
          <w:highlight w:val="none"/>
        </w:rPr>
        <w:t>（盖单位章）</w:t>
      </w:r>
    </w:p>
    <w:p>
      <w:pPr>
        <w:spacing w:line="394" w:lineRule="exact"/>
        <w:ind w:firstLine="1785" w:firstLineChars="850"/>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（签字或盖章）</w:t>
      </w:r>
    </w:p>
    <w:p>
      <w:pPr>
        <w:spacing w:line="394" w:lineRule="exact"/>
        <w:ind w:firstLine="1785" w:firstLineChars="850"/>
        <w:rPr>
          <w:rFonts w:ascii="Times New Roman" w:hAnsi="Times New Roman"/>
          <w:color w:val="auto"/>
          <w:szCs w:val="21"/>
          <w:highlight w:val="none"/>
        </w:rPr>
      </w:pPr>
    </w:p>
    <w:p>
      <w:pPr>
        <w:spacing w:line="394" w:lineRule="exact"/>
        <w:ind w:firstLine="1785" w:firstLineChars="850"/>
        <w:rPr>
          <w:rFonts w:ascii="Times New Roman" w:hAnsi="Times New Roman"/>
          <w:color w:val="auto"/>
          <w:szCs w:val="21"/>
          <w:highlight w:val="none"/>
        </w:rPr>
      </w:pPr>
    </w:p>
    <w:p>
      <w:pPr>
        <w:spacing w:line="394" w:lineRule="exact"/>
        <w:ind w:firstLine="1785" w:firstLineChars="850"/>
        <w:rPr>
          <w:rFonts w:ascii="Times New Roman" w:hAnsi="Times New Roman"/>
          <w:color w:val="auto"/>
          <w:szCs w:val="21"/>
          <w:highlight w:val="none"/>
        </w:rPr>
      </w:pPr>
    </w:p>
    <w:p>
      <w:pPr>
        <w:spacing w:line="394" w:lineRule="exact"/>
        <w:ind w:firstLine="1785" w:firstLineChars="850"/>
        <w:rPr>
          <w:rFonts w:ascii="Times New Roman" w:hAnsi="Times New Roman"/>
          <w:color w:val="auto"/>
          <w:szCs w:val="21"/>
          <w:highlight w:val="none"/>
        </w:rPr>
      </w:pPr>
      <w:r>
        <w:rPr>
          <w:rFonts w:ascii="Times New Roman" w:hAnsi="Times New Roman"/>
          <w:color w:val="auto"/>
          <w:szCs w:val="21"/>
          <w:highlight w:val="none"/>
        </w:rPr>
        <w:t>成员二名称：</w:t>
      </w:r>
      <w:r>
        <w:rPr>
          <w:rFonts w:ascii="Times New Roman" w:hAnsi="Times New Roman"/>
          <w:color w:val="auto"/>
          <w:szCs w:val="21"/>
          <w:highlight w:val="none"/>
          <w:u w:val="single"/>
        </w:rPr>
        <w:t xml:space="preserve">                                    </w:t>
      </w:r>
      <w:r>
        <w:rPr>
          <w:rFonts w:ascii="Times New Roman" w:hAnsi="Times New Roman"/>
          <w:color w:val="auto"/>
          <w:szCs w:val="21"/>
          <w:highlight w:val="none"/>
        </w:rPr>
        <w:t>（盖单位章）</w:t>
      </w:r>
    </w:p>
    <w:p>
      <w:pPr>
        <w:spacing w:line="394" w:lineRule="exact"/>
        <w:ind w:firstLine="1785" w:firstLineChars="850"/>
        <w:rPr>
          <w:rFonts w:ascii="Times New Roman" w:hAnsi="Times New Roman"/>
          <w:color w:val="auto"/>
          <w:szCs w:val="21"/>
          <w:highlight w:val="none"/>
        </w:rPr>
      </w:pPr>
      <w:r>
        <w:rPr>
          <w:rFonts w:ascii="Times New Roman" w:hAnsi="Times New Roman"/>
          <w:color w:val="auto"/>
          <w:szCs w:val="21"/>
          <w:highlight w:val="none"/>
        </w:rPr>
        <w:t>法定代表人：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（签字或盖章）</w:t>
      </w:r>
    </w:p>
    <w:p>
      <w:pPr>
        <w:spacing w:line="394" w:lineRule="exact"/>
        <w:ind w:firstLine="2100" w:firstLineChars="1000"/>
        <w:rPr>
          <w:rFonts w:ascii="Times New Roman" w:hAnsi="Times New Roman"/>
          <w:color w:val="auto"/>
          <w:szCs w:val="21"/>
          <w:highlight w:val="none"/>
        </w:rPr>
      </w:pPr>
      <w:r>
        <w:rPr>
          <w:rFonts w:ascii="Times New Roman" w:hAnsi="Times New Roman"/>
          <w:color w:val="auto"/>
          <w:szCs w:val="21"/>
          <w:highlight w:val="none"/>
        </w:rPr>
        <w:t>……</w:t>
      </w:r>
    </w:p>
    <w:p>
      <w:pPr>
        <w:spacing w:line="394" w:lineRule="exact"/>
        <w:ind w:firstLine="2100" w:firstLineChars="1000"/>
        <w:jc w:val="righ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日 </w:t>
      </w: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pStyle w:val="4"/>
        <w:spacing w:line="413" w:lineRule="auto"/>
        <w:ind w:firstLine="118"/>
        <w:jc w:val="center"/>
        <w:rPr>
          <w:rFonts w:ascii="Times New Roman" w:hAnsi="Times New Roman"/>
          <w:color w:val="auto"/>
          <w:sz w:val="24"/>
          <w:szCs w:val="24"/>
          <w:highlight w:val="none"/>
        </w:rPr>
      </w:pPr>
      <w:bookmarkStart w:id="460" w:name="_Toc460660229"/>
      <w:bookmarkStart w:id="461" w:name="_Toc460227114"/>
      <w:r>
        <w:rPr>
          <w:rFonts w:ascii="Times New Roman" w:hAnsi="Times New Roman"/>
          <w:color w:val="auto"/>
          <w:sz w:val="24"/>
          <w:szCs w:val="24"/>
          <w:highlight w:val="none"/>
        </w:rPr>
        <w:t>四、投标保证金</w:t>
      </w:r>
      <w:bookmarkEnd w:id="460"/>
      <w:bookmarkEnd w:id="461"/>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投标人应在此提供银行回单的扫描件、基本账户开户许可证扫描件（或基本存款账户编号）。</w:t>
      </w:r>
    </w:p>
    <w:p>
      <w:pPr>
        <w:spacing w:line="360" w:lineRule="auto"/>
        <w:rPr>
          <w:rFonts w:ascii="Times New Roman" w:hAnsi="Times New Roman"/>
          <w:color w:val="auto"/>
          <w:szCs w:val="21"/>
          <w:highlight w:val="none"/>
        </w:rPr>
      </w:pPr>
    </w:p>
    <w:p>
      <w:pPr>
        <w:pStyle w:val="4"/>
        <w:pageBreakBefore/>
        <w:spacing w:line="413" w:lineRule="auto"/>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五、投标保证金退还声明</w:t>
      </w:r>
    </w:p>
    <w:p>
      <w:pPr>
        <w:spacing w:line="480" w:lineRule="auto"/>
        <w:ind w:firstLine="550" w:firstLineChars="262"/>
        <w:rPr>
          <w:rFonts w:ascii="Times New Roman" w:hAnsi="Times New Roman"/>
          <w:color w:val="auto"/>
          <w:szCs w:val="21"/>
          <w:highlight w:val="none"/>
          <w:u w:val="single"/>
        </w:rPr>
      </w:pPr>
      <w:r>
        <w:rPr>
          <w:rFonts w:ascii="Times New Roman" w:hAnsi="Times New Roman"/>
          <w:color w:val="auto"/>
          <w:szCs w:val="21"/>
          <w:highlight w:val="none"/>
        </w:rPr>
        <w:t>招标项目名称：</w:t>
      </w:r>
      <w:r>
        <w:rPr>
          <w:rFonts w:ascii="Times New Roman" w:hAnsi="Times New Roman"/>
          <w:color w:val="auto"/>
          <w:szCs w:val="21"/>
          <w:highlight w:val="none"/>
          <w:u w:val="single"/>
        </w:rPr>
        <w:t>某招标项目标段名称</w:t>
      </w:r>
    </w:p>
    <w:p>
      <w:pPr>
        <w:spacing w:line="480" w:lineRule="auto"/>
        <w:ind w:firstLine="550" w:firstLineChars="262"/>
        <w:rPr>
          <w:rFonts w:ascii="Times New Roman" w:hAnsi="Times New Roman"/>
          <w:color w:val="auto"/>
          <w:szCs w:val="21"/>
          <w:highlight w:val="none"/>
          <w:u w:val="single"/>
        </w:rPr>
      </w:pPr>
      <w:r>
        <w:rPr>
          <w:rFonts w:ascii="Times New Roman" w:hAnsi="Times New Roman"/>
          <w:color w:val="auto"/>
          <w:szCs w:val="21"/>
          <w:highlight w:val="none"/>
        </w:rPr>
        <w:t>招标项目编号：</w:t>
      </w:r>
      <w:r>
        <w:rPr>
          <w:rFonts w:ascii="Times New Roman" w:hAnsi="Times New Roman"/>
          <w:bCs/>
          <w:snapToGrid w:val="0"/>
          <w:color w:val="auto"/>
          <w:kern w:val="0"/>
          <w:szCs w:val="21"/>
          <w:highlight w:val="none"/>
          <w:u w:val="single"/>
        </w:rPr>
        <w:t>某招标项目标段编号</w:t>
      </w:r>
    </w:p>
    <w:p>
      <w:pPr>
        <w:spacing w:line="480" w:lineRule="auto"/>
        <w:ind w:firstLine="550" w:firstLineChars="262"/>
        <w:rPr>
          <w:rFonts w:ascii="Times New Roman" w:hAnsi="Times New Roman"/>
          <w:color w:val="auto"/>
          <w:szCs w:val="21"/>
          <w:highlight w:val="none"/>
        </w:rPr>
      </w:pPr>
      <w:r>
        <w:rPr>
          <w:rFonts w:ascii="Times New Roman" w:hAnsi="Times New Roman"/>
          <w:color w:val="auto"/>
          <w:szCs w:val="21"/>
          <w:highlight w:val="none"/>
        </w:rPr>
        <w:t>投标保证金金额：</w:t>
      </w:r>
      <w:r>
        <w:rPr>
          <w:rFonts w:ascii="Times New Roman" w:hAnsi="Times New Roman"/>
          <w:color w:val="auto"/>
          <w:szCs w:val="21"/>
          <w:highlight w:val="none"/>
          <w:u w:val="single"/>
        </w:rPr>
        <w:t xml:space="preserve">                 </w:t>
      </w:r>
    </w:p>
    <w:p>
      <w:pPr>
        <w:spacing w:line="48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我单位投标保证金到期后请汇至如下账号：</w:t>
      </w:r>
    </w:p>
    <w:p>
      <w:pPr>
        <w:spacing w:line="360" w:lineRule="auto"/>
        <w:ind w:firstLine="629"/>
        <w:rPr>
          <w:rFonts w:ascii="Times New Roman" w:hAnsi="Times New Roman"/>
          <w:color w:val="auto"/>
          <w:szCs w:val="21"/>
          <w:highlight w:val="none"/>
          <w:u w:val="single"/>
        </w:rPr>
      </w:pPr>
      <w:r>
        <w:rPr>
          <w:rFonts w:ascii="Times New Roman" w:hAnsi="Times New Roman"/>
          <w:color w:val="auto"/>
          <w:szCs w:val="21"/>
          <w:highlight w:val="none"/>
        </w:rPr>
        <w:t>收款单位：</w:t>
      </w:r>
      <w:r>
        <w:rPr>
          <w:rFonts w:ascii="Times New Roman" w:hAnsi="Times New Roman"/>
          <w:color w:val="auto"/>
          <w:szCs w:val="21"/>
          <w:highlight w:val="none"/>
          <w:u w:val="single"/>
        </w:rPr>
        <w:t xml:space="preserve">                       </w:t>
      </w:r>
    </w:p>
    <w:p>
      <w:pPr>
        <w:spacing w:line="360" w:lineRule="auto"/>
        <w:ind w:firstLine="629"/>
        <w:rPr>
          <w:rFonts w:ascii="Times New Roman" w:hAnsi="Times New Roman"/>
          <w:color w:val="auto"/>
          <w:szCs w:val="21"/>
          <w:highlight w:val="none"/>
          <w:u w:val="single"/>
        </w:rPr>
      </w:pPr>
      <w:r>
        <w:rPr>
          <w:rFonts w:ascii="Times New Roman" w:hAnsi="Times New Roman"/>
          <w:color w:val="auto"/>
          <w:szCs w:val="21"/>
          <w:highlight w:val="none"/>
        </w:rPr>
        <w:t>开 户 行：</w:t>
      </w:r>
      <w:r>
        <w:rPr>
          <w:rFonts w:ascii="Times New Roman" w:hAnsi="Times New Roman"/>
          <w:color w:val="auto"/>
          <w:szCs w:val="21"/>
          <w:highlight w:val="none"/>
          <w:u w:val="single"/>
        </w:rPr>
        <w:t xml:space="preserve">                       </w:t>
      </w:r>
    </w:p>
    <w:p>
      <w:pPr>
        <w:spacing w:line="360" w:lineRule="auto"/>
        <w:ind w:firstLine="629"/>
        <w:rPr>
          <w:rFonts w:ascii="Times New Roman" w:hAnsi="Times New Roman"/>
          <w:color w:val="auto"/>
          <w:szCs w:val="21"/>
          <w:highlight w:val="none"/>
          <w:u w:val="single"/>
        </w:rPr>
      </w:pPr>
      <w:r>
        <w:rPr>
          <w:rFonts w:ascii="Times New Roman" w:hAnsi="Times New Roman"/>
          <w:color w:val="auto"/>
          <w:szCs w:val="21"/>
          <w:highlight w:val="none"/>
        </w:rPr>
        <w:t>银行账号：</w:t>
      </w:r>
      <w:r>
        <w:rPr>
          <w:rFonts w:ascii="Times New Roman" w:hAnsi="Times New Roman"/>
          <w:color w:val="auto"/>
          <w:szCs w:val="21"/>
          <w:highlight w:val="none"/>
          <w:u w:val="single"/>
        </w:rPr>
        <w:t xml:space="preserve">                       </w:t>
      </w:r>
    </w:p>
    <w:p>
      <w:pPr>
        <w:spacing w:line="360" w:lineRule="auto"/>
        <w:ind w:firstLine="629"/>
        <w:rPr>
          <w:rFonts w:ascii="Times New Roman" w:hAnsi="Times New Roman"/>
          <w:color w:val="auto"/>
          <w:szCs w:val="21"/>
          <w:highlight w:val="none"/>
          <w:u w:val="singl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p>
    <w:p>
      <w:pPr>
        <w:spacing w:line="360" w:lineRule="auto"/>
        <w:ind w:firstLine="629"/>
        <w:rPr>
          <w:rFonts w:ascii="Times New Roman" w:hAnsi="Times New Roman"/>
          <w:color w:val="auto"/>
          <w:szCs w:val="21"/>
          <w:highlight w:val="none"/>
          <w:u w:val="singl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p>
    <w:p>
      <w:pPr>
        <w:spacing w:line="480" w:lineRule="auto"/>
        <w:rPr>
          <w:rFonts w:ascii="Times New Roman" w:hAnsi="Times New Roman"/>
          <w:color w:val="auto"/>
          <w:szCs w:val="21"/>
          <w:highlight w:val="none"/>
        </w:rPr>
      </w:pPr>
    </w:p>
    <w:p>
      <w:pPr>
        <w:spacing w:line="480" w:lineRule="auto"/>
        <w:ind w:firstLine="630"/>
        <w:rPr>
          <w:rFonts w:ascii="Times New Roman" w:hAnsi="Times New Roman"/>
          <w:color w:val="auto"/>
          <w:szCs w:val="21"/>
          <w:highlight w:val="none"/>
        </w:rPr>
      </w:pPr>
    </w:p>
    <w:p>
      <w:pPr>
        <w:spacing w:line="480" w:lineRule="auto"/>
        <w:ind w:firstLine="1470" w:firstLineChars="700"/>
        <w:rPr>
          <w:rFonts w:ascii="Times New Roman" w:hAnsi="Times New Roman"/>
          <w:b/>
          <w:bCs/>
          <w:color w:val="auto"/>
          <w:szCs w:val="21"/>
          <w:highlight w:val="none"/>
        </w:rPr>
      </w:pPr>
      <w:r>
        <w:rPr>
          <w:rFonts w:ascii="Times New Roman" w:hAnsi="Times New Roman"/>
          <w:color w:val="auto"/>
          <w:szCs w:val="21"/>
          <w:highlight w:val="none"/>
        </w:rPr>
        <w:t xml:space="preserve">                     </w:t>
      </w:r>
      <w:r>
        <w:rPr>
          <w:rFonts w:ascii="Times New Roman" w:hAnsi="Times New Roman"/>
          <w:b/>
          <w:bCs/>
          <w:color w:val="auto"/>
          <w:szCs w:val="21"/>
          <w:highlight w:val="none"/>
        </w:rPr>
        <w:t xml:space="preserve">           </w:t>
      </w:r>
      <w:r>
        <w:rPr>
          <w:rFonts w:ascii="Times New Roman" w:hAnsi="Times New Roman"/>
          <w:b/>
          <w:color w:val="auto"/>
          <w:szCs w:val="21"/>
          <w:highlight w:val="none"/>
        </w:rPr>
        <w:t>投标人盖章：</w:t>
      </w: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spacing w:before="120" w:beforeLines="50" w:after="120" w:afterLines="50" w:line="500" w:lineRule="exact"/>
        <w:jc w:val="center"/>
        <w:rPr>
          <w:rFonts w:ascii="Times New Roman" w:hAnsi="Times New Roman" w:eastAsia="黑体"/>
          <w:color w:val="auto"/>
          <w:sz w:val="24"/>
          <w:szCs w:val="24"/>
          <w:highlight w:val="none"/>
        </w:rPr>
      </w:pPr>
      <w:r>
        <w:rPr>
          <w:rFonts w:ascii="Times New Roman" w:hAnsi="Times New Roman"/>
          <w:color w:val="auto"/>
          <w:sz w:val="24"/>
          <w:szCs w:val="24"/>
          <w:highlight w:val="none"/>
        </w:rPr>
        <w:br w:type="page"/>
      </w:r>
      <w:bookmarkStart w:id="462" w:name="_Toc535241089"/>
      <w:bookmarkStart w:id="463" w:name="_Toc535241232"/>
      <w:bookmarkStart w:id="464" w:name="_Toc535241135"/>
      <w:r>
        <w:rPr>
          <w:rFonts w:ascii="Times New Roman" w:hAnsi="Times New Roman" w:eastAsia="黑体"/>
          <w:color w:val="auto"/>
          <w:sz w:val="24"/>
          <w:szCs w:val="24"/>
          <w:highlight w:val="none"/>
        </w:rPr>
        <w:t>六、拟委任的主要人员汇总表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序号</w:t>
            </w:r>
          </w:p>
        </w:tc>
        <w:tc>
          <w:tcPr>
            <w:tcW w:w="1275" w:type="dxa"/>
            <w:vMerge w:val="restart"/>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本项目任职</w:t>
            </w:r>
          </w:p>
        </w:tc>
        <w:tc>
          <w:tcPr>
            <w:tcW w:w="992" w:type="dxa"/>
            <w:vMerge w:val="restart"/>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735" w:type="dxa"/>
            <w:vMerge w:val="restart"/>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职称</w:t>
            </w:r>
          </w:p>
        </w:tc>
        <w:tc>
          <w:tcPr>
            <w:tcW w:w="709" w:type="dxa"/>
            <w:vMerge w:val="restart"/>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专业</w:t>
            </w:r>
          </w:p>
        </w:tc>
        <w:tc>
          <w:tcPr>
            <w:tcW w:w="2835" w:type="dxa"/>
            <w:gridSpan w:val="3"/>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执业或职业资格证明</w:t>
            </w:r>
          </w:p>
        </w:tc>
        <w:tc>
          <w:tcPr>
            <w:tcW w:w="976" w:type="dxa"/>
            <w:noWrap w:val="0"/>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rPr>
                <w:rFonts w:ascii="Times New Roman" w:hAnsi="Times New Roman"/>
                <w:color w:val="auto"/>
                <w:highlight w:val="none"/>
              </w:rPr>
            </w:pPr>
          </w:p>
        </w:tc>
        <w:tc>
          <w:tcPr>
            <w:tcW w:w="1275" w:type="dxa"/>
            <w:vMerge w:val="continue"/>
            <w:noWrap w:val="0"/>
            <w:vAlign w:val="top"/>
          </w:tcPr>
          <w:p>
            <w:pPr>
              <w:rPr>
                <w:rFonts w:ascii="Times New Roman" w:hAnsi="Times New Roman"/>
                <w:color w:val="auto"/>
                <w:highlight w:val="none"/>
              </w:rPr>
            </w:pPr>
          </w:p>
        </w:tc>
        <w:tc>
          <w:tcPr>
            <w:tcW w:w="992" w:type="dxa"/>
            <w:vMerge w:val="continue"/>
            <w:noWrap w:val="0"/>
            <w:vAlign w:val="center"/>
          </w:tcPr>
          <w:p>
            <w:pPr>
              <w:rPr>
                <w:rFonts w:ascii="Times New Roman" w:hAnsi="Times New Roman"/>
                <w:color w:val="auto"/>
                <w:highlight w:val="none"/>
              </w:rPr>
            </w:pPr>
          </w:p>
        </w:tc>
        <w:tc>
          <w:tcPr>
            <w:tcW w:w="735" w:type="dxa"/>
            <w:vMerge w:val="continue"/>
            <w:noWrap w:val="0"/>
            <w:vAlign w:val="center"/>
          </w:tcPr>
          <w:p>
            <w:pPr>
              <w:rPr>
                <w:rFonts w:ascii="Times New Roman" w:hAnsi="Times New Roman"/>
                <w:color w:val="auto"/>
                <w:highlight w:val="none"/>
              </w:rPr>
            </w:pPr>
          </w:p>
        </w:tc>
        <w:tc>
          <w:tcPr>
            <w:tcW w:w="709" w:type="dxa"/>
            <w:vMerge w:val="continue"/>
            <w:noWrap w:val="0"/>
            <w:vAlign w:val="center"/>
          </w:tcPr>
          <w:p>
            <w:pPr>
              <w:spacing w:line="440" w:lineRule="exact"/>
              <w:jc w:val="center"/>
              <w:rPr>
                <w:rFonts w:ascii="Times New Roman" w:hAnsi="Times New Roman"/>
                <w:color w:val="auto"/>
                <w:highlight w:val="none"/>
              </w:rPr>
            </w:pPr>
          </w:p>
        </w:tc>
        <w:tc>
          <w:tcPr>
            <w:tcW w:w="1134"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证书名称</w:t>
            </w:r>
          </w:p>
        </w:tc>
        <w:tc>
          <w:tcPr>
            <w:tcW w:w="992"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级别</w:t>
            </w:r>
          </w:p>
        </w:tc>
        <w:tc>
          <w:tcPr>
            <w:tcW w:w="709" w:type="dxa"/>
            <w:noWrap w:val="0"/>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证号</w:t>
            </w:r>
          </w:p>
        </w:tc>
        <w:tc>
          <w:tcPr>
            <w:tcW w:w="97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center"/>
          </w:tcPr>
          <w:p>
            <w:pPr>
              <w:spacing w:line="440" w:lineRule="exact"/>
              <w:jc w:val="center"/>
              <w:rPr>
                <w:rFonts w:ascii="Times New Roman" w:hAnsi="Times New Roman"/>
                <w:color w:val="auto"/>
                <w:highlight w:val="none"/>
              </w:rPr>
            </w:pPr>
          </w:p>
        </w:tc>
        <w:tc>
          <w:tcPr>
            <w:tcW w:w="735" w:type="dxa"/>
            <w:noWrap w:val="0"/>
            <w:vAlign w:val="center"/>
          </w:tcPr>
          <w:p>
            <w:pPr>
              <w:spacing w:line="440" w:lineRule="exact"/>
              <w:jc w:val="center"/>
              <w:rPr>
                <w:rFonts w:ascii="Times New Roman" w:hAnsi="Times New Roman"/>
                <w:color w:val="auto"/>
                <w:highlight w:val="none"/>
              </w:rPr>
            </w:pPr>
          </w:p>
        </w:tc>
        <w:tc>
          <w:tcPr>
            <w:tcW w:w="709" w:type="dxa"/>
            <w:noWrap w:val="0"/>
            <w:vAlign w:val="center"/>
          </w:tcPr>
          <w:p>
            <w:pPr>
              <w:spacing w:line="440" w:lineRule="exact"/>
              <w:jc w:val="center"/>
              <w:rPr>
                <w:rFonts w:ascii="Times New Roman" w:hAnsi="Times New Roman"/>
                <w:color w:val="auto"/>
                <w:highlight w:val="none"/>
              </w:rPr>
            </w:pPr>
          </w:p>
        </w:tc>
        <w:tc>
          <w:tcPr>
            <w:tcW w:w="1134" w:type="dxa"/>
            <w:noWrap w:val="0"/>
            <w:vAlign w:val="center"/>
          </w:tcPr>
          <w:p>
            <w:pPr>
              <w:spacing w:line="440" w:lineRule="exact"/>
              <w:jc w:val="center"/>
              <w:rPr>
                <w:rFonts w:ascii="Times New Roman" w:hAnsi="Times New Roman"/>
                <w:color w:val="auto"/>
                <w:highlight w:val="none"/>
              </w:rPr>
            </w:pPr>
          </w:p>
        </w:tc>
        <w:tc>
          <w:tcPr>
            <w:tcW w:w="992" w:type="dxa"/>
            <w:noWrap w:val="0"/>
            <w:vAlign w:val="center"/>
          </w:tcPr>
          <w:p>
            <w:pPr>
              <w:spacing w:line="440" w:lineRule="exact"/>
              <w:jc w:val="center"/>
              <w:rPr>
                <w:rFonts w:ascii="Times New Roman" w:hAnsi="Times New Roman"/>
                <w:color w:val="auto"/>
                <w:highlight w:val="none"/>
              </w:rPr>
            </w:pPr>
          </w:p>
        </w:tc>
        <w:tc>
          <w:tcPr>
            <w:tcW w:w="709" w:type="dxa"/>
            <w:noWrap w:val="0"/>
            <w:vAlign w:val="center"/>
          </w:tcPr>
          <w:p>
            <w:pPr>
              <w:spacing w:line="440" w:lineRule="exact"/>
              <w:jc w:val="center"/>
              <w:rPr>
                <w:rFonts w:ascii="Times New Roman" w:hAnsi="Times New Roman"/>
                <w:color w:val="auto"/>
                <w:highlight w:val="none"/>
              </w:rPr>
            </w:pPr>
          </w:p>
        </w:tc>
        <w:tc>
          <w:tcPr>
            <w:tcW w:w="976" w:type="dxa"/>
            <w:noWrap w:val="0"/>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line="440" w:lineRule="exact"/>
              <w:jc w:val="center"/>
              <w:rPr>
                <w:rFonts w:ascii="Times New Roman" w:hAnsi="Times New Roman"/>
                <w:color w:val="auto"/>
                <w:highlight w:val="none"/>
              </w:rPr>
            </w:pPr>
          </w:p>
        </w:tc>
        <w:tc>
          <w:tcPr>
            <w:tcW w:w="1275"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35"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1134" w:type="dxa"/>
            <w:noWrap w:val="0"/>
            <w:vAlign w:val="top"/>
          </w:tcPr>
          <w:p>
            <w:pPr>
              <w:spacing w:line="440" w:lineRule="exact"/>
              <w:jc w:val="center"/>
              <w:rPr>
                <w:rFonts w:ascii="Times New Roman" w:hAnsi="Times New Roman"/>
                <w:color w:val="auto"/>
                <w:highlight w:val="none"/>
              </w:rPr>
            </w:pPr>
          </w:p>
        </w:tc>
        <w:tc>
          <w:tcPr>
            <w:tcW w:w="992" w:type="dxa"/>
            <w:noWrap w:val="0"/>
            <w:vAlign w:val="top"/>
          </w:tcPr>
          <w:p>
            <w:pPr>
              <w:spacing w:line="440" w:lineRule="exact"/>
              <w:jc w:val="center"/>
              <w:rPr>
                <w:rFonts w:ascii="Times New Roman" w:hAnsi="Times New Roman"/>
                <w:color w:val="auto"/>
                <w:highlight w:val="none"/>
              </w:rPr>
            </w:pPr>
          </w:p>
        </w:tc>
        <w:tc>
          <w:tcPr>
            <w:tcW w:w="709" w:type="dxa"/>
            <w:noWrap w:val="0"/>
            <w:vAlign w:val="top"/>
          </w:tcPr>
          <w:p>
            <w:pPr>
              <w:spacing w:line="440" w:lineRule="exact"/>
              <w:jc w:val="center"/>
              <w:rPr>
                <w:rFonts w:ascii="Times New Roman" w:hAnsi="Times New Roman"/>
                <w:color w:val="auto"/>
                <w:highlight w:val="none"/>
              </w:rPr>
            </w:pPr>
          </w:p>
        </w:tc>
        <w:tc>
          <w:tcPr>
            <w:tcW w:w="976" w:type="dxa"/>
            <w:noWrap w:val="0"/>
            <w:vAlign w:val="top"/>
          </w:tcPr>
          <w:p>
            <w:pPr>
              <w:spacing w:line="440" w:lineRule="exact"/>
              <w:jc w:val="center"/>
              <w:rPr>
                <w:rFonts w:ascii="Times New Roman" w:hAnsi="Times New Roman"/>
                <w:color w:val="auto"/>
                <w:highlight w:val="none"/>
              </w:rPr>
            </w:pPr>
          </w:p>
        </w:tc>
      </w:tr>
      <w:bookmarkEnd w:id="462"/>
      <w:bookmarkEnd w:id="463"/>
      <w:bookmarkEnd w:id="464"/>
    </w:tbl>
    <w:p>
      <w:pPr>
        <w:widowControl/>
        <w:jc w:val="left"/>
        <w:rPr>
          <w:rFonts w:ascii="Times New Roman" w:hAnsi="Times New Roman" w:eastAsia="黑体"/>
          <w:b/>
          <w:bCs/>
          <w:color w:val="auto"/>
          <w:sz w:val="28"/>
          <w:szCs w:val="20"/>
          <w:highlight w:val="none"/>
        </w:rPr>
      </w:pPr>
    </w:p>
    <w:p>
      <w:pPr>
        <w:widowControl/>
        <w:jc w:val="left"/>
        <w:rPr>
          <w:rFonts w:ascii="Times New Roman" w:hAnsi="Times New Roman" w:eastAsia="黑体"/>
          <w:b/>
          <w:bCs/>
          <w:color w:val="auto"/>
          <w:sz w:val="28"/>
          <w:szCs w:val="20"/>
          <w:highlight w:val="none"/>
        </w:rPr>
      </w:pPr>
    </w:p>
    <w:p>
      <w:pPr>
        <w:widowControl/>
        <w:jc w:val="left"/>
        <w:rPr>
          <w:rFonts w:ascii="Times New Roman" w:hAnsi="Times New Roman" w:eastAsia="黑体"/>
          <w:b/>
          <w:bCs/>
          <w:color w:val="auto"/>
          <w:sz w:val="28"/>
          <w:szCs w:val="20"/>
          <w:highlight w:val="none"/>
        </w:rPr>
      </w:pPr>
    </w:p>
    <w:p>
      <w:pPr>
        <w:widowControl/>
        <w:jc w:val="left"/>
        <w:rPr>
          <w:rFonts w:ascii="Times New Roman" w:hAnsi="Times New Roman" w:eastAsia="黑体"/>
          <w:b/>
          <w:bCs/>
          <w:color w:val="auto"/>
          <w:sz w:val="28"/>
          <w:szCs w:val="20"/>
          <w:highlight w:val="none"/>
        </w:rPr>
      </w:pPr>
    </w:p>
    <w:p>
      <w:pPr>
        <w:widowControl/>
        <w:jc w:val="left"/>
        <w:rPr>
          <w:rFonts w:ascii="Times New Roman" w:hAnsi="Times New Roman" w:eastAsia="黑体"/>
          <w:b/>
          <w:bCs/>
          <w:color w:val="auto"/>
          <w:sz w:val="28"/>
          <w:szCs w:val="20"/>
          <w:highlight w:val="none"/>
        </w:rPr>
      </w:pPr>
    </w:p>
    <w:p>
      <w:pPr>
        <w:widowControl/>
        <w:jc w:val="left"/>
        <w:rPr>
          <w:rFonts w:ascii="Times New Roman" w:hAnsi="Times New Roman" w:eastAsia="黑体"/>
          <w:b/>
          <w:bCs/>
          <w:color w:val="auto"/>
          <w:sz w:val="28"/>
          <w:szCs w:val="20"/>
          <w:highlight w:val="none"/>
        </w:rPr>
      </w:pPr>
    </w:p>
    <w:p>
      <w:pPr>
        <w:widowControl/>
        <w:jc w:val="left"/>
        <w:rPr>
          <w:rFonts w:ascii="Times New Roman" w:hAnsi="Times New Roman" w:eastAsia="黑体"/>
          <w:b/>
          <w:bCs/>
          <w:color w:val="auto"/>
          <w:sz w:val="28"/>
          <w:szCs w:val="20"/>
          <w:highlight w:val="none"/>
        </w:rPr>
      </w:pPr>
    </w:p>
    <w:p>
      <w:pPr>
        <w:pStyle w:val="4"/>
        <w:spacing w:before="0" w:after="0" w:line="360" w:lineRule="auto"/>
        <w:ind w:left="0" w:leftChars="0" w:firstLine="0" w:firstLineChars="0"/>
        <w:jc w:val="center"/>
        <w:outlineLvl w:val="9"/>
        <w:rPr>
          <w:rFonts w:ascii="Times New Roman" w:hAnsi="Times New Roman"/>
          <w:color w:val="auto"/>
          <w:sz w:val="24"/>
          <w:szCs w:val="24"/>
          <w:highlight w:val="none"/>
        </w:rPr>
      </w:pPr>
    </w:p>
    <w:p>
      <w:pPr>
        <w:pStyle w:val="4"/>
        <w:spacing w:before="0" w:after="0" w:line="360" w:lineRule="auto"/>
        <w:ind w:left="0" w:leftChars="0"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七、资格审查资料</w:t>
      </w:r>
    </w:p>
    <w:p>
      <w:pPr>
        <w:widowControl/>
        <w:jc w:val="center"/>
        <w:outlineLvl w:val="1"/>
        <w:rPr>
          <w:rFonts w:ascii="Times New Roman" w:hAnsi="Times New Roman" w:eastAsia="黑体"/>
          <w:color w:val="auto"/>
          <w:sz w:val="24"/>
          <w:szCs w:val="24"/>
          <w:highlight w:val="none"/>
        </w:rPr>
      </w:pPr>
      <w:bookmarkStart w:id="465" w:name="_Toc805"/>
      <w:r>
        <w:rPr>
          <w:rFonts w:ascii="Times New Roman" w:hAnsi="Times New Roman" w:eastAsia="黑体"/>
          <w:color w:val="auto"/>
          <w:sz w:val="24"/>
          <w:szCs w:val="24"/>
          <w:highlight w:val="none"/>
        </w:rPr>
        <w:t>（一）投标人基本情况表</w:t>
      </w:r>
      <w:bookmarkEnd w:id="465"/>
    </w:p>
    <w:tbl>
      <w:tblPr>
        <w:tblStyle w:val="43"/>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bookmarkStart w:id="466" w:name="_Toc390411623"/>
            <w:bookmarkStart w:id="467" w:name="_Toc421917003"/>
            <w:r>
              <w:rPr>
                <w:rFonts w:ascii="Times New Roman" w:hAnsi="Times New Roman"/>
                <w:color w:val="auto"/>
                <w:kern w:val="0"/>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 xml:space="preserve">电 </w:t>
            </w:r>
            <w:r>
              <w:rPr>
                <w:rFonts w:ascii="Times New Roman" w:hAnsi="Times New Roman"/>
                <w:color w:val="auto"/>
                <w:spacing w:val="1"/>
                <w:kern w:val="0"/>
                <w:highlight w:val="none"/>
              </w:rPr>
              <w:t xml:space="preserve"> </w:t>
            </w:r>
            <w:r>
              <w:rPr>
                <w:rFonts w:ascii="Times New Roman" w:hAnsi="Times New Roman"/>
                <w:color w:val="auto"/>
                <w:kern w:val="0"/>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color w:val="auto"/>
                <w:kern w:val="0"/>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传  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员工总人数：</w:t>
            </w: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ascii="Times New Roman" w:hAnsi="Times New Roman"/>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其他人员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tr>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投标人关联</w:t>
            </w:r>
          </w:p>
          <w:p>
            <w:pPr>
              <w:autoSpaceDE w:val="0"/>
              <w:autoSpaceDN w:val="0"/>
              <w:adjustRightInd w:val="0"/>
              <w:snapToGrid w:val="0"/>
              <w:jc w:val="center"/>
              <w:rPr>
                <w:rFonts w:ascii="Times New Roman" w:hAnsi="Times New Roman"/>
                <w:color w:val="auto"/>
                <w:szCs w:val="21"/>
                <w:highlight w:val="none"/>
              </w:rPr>
            </w:pPr>
            <w:r>
              <w:rPr>
                <w:rFonts w:ascii="Times New Roman" w:hAnsi="Times New Roman"/>
                <w:color w:val="auto"/>
                <w:kern w:val="0"/>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topLinePun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投标人应提供关联企业情况，包括：</w:t>
            </w:r>
          </w:p>
          <w:p>
            <w:pPr>
              <w:topLinePun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（1）投标人的所有股东名称及相应股权（出资额）比例；如投标人为上市公司，投标人应提供股权占公司股份总数__%以上的所有股东名称及相应股权比例；</w:t>
            </w:r>
          </w:p>
          <w:p>
            <w:pPr>
              <w:topLinePun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（2）投标人投资（控股）或管理的下属企业名称、持有股权（出资额）比例；</w:t>
            </w:r>
          </w:p>
          <w:p>
            <w:pPr>
              <w:topLinePun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（3）与投标人单位负责人（即法定代表人）为同一人的其他单位名称。</w:t>
            </w:r>
          </w:p>
        </w:tc>
      </w:tr>
      <w:tr>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r>
              <w:rPr>
                <w:rFonts w:ascii="Times New Roman" w:hAnsi="Times New Roman"/>
                <w:color w:val="auto"/>
                <w:kern w:val="0"/>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color w:val="auto"/>
                <w:kern w:val="0"/>
                <w:highlight w:val="none"/>
              </w:rPr>
            </w:pPr>
          </w:p>
        </w:tc>
      </w:tr>
      <w:bookmarkEnd w:id="466"/>
      <w:bookmarkEnd w:id="467"/>
    </w:tbl>
    <w:p>
      <w:pPr>
        <w:autoSpaceDE w:val="0"/>
        <w:autoSpaceDN w:val="0"/>
        <w:adjustRightInd w:val="0"/>
        <w:spacing w:line="300" w:lineRule="exact"/>
        <w:jc w:val="left"/>
        <w:rPr>
          <w:rFonts w:ascii="Times New Roman" w:hAnsi="Times New Roman"/>
          <w:color w:val="auto"/>
          <w:kern w:val="0"/>
          <w:highlight w:val="none"/>
        </w:rPr>
      </w:pPr>
      <w:r>
        <w:rPr>
          <w:rFonts w:ascii="Times New Roman" w:hAnsi="Times New Roman"/>
          <w:color w:val="auto"/>
          <w:highlight w:val="none"/>
        </w:rPr>
        <w:t>注：</w:t>
      </w:r>
      <w:r>
        <w:rPr>
          <w:rFonts w:ascii="Times New Roman" w:hAnsi="Times New Roman"/>
          <w:color w:val="auto"/>
          <w:kern w:val="0"/>
          <w:szCs w:val="21"/>
          <w:highlight w:val="none"/>
        </w:rPr>
        <w:t>投标人应根据招标文件第二章“投标人须知”前附表附录1的要求在本</w:t>
      </w:r>
      <w:r>
        <w:rPr>
          <w:rFonts w:ascii="Times New Roman" w:hAnsi="Times New Roman"/>
          <w:color w:val="auto"/>
          <w:kern w:val="0"/>
          <w:highlight w:val="none"/>
        </w:rPr>
        <w:t>表后附资质证书、营业执照等材料。接受联合体的，联合体成员分别填写。</w:t>
      </w:r>
    </w:p>
    <w:p>
      <w:pPr>
        <w:spacing w:line="440" w:lineRule="exact"/>
        <w:jc w:val="center"/>
        <w:outlineLvl w:val="1"/>
        <w:rPr>
          <w:rFonts w:ascii="Times New Roman" w:hAnsi="Times New Roman" w:eastAsia="黑体"/>
          <w:color w:val="auto"/>
          <w:sz w:val="24"/>
          <w:szCs w:val="24"/>
          <w:highlight w:val="none"/>
        </w:rPr>
      </w:pPr>
      <w:r>
        <w:rPr>
          <w:rFonts w:ascii="Times New Roman" w:hAnsi="Times New Roman"/>
          <w:color w:val="auto"/>
          <w:highlight w:val="none"/>
        </w:rPr>
        <w:br w:type="page"/>
      </w:r>
      <w:bookmarkStart w:id="468" w:name="_Toc29282"/>
      <w:r>
        <w:rPr>
          <w:rFonts w:ascii="Times New Roman" w:hAnsi="Times New Roman" w:eastAsia="黑体"/>
          <w:color w:val="auto"/>
          <w:sz w:val="24"/>
          <w:szCs w:val="24"/>
          <w:highlight w:val="none"/>
        </w:rPr>
        <w:t>（</w:t>
      </w:r>
      <w:r>
        <w:rPr>
          <w:rFonts w:hint="eastAsia" w:ascii="Times New Roman" w:hAnsi="Times New Roman" w:eastAsia="黑体"/>
          <w:color w:val="auto"/>
          <w:sz w:val="24"/>
          <w:szCs w:val="24"/>
          <w:highlight w:val="none"/>
          <w:lang w:val="en-US" w:eastAsia="zh-CN"/>
        </w:rPr>
        <w:t>二</w:t>
      </w:r>
      <w:r>
        <w:rPr>
          <w:rFonts w:ascii="Times New Roman" w:hAnsi="Times New Roman" w:eastAsia="黑体"/>
          <w:color w:val="auto"/>
          <w:sz w:val="24"/>
          <w:szCs w:val="24"/>
          <w:highlight w:val="none"/>
        </w:rPr>
        <w:t>）投标人信誉情况</w:t>
      </w:r>
      <w:bookmarkEnd w:id="468"/>
    </w:p>
    <w:p>
      <w:pPr>
        <w:rPr>
          <w:rFonts w:ascii="Times New Roman" w:hAnsi="Times New Roman"/>
          <w:color w:val="auto"/>
          <w:szCs w:val="21"/>
          <w:highlight w:val="none"/>
        </w:rPr>
      </w:pPr>
    </w:p>
    <w:p>
      <w:pPr>
        <w:ind w:firstLine="420" w:firstLineChars="200"/>
        <w:rPr>
          <w:rFonts w:ascii="Times New Roman" w:hAnsi="Times New Roman"/>
          <w:color w:val="auto"/>
          <w:szCs w:val="21"/>
          <w:highlight w:val="none"/>
        </w:rPr>
      </w:pPr>
      <w:r>
        <w:rPr>
          <w:rFonts w:ascii="Times New Roman" w:hAnsi="Times New Roman"/>
          <w:color w:val="auto"/>
          <w:szCs w:val="21"/>
          <w:highlight w:val="none"/>
        </w:rPr>
        <w:t>投标人无需提供相应资料，在投标函中提供承诺即可。如承诺与实际不符，则视为投标人弄虚作假骗取中标，其投标保证金按规定予以处理。</w:t>
      </w: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spacing w:line="440" w:lineRule="exact"/>
        <w:rPr>
          <w:rFonts w:ascii="Times New Roman" w:hAnsi="Times New Roman"/>
          <w:color w:val="auto"/>
          <w:spacing w:val="-6"/>
          <w:szCs w:val="21"/>
          <w:highlight w:val="none"/>
        </w:rPr>
      </w:pPr>
    </w:p>
    <w:p>
      <w:pPr>
        <w:pStyle w:val="4"/>
        <w:ind w:firstLine="0" w:firstLineChars="0"/>
        <w:jc w:val="center"/>
        <w:rPr>
          <w:rFonts w:ascii="Times New Roman" w:hAnsi="Times New Roman" w:eastAsia="楷体"/>
          <w:color w:val="auto"/>
          <w:szCs w:val="21"/>
          <w:highlight w:val="none"/>
        </w:rPr>
      </w:pPr>
      <w:bookmarkStart w:id="469" w:name="_Toc421917010"/>
      <w:bookmarkStart w:id="470" w:name="_Toc390411629"/>
      <w:bookmarkStart w:id="471" w:name="_Toc460660233"/>
      <w:bookmarkStart w:id="472" w:name="_Toc460227118"/>
      <w:r>
        <w:rPr>
          <w:rFonts w:ascii="Times New Roman" w:hAnsi="Times New Roman"/>
          <w:color w:val="auto"/>
          <w:sz w:val="24"/>
          <w:szCs w:val="24"/>
          <w:highlight w:val="none"/>
        </w:rPr>
        <w:t>八、服务方案</w:t>
      </w:r>
    </w:p>
    <w:p>
      <w:pPr>
        <w:spacing w:line="360" w:lineRule="auto"/>
        <w:ind w:firstLine="474" w:firstLineChars="226"/>
        <w:rPr>
          <w:rFonts w:ascii="Times New Roman" w:hAnsi="Times New Roman"/>
          <w:color w:val="auto"/>
          <w:szCs w:val="21"/>
          <w:highlight w:val="none"/>
        </w:rPr>
      </w:pPr>
    </w:p>
    <w:p>
      <w:pPr>
        <w:spacing w:line="360" w:lineRule="auto"/>
        <w:ind w:firstLine="474" w:firstLineChars="226"/>
        <w:rPr>
          <w:rFonts w:ascii="Times New Roman" w:hAnsi="Times New Roman"/>
          <w:color w:val="auto"/>
          <w:szCs w:val="21"/>
          <w:highlight w:val="none"/>
        </w:rPr>
      </w:pPr>
      <w:r>
        <w:rPr>
          <w:rFonts w:ascii="Times New Roman" w:hAnsi="Times New Roman"/>
          <w:color w:val="auto"/>
          <w:szCs w:val="21"/>
          <w:highlight w:val="none"/>
        </w:rPr>
        <w:t>服务方案应包括（但不限于）下列内容：</w:t>
      </w:r>
    </w:p>
    <w:p>
      <w:pPr>
        <w:spacing w:line="360" w:lineRule="auto"/>
        <w:ind w:firstLine="474" w:firstLineChars="226"/>
        <w:rPr>
          <w:rFonts w:ascii="Times New Roman" w:hAnsi="Times New Roman"/>
          <w:color w:val="auto"/>
          <w:szCs w:val="21"/>
          <w:highlight w:val="none"/>
        </w:rPr>
      </w:pPr>
      <w:r>
        <w:rPr>
          <w:rFonts w:ascii="Times New Roman" w:hAnsi="Times New Roman"/>
          <w:color w:val="auto"/>
          <w:szCs w:val="21"/>
          <w:highlight w:val="none"/>
        </w:rPr>
        <w:t>1.……</w:t>
      </w:r>
    </w:p>
    <w:p>
      <w:pPr>
        <w:spacing w:line="360" w:lineRule="auto"/>
        <w:ind w:firstLine="474" w:firstLineChars="226"/>
        <w:rPr>
          <w:rFonts w:ascii="Times New Roman" w:hAnsi="Times New Roman"/>
          <w:color w:val="auto"/>
          <w:szCs w:val="21"/>
          <w:highlight w:val="none"/>
        </w:rPr>
      </w:pPr>
      <w:r>
        <w:rPr>
          <w:rFonts w:ascii="Times New Roman" w:hAnsi="Times New Roman"/>
          <w:color w:val="auto"/>
          <w:szCs w:val="21"/>
          <w:highlight w:val="none"/>
        </w:rPr>
        <w:t>2.……</w:t>
      </w:r>
    </w:p>
    <w:p>
      <w:pPr>
        <w:spacing w:line="360" w:lineRule="auto"/>
        <w:ind w:firstLine="474" w:firstLineChars="226"/>
        <w:rPr>
          <w:rFonts w:ascii="Times New Roman" w:hAnsi="Times New Roman"/>
          <w:color w:val="auto"/>
          <w:szCs w:val="21"/>
          <w:highlight w:val="none"/>
        </w:rPr>
      </w:pPr>
      <w:r>
        <w:rPr>
          <w:rFonts w:ascii="Times New Roman" w:hAnsi="Times New Roman"/>
          <w:color w:val="auto"/>
          <w:szCs w:val="21"/>
          <w:highlight w:val="none"/>
        </w:rPr>
        <w:t>3.…….</w:t>
      </w:r>
    </w:p>
    <w:p>
      <w:pPr>
        <w:spacing w:line="360" w:lineRule="auto"/>
        <w:ind w:firstLine="474" w:firstLineChars="226"/>
        <w:rPr>
          <w:rFonts w:ascii="Times New Roman" w:hAnsi="Times New Roman"/>
          <w:color w:val="auto"/>
          <w:szCs w:val="21"/>
          <w:highlight w:val="none"/>
        </w:rPr>
      </w:pPr>
      <w:r>
        <w:rPr>
          <w:rFonts w:ascii="Times New Roman" w:hAnsi="Times New Roman"/>
          <w:color w:val="auto"/>
          <w:szCs w:val="21"/>
          <w:highlight w:val="none"/>
        </w:rPr>
        <w:t>…….</w:t>
      </w:r>
    </w:p>
    <w:p>
      <w:pPr>
        <w:rPr>
          <w:rFonts w:ascii="Times New Roman" w:hAnsi="Times New Roman"/>
          <w:color w:val="auto"/>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widowControl/>
        <w:jc w:val="left"/>
        <w:rPr>
          <w:rFonts w:ascii="Times New Roman" w:hAnsi="Times New Roman"/>
          <w:color w:val="auto"/>
          <w:sz w:val="24"/>
          <w:szCs w:val="24"/>
          <w:highlight w:val="none"/>
        </w:rPr>
      </w:pPr>
    </w:p>
    <w:p>
      <w:pPr>
        <w:pStyle w:val="4"/>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九、其他资料</w:t>
      </w:r>
      <w:bookmarkEnd w:id="469"/>
      <w:bookmarkEnd w:id="470"/>
      <w:bookmarkEnd w:id="471"/>
      <w:bookmarkEnd w:id="472"/>
    </w:p>
    <w:p>
      <w:pPr>
        <w:tabs>
          <w:tab w:val="left" w:pos="5760"/>
        </w:tabs>
        <w:autoSpaceDE w:val="0"/>
        <w:autoSpaceDN w:val="0"/>
        <w:adjustRightInd w:val="0"/>
        <w:spacing w:line="300" w:lineRule="exact"/>
        <w:ind w:right="11" w:firstLine="420" w:firstLineChars="200"/>
        <w:rPr>
          <w:rFonts w:ascii="Times New Roman" w:hAnsi="Times New Roman"/>
          <w:color w:val="auto"/>
          <w:szCs w:val="21"/>
          <w:highlight w:val="none"/>
        </w:rPr>
      </w:pPr>
      <w:r>
        <w:rPr>
          <w:rFonts w:ascii="Times New Roman" w:hAnsi="Times New Roman"/>
          <w:color w:val="auto"/>
          <w:szCs w:val="21"/>
          <w:highlight w:val="none"/>
        </w:rPr>
        <w:t>投标人对照技术</w:t>
      </w:r>
      <w:r>
        <w:rPr>
          <w:rFonts w:hint="eastAsia" w:ascii="Times New Roman" w:hAnsi="Times New Roman"/>
          <w:color w:val="auto"/>
          <w:szCs w:val="21"/>
          <w:highlight w:val="none"/>
          <w:lang w:val="en-US" w:eastAsia="zh-CN"/>
        </w:rPr>
        <w:t>及资信</w:t>
      </w:r>
      <w:r>
        <w:rPr>
          <w:rFonts w:ascii="Times New Roman" w:hAnsi="Times New Roman"/>
          <w:color w:val="auto"/>
          <w:szCs w:val="21"/>
          <w:highlight w:val="none"/>
        </w:rPr>
        <w:t>文件初步评审及详细评审条件，自行提供其他相关资料（如有）</w:t>
      </w: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spacing w:line="440" w:lineRule="exact"/>
        <w:rPr>
          <w:rFonts w:ascii="Times New Roman" w:hAnsi="Times New Roman"/>
          <w:color w:val="auto"/>
          <w:szCs w:val="21"/>
          <w:highlight w:val="none"/>
        </w:rPr>
      </w:pPr>
      <w:r>
        <w:rPr>
          <w:rFonts w:ascii="Times New Roman" w:hAnsi="Times New Roman"/>
          <w:color w:val="auto"/>
          <w:szCs w:val="21"/>
          <w:highlight w:val="none"/>
        </w:rPr>
        <w:t>注：对照</w:t>
      </w:r>
      <w:r>
        <w:rPr>
          <w:rFonts w:hint="eastAsia" w:ascii="Times New Roman" w:hAnsi="Times New Roman"/>
          <w:color w:val="auto"/>
          <w:szCs w:val="21"/>
          <w:highlight w:val="none"/>
          <w:lang w:val="en-US" w:eastAsia="zh-CN"/>
        </w:rPr>
        <w:t>技术及资信</w:t>
      </w:r>
      <w:r>
        <w:rPr>
          <w:rFonts w:ascii="Times New Roman" w:hAnsi="Times New Roman"/>
          <w:color w:val="auto"/>
          <w:szCs w:val="21"/>
          <w:highlight w:val="none"/>
        </w:rPr>
        <w:t>文件初步评审及详细评审条件，由投标人自行提供相关证明。如证明或声明与实际不符，将被取消投标或中标资格，其投标保证金按规定予以处理。</w:t>
      </w:r>
    </w:p>
    <w:p>
      <w:pPr>
        <w:autoSpaceDE w:val="0"/>
        <w:autoSpaceDN w:val="0"/>
        <w:adjustRightInd w:val="0"/>
        <w:snapToGrid w:val="0"/>
        <w:spacing w:line="360" w:lineRule="auto"/>
        <w:jc w:val="left"/>
        <w:rPr>
          <w:rFonts w:ascii="Times New Roman" w:hAnsi="Times New Roman"/>
          <w:snapToGrid w:val="0"/>
          <w:color w:val="auto"/>
          <w:kern w:val="0"/>
          <w:sz w:val="20"/>
          <w:highlight w:val="none"/>
        </w:rPr>
      </w:pPr>
    </w:p>
    <w:p>
      <w:pPr>
        <w:autoSpaceDE w:val="0"/>
        <w:autoSpaceDN w:val="0"/>
        <w:adjustRightInd w:val="0"/>
        <w:snapToGrid w:val="0"/>
        <w:spacing w:line="360" w:lineRule="auto"/>
        <w:jc w:val="left"/>
        <w:rPr>
          <w:rFonts w:ascii="Times New Roman" w:hAnsi="Times New Roman"/>
          <w:snapToGrid w:val="0"/>
          <w:color w:val="auto"/>
          <w:kern w:val="0"/>
          <w:sz w:val="20"/>
          <w:highlight w:val="none"/>
        </w:rPr>
      </w:pPr>
    </w:p>
    <w:p>
      <w:pPr>
        <w:autoSpaceDE w:val="0"/>
        <w:autoSpaceDN w:val="0"/>
        <w:adjustRightInd w:val="0"/>
        <w:snapToGrid w:val="0"/>
        <w:spacing w:line="360" w:lineRule="auto"/>
        <w:jc w:val="left"/>
        <w:rPr>
          <w:rFonts w:ascii="Times New Roman" w:hAnsi="Times New Roman"/>
          <w:snapToGrid w:val="0"/>
          <w:color w:val="auto"/>
          <w:kern w:val="0"/>
          <w:sz w:val="20"/>
          <w:highlight w:val="none"/>
        </w:rPr>
      </w:pPr>
    </w:p>
    <w:p>
      <w:pPr>
        <w:autoSpaceDE w:val="0"/>
        <w:autoSpaceDN w:val="0"/>
        <w:adjustRightInd w:val="0"/>
        <w:snapToGrid w:val="0"/>
        <w:spacing w:line="360" w:lineRule="auto"/>
        <w:jc w:val="left"/>
        <w:rPr>
          <w:rFonts w:ascii="Times New Roman" w:hAnsi="Times New Roman"/>
          <w:snapToGrid w:val="0"/>
          <w:color w:val="auto"/>
          <w:kern w:val="0"/>
          <w:sz w:val="20"/>
          <w:highlight w:val="none"/>
        </w:rPr>
      </w:pPr>
    </w:p>
    <w:p>
      <w:pPr>
        <w:rPr>
          <w:rFonts w:ascii="Times New Roman" w:hAnsi="Times New Roman"/>
          <w:snapToGrid w:val="0"/>
          <w:color w:val="auto"/>
          <w:kern w:val="0"/>
          <w:sz w:val="20"/>
          <w:highlight w:val="none"/>
        </w:rPr>
      </w:pPr>
    </w:p>
    <w:p>
      <w:pPr>
        <w:jc w:val="both"/>
        <w:rPr>
          <w:rFonts w:ascii="Times New Roman" w:hAnsi="Times New Roman" w:eastAsia="黑体"/>
          <w:color w:val="auto"/>
          <w:sz w:val="32"/>
          <w:szCs w:val="32"/>
          <w:highlight w:val="none"/>
          <w:u w:val="single"/>
        </w:rPr>
      </w:pPr>
    </w:p>
    <w:p>
      <w:pPr>
        <w:jc w:val="center"/>
        <w:outlineLvl w:val="3"/>
        <w:rPr>
          <w:rFonts w:ascii="Times New Roman" w:hAnsi="Times New Roman" w:eastAsia="黑体"/>
          <w:b/>
          <w:bCs/>
          <w:color w:val="auto"/>
          <w:kern w:val="0"/>
          <w:sz w:val="28"/>
          <w:highlight w:val="none"/>
        </w:rPr>
      </w:pPr>
      <w:r>
        <w:rPr>
          <w:rFonts w:ascii="Times New Roman" w:hAnsi="Times New Roman" w:eastAsia="黑体"/>
          <w:color w:val="auto"/>
          <w:sz w:val="32"/>
          <w:szCs w:val="32"/>
          <w:highlight w:val="none"/>
          <w:u w:val="single"/>
        </w:rPr>
        <w:t>某招标项目标段名称</w:t>
      </w:r>
      <w:r>
        <w:rPr>
          <w:rFonts w:ascii="Times New Roman" w:hAnsi="Times New Roman" w:eastAsia="黑体"/>
          <w:color w:val="auto"/>
          <w:sz w:val="28"/>
          <w:szCs w:val="28"/>
          <w:highlight w:val="none"/>
        </w:rPr>
        <w:t>招标</w:t>
      </w:r>
    </w:p>
    <w:p>
      <w:pPr>
        <w:tabs>
          <w:tab w:val="left" w:pos="3600"/>
          <w:tab w:val="left" w:pos="4480"/>
          <w:tab w:val="left" w:pos="5360"/>
        </w:tabs>
        <w:autoSpaceDE w:val="0"/>
        <w:autoSpaceDN w:val="0"/>
        <w:adjustRightInd w:val="0"/>
        <w:snapToGrid w:val="0"/>
        <w:spacing w:line="360" w:lineRule="auto"/>
        <w:jc w:val="left"/>
        <w:rPr>
          <w:rFonts w:ascii="Times New Roman" w:hAnsi="Times New Roman"/>
          <w:color w:val="auto"/>
          <w:kern w:val="0"/>
          <w:sz w:val="44"/>
          <w:highlight w:val="none"/>
        </w:rPr>
      </w:pPr>
    </w:p>
    <w:p>
      <w:pPr>
        <w:tabs>
          <w:tab w:val="left" w:pos="3600"/>
          <w:tab w:val="left" w:pos="4480"/>
          <w:tab w:val="left" w:pos="5360"/>
        </w:tabs>
        <w:autoSpaceDE w:val="0"/>
        <w:autoSpaceDN w:val="0"/>
        <w:adjustRightInd w:val="0"/>
        <w:snapToGrid w:val="0"/>
        <w:spacing w:line="360" w:lineRule="auto"/>
        <w:jc w:val="left"/>
        <w:rPr>
          <w:rFonts w:ascii="Times New Roman" w:hAnsi="Times New Roman"/>
          <w:color w:val="auto"/>
          <w:kern w:val="0"/>
          <w:sz w:val="44"/>
          <w:highlight w:val="none"/>
        </w:rPr>
      </w:pPr>
    </w:p>
    <w:p>
      <w:pPr>
        <w:pStyle w:val="3"/>
        <w:jc w:val="center"/>
        <w:rPr>
          <w:rFonts w:hint="eastAsia" w:ascii="Times New Roman" w:hAnsi="Times New Roman" w:eastAsia="黑体"/>
          <w:b w:val="0"/>
          <w:color w:val="auto"/>
          <w:sz w:val="44"/>
          <w:szCs w:val="44"/>
          <w:highlight w:val="none"/>
          <w:lang w:eastAsia="zh-CN"/>
        </w:rPr>
      </w:pPr>
      <w:bookmarkStart w:id="473" w:name="_Toc9234"/>
      <w:bookmarkStart w:id="474" w:name="_Toc6495"/>
      <w:bookmarkStart w:id="475" w:name="_Toc17274"/>
      <w:bookmarkStart w:id="476" w:name="_Toc12633372"/>
      <w:bookmarkStart w:id="477" w:name="_Toc17395"/>
      <w:bookmarkStart w:id="478" w:name="_Toc1067"/>
      <w:bookmarkStart w:id="479" w:name="_Toc23266"/>
      <w:bookmarkStart w:id="480" w:name="_Toc374"/>
      <w:bookmarkStart w:id="481" w:name="_Toc13804"/>
      <w:r>
        <w:rPr>
          <w:rFonts w:ascii="Times New Roman" w:hAnsi="Times New Roman"/>
          <w:b w:val="0"/>
          <w:color w:val="auto"/>
          <w:sz w:val="44"/>
          <w:szCs w:val="44"/>
          <w:highlight w:val="none"/>
        </w:rPr>
        <w:t>投标文件</w:t>
      </w:r>
      <w:bookmarkEnd w:id="473"/>
      <w:bookmarkEnd w:id="474"/>
    </w:p>
    <w:p>
      <w:pPr>
        <w:pStyle w:val="3"/>
        <w:jc w:val="center"/>
        <w:rPr>
          <w:rFonts w:ascii="Times New Roman" w:hAnsi="Times New Roman"/>
          <w:b w:val="0"/>
          <w:color w:val="auto"/>
          <w:highlight w:val="none"/>
        </w:rPr>
      </w:pPr>
      <w:bookmarkStart w:id="482" w:name="_Toc23742"/>
      <w:bookmarkStart w:id="483" w:name="_Toc25362"/>
      <w:r>
        <w:rPr>
          <w:rFonts w:ascii="Times New Roman" w:hAnsi="Times New Roman"/>
          <w:b w:val="0"/>
          <w:color w:val="auto"/>
          <w:sz w:val="44"/>
          <w:szCs w:val="44"/>
          <w:highlight w:val="none"/>
        </w:rPr>
        <w:t>（报价文件）</w:t>
      </w:r>
      <w:bookmarkEnd w:id="475"/>
      <w:bookmarkEnd w:id="476"/>
      <w:bookmarkEnd w:id="477"/>
      <w:bookmarkEnd w:id="478"/>
      <w:bookmarkEnd w:id="479"/>
      <w:bookmarkEnd w:id="480"/>
      <w:bookmarkEnd w:id="481"/>
      <w:bookmarkEnd w:id="482"/>
      <w:bookmarkEnd w:id="483"/>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autoSpaceDE w:val="0"/>
        <w:autoSpaceDN w:val="0"/>
        <w:adjustRightInd w:val="0"/>
        <w:snapToGrid w:val="0"/>
        <w:spacing w:line="360" w:lineRule="auto"/>
        <w:jc w:val="left"/>
        <w:rPr>
          <w:rFonts w:ascii="Times New Roman" w:hAnsi="Times New Roman"/>
          <w:b/>
          <w:bCs/>
          <w:color w:val="auto"/>
          <w:kern w:val="0"/>
          <w:sz w:val="20"/>
          <w:highlight w:val="none"/>
        </w:rPr>
      </w:pPr>
    </w:p>
    <w:p>
      <w:pPr>
        <w:spacing w:line="360" w:lineRule="auto"/>
        <w:ind w:firstLine="1400" w:firstLineChars="500"/>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投标人：</w:t>
      </w:r>
      <w:r>
        <w:rPr>
          <w:rFonts w:ascii="Times New Roman" w:hAnsi="Times New Roman" w:eastAsia="黑体"/>
          <w:color w:val="auto"/>
          <w:sz w:val="28"/>
          <w:szCs w:val="28"/>
          <w:highlight w:val="none"/>
          <w:u w:val="single"/>
        </w:rPr>
        <w:t xml:space="preserve">                               </w:t>
      </w:r>
    </w:p>
    <w:p>
      <w:pPr>
        <w:jc w:val="center"/>
        <w:rPr>
          <w:rFonts w:ascii="Times New Roman" w:hAnsi="Times New Roman" w:eastAsia="黑体"/>
          <w:color w:val="auto"/>
          <w:sz w:val="28"/>
          <w:szCs w:val="28"/>
          <w:highlight w:val="none"/>
        </w:rPr>
      </w:pPr>
    </w:p>
    <w:p>
      <w:pPr>
        <w:tabs>
          <w:tab w:val="left" w:pos="3280"/>
          <w:tab w:val="left" w:pos="4680"/>
          <w:tab w:val="left" w:pos="6080"/>
        </w:tabs>
        <w:autoSpaceDE w:val="0"/>
        <w:autoSpaceDN w:val="0"/>
        <w:adjustRightInd w:val="0"/>
        <w:snapToGrid w:val="0"/>
        <w:spacing w:line="360" w:lineRule="auto"/>
        <w:jc w:val="center"/>
        <w:rPr>
          <w:rFonts w:ascii="Times New Roman" w:hAnsi="Times New Roman"/>
          <w:b/>
          <w:bCs/>
          <w:color w:val="auto"/>
          <w:kern w:val="0"/>
          <w:sz w:val="28"/>
          <w:highlight w:val="none"/>
        </w:rPr>
      </w:pPr>
      <w:r>
        <w:rPr>
          <w:rFonts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rPr>
        <w:t>年</w:t>
      </w:r>
      <w:r>
        <w:rPr>
          <w:rFonts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rPr>
        <w:t>月</w:t>
      </w:r>
      <w:r>
        <w:rPr>
          <w:rFonts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rPr>
        <w:t>日</w:t>
      </w:r>
    </w:p>
    <w:p>
      <w:pPr>
        <w:autoSpaceDE w:val="0"/>
        <w:autoSpaceDN w:val="0"/>
        <w:adjustRightInd w:val="0"/>
        <w:snapToGrid w:val="0"/>
        <w:spacing w:line="360" w:lineRule="auto"/>
        <w:jc w:val="center"/>
        <w:rPr>
          <w:rFonts w:ascii="Times New Roman" w:hAnsi="Times New Roman" w:eastAsia="黑体"/>
          <w:bCs/>
          <w:color w:val="auto"/>
          <w:kern w:val="0"/>
          <w:sz w:val="24"/>
          <w:szCs w:val="24"/>
          <w:highlight w:val="none"/>
        </w:rPr>
      </w:pPr>
    </w:p>
    <w:p>
      <w:pPr>
        <w:autoSpaceDE w:val="0"/>
        <w:autoSpaceDN w:val="0"/>
        <w:adjustRightInd w:val="0"/>
        <w:snapToGrid w:val="0"/>
        <w:spacing w:line="360" w:lineRule="auto"/>
        <w:jc w:val="center"/>
        <w:rPr>
          <w:rFonts w:ascii="Times New Roman" w:hAnsi="Times New Roman" w:eastAsia="黑体"/>
          <w:bCs/>
          <w:color w:val="auto"/>
          <w:kern w:val="0"/>
          <w:sz w:val="24"/>
          <w:szCs w:val="24"/>
          <w:highlight w:val="none"/>
        </w:rPr>
      </w:pPr>
    </w:p>
    <w:p>
      <w:pPr>
        <w:autoSpaceDE w:val="0"/>
        <w:autoSpaceDN w:val="0"/>
        <w:adjustRightInd w:val="0"/>
        <w:snapToGrid w:val="0"/>
        <w:spacing w:line="360" w:lineRule="auto"/>
        <w:jc w:val="center"/>
        <w:rPr>
          <w:rFonts w:ascii="Times New Roman" w:hAnsi="Times New Roman" w:eastAsia="黑体"/>
          <w:bCs/>
          <w:color w:val="auto"/>
          <w:kern w:val="0"/>
          <w:sz w:val="24"/>
          <w:szCs w:val="24"/>
          <w:highlight w:val="none"/>
        </w:rPr>
      </w:pPr>
    </w:p>
    <w:p>
      <w:pPr>
        <w:rPr>
          <w:color w:val="auto"/>
          <w:highlight w:val="none"/>
        </w:rPr>
      </w:pPr>
    </w:p>
    <w:p>
      <w:pPr>
        <w:autoSpaceDE w:val="0"/>
        <w:autoSpaceDN w:val="0"/>
        <w:adjustRightInd w:val="0"/>
        <w:snapToGrid w:val="0"/>
        <w:spacing w:line="360" w:lineRule="auto"/>
        <w:jc w:val="center"/>
        <w:rPr>
          <w:rFonts w:ascii="Times New Roman" w:hAnsi="Times New Roman" w:eastAsia="黑体"/>
          <w:bCs/>
          <w:color w:val="auto"/>
          <w:kern w:val="0"/>
          <w:sz w:val="24"/>
          <w:szCs w:val="24"/>
          <w:highlight w:val="none"/>
        </w:rPr>
      </w:pPr>
      <w:r>
        <w:rPr>
          <w:rFonts w:ascii="Times New Roman" w:hAnsi="Times New Roman" w:eastAsia="黑体"/>
          <w:bCs/>
          <w:color w:val="auto"/>
          <w:kern w:val="0"/>
          <w:sz w:val="24"/>
          <w:szCs w:val="24"/>
          <w:highlight w:val="none"/>
        </w:rPr>
        <w:t>目  录</w:t>
      </w:r>
    </w:p>
    <w:p>
      <w:pPr>
        <w:autoSpaceDE w:val="0"/>
        <w:autoSpaceDN w:val="0"/>
        <w:adjustRightInd w:val="0"/>
        <w:snapToGrid w:val="0"/>
        <w:spacing w:line="360" w:lineRule="auto"/>
        <w:ind w:firstLine="388" w:firstLineChars="196"/>
        <w:rPr>
          <w:rFonts w:ascii="Times New Roman" w:hAnsi="Times New Roman"/>
          <w:color w:val="auto"/>
          <w:spacing w:val="-6"/>
          <w:szCs w:val="21"/>
          <w:highlight w:val="none"/>
        </w:rPr>
      </w:pPr>
    </w:p>
    <w:p>
      <w:pPr>
        <w:widowControl/>
        <w:jc w:val="left"/>
        <w:rPr>
          <w:rFonts w:ascii="Times New Roman" w:hAnsi="Times New Roman"/>
          <w:color w:val="auto"/>
          <w:spacing w:val="-6"/>
          <w:szCs w:val="21"/>
          <w:highlight w:val="none"/>
        </w:rPr>
      </w:pPr>
    </w:p>
    <w:p>
      <w:pPr>
        <w:autoSpaceDE w:val="0"/>
        <w:autoSpaceDN w:val="0"/>
        <w:adjustRightInd w:val="0"/>
        <w:snapToGrid w:val="0"/>
        <w:spacing w:line="360" w:lineRule="auto"/>
        <w:ind w:firstLine="388" w:firstLineChars="196"/>
        <w:rPr>
          <w:rFonts w:ascii="Times New Roman" w:hAnsi="Times New Roman"/>
          <w:color w:val="auto"/>
          <w:spacing w:val="-6"/>
          <w:szCs w:val="21"/>
          <w:highlight w:val="none"/>
        </w:rPr>
      </w:pPr>
      <w:r>
        <w:rPr>
          <w:rFonts w:ascii="Times New Roman" w:hAnsi="Times New Roman"/>
          <w:color w:val="auto"/>
          <w:spacing w:val="-6"/>
          <w:szCs w:val="21"/>
          <w:highlight w:val="none"/>
        </w:rPr>
        <w:t>一、投标函</w:t>
      </w:r>
    </w:p>
    <w:p>
      <w:pPr>
        <w:autoSpaceDE w:val="0"/>
        <w:autoSpaceDN w:val="0"/>
        <w:adjustRightInd w:val="0"/>
        <w:snapToGrid w:val="0"/>
        <w:spacing w:line="360" w:lineRule="auto"/>
        <w:ind w:firstLine="388" w:firstLineChars="196"/>
        <w:rPr>
          <w:rFonts w:ascii="Times New Roman" w:hAnsi="Times New Roman"/>
          <w:color w:val="auto"/>
          <w:spacing w:val="-6"/>
          <w:szCs w:val="21"/>
          <w:highlight w:val="none"/>
        </w:rPr>
      </w:pPr>
      <w:r>
        <w:rPr>
          <w:rFonts w:ascii="Times New Roman" w:hAnsi="Times New Roman"/>
          <w:color w:val="auto"/>
          <w:spacing w:val="-6"/>
          <w:szCs w:val="21"/>
          <w:highlight w:val="none"/>
        </w:rPr>
        <w:t>二、分项报价表</w:t>
      </w:r>
    </w:p>
    <w:p>
      <w:pPr>
        <w:autoSpaceDE w:val="0"/>
        <w:autoSpaceDN w:val="0"/>
        <w:adjustRightInd w:val="0"/>
        <w:snapToGrid w:val="0"/>
        <w:spacing w:line="360" w:lineRule="auto"/>
        <w:ind w:firstLine="411" w:firstLineChars="196"/>
        <w:rPr>
          <w:rFonts w:ascii="Times New Roman" w:hAnsi="Times New Roman"/>
          <w:color w:val="auto"/>
          <w:szCs w:val="21"/>
          <w:highlight w:val="none"/>
        </w:rPr>
      </w:pPr>
      <w:r>
        <w:rPr>
          <w:rFonts w:ascii="Times New Roman" w:hAnsi="Times New Roman"/>
          <w:color w:val="auto"/>
          <w:szCs w:val="21"/>
          <w:highlight w:val="none"/>
        </w:rPr>
        <w:t>三、其他资料</w:t>
      </w:r>
    </w:p>
    <w:p>
      <w:pPr>
        <w:widowControl/>
        <w:jc w:val="left"/>
        <w:rPr>
          <w:rFonts w:ascii="Times New Roman" w:hAnsi="Times New Roman" w:eastAsia="黑体"/>
          <w:b/>
          <w:color w:val="auto"/>
          <w:sz w:val="32"/>
          <w:szCs w:val="20"/>
          <w:highlight w:val="none"/>
        </w:rPr>
      </w:pPr>
    </w:p>
    <w:p>
      <w:pPr>
        <w:pStyle w:val="4"/>
        <w:spacing w:before="0" w:after="0" w:line="360" w:lineRule="auto"/>
        <w:ind w:firstLine="137"/>
        <w:jc w:val="center"/>
        <w:rPr>
          <w:rFonts w:ascii="Times New Roman" w:hAnsi="Times New Roman"/>
          <w:color w:val="auto"/>
          <w:highlight w:val="none"/>
        </w:rPr>
      </w:pPr>
      <w:r>
        <w:rPr>
          <w:rFonts w:ascii="Times New Roman" w:hAnsi="Times New Roman"/>
          <w:color w:val="auto"/>
          <w:highlight w:val="none"/>
        </w:rPr>
        <w:br w:type="page"/>
      </w:r>
      <w:bookmarkStart w:id="484" w:name="_Toc421917012"/>
      <w:bookmarkStart w:id="485" w:name="_Toc390411631"/>
      <w:bookmarkStart w:id="486" w:name="_Toc460660235"/>
      <w:bookmarkStart w:id="487" w:name="_Toc460227120"/>
      <w:r>
        <w:rPr>
          <w:rFonts w:ascii="Times New Roman" w:hAnsi="Times New Roman"/>
          <w:color w:val="auto"/>
          <w:highlight w:val="none"/>
        </w:rPr>
        <w:t>一、投标函</w:t>
      </w:r>
      <w:bookmarkEnd w:id="484"/>
      <w:bookmarkEnd w:id="485"/>
      <w:bookmarkEnd w:id="486"/>
      <w:bookmarkEnd w:id="487"/>
    </w:p>
    <w:p>
      <w:pPr>
        <w:adjustRightInd w:val="0"/>
        <w:snapToGrid w:val="0"/>
        <w:spacing w:line="360" w:lineRule="auto"/>
        <w:rPr>
          <w:rFonts w:ascii="Times New Roman" w:hAnsi="Times New Roman"/>
          <w:color w:val="auto"/>
          <w:highlight w:val="none"/>
          <w:u w:val="single"/>
        </w:rPr>
      </w:pPr>
      <w:r>
        <w:rPr>
          <w:rFonts w:ascii="Times New Roman" w:hAnsi="Times New Roman"/>
          <w:color w:val="auto"/>
          <w:szCs w:val="21"/>
          <w:highlight w:val="none"/>
          <w:u w:val="single"/>
        </w:rPr>
        <w:t>某委托单位</w:t>
      </w:r>
      <w:r>
        <w:rPr>
          <w:rFonts w:ascii="Times New Roman" w:hAnsi="Times New Roman"/>
          <w:snapToGrid w:val="0"/>
          <w:color w:val="auto"/>
          <w:kern w:val="0"/>
          <w:szCs w:val="21"/>
          <w:highlight w:val="none"/>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color w:val="auto"/>
          <w:highlight w:val="none"/>
        </w:rPr>
      </w:pPr>
      <w:r>
        <w:rPr>
          <w:rFonts w:ascii="Times New Roman" w:hAnsi="Times New Roman"/>
          <w:color w:val="auto"/>
          <w:szCs w:val="21"/>
          <w:highlight w:val="none"/>
        </w:rPr>
        <w:t>1．</w:t>
      </w:r>
      <w:r>
        <w:rPr>
          <w:rFonts w:ascii="Times New Roman" w:hAnsi="Times New Roman"/>
          <w:color w:val="auto"/>
          <w:highlight w:val="none"/>
        </w:rPr>
        <w:t>我方已仔细研究</w:t>
      </w:r>
      <w:r>
        <w:rPr>
          <w:rFonts w:ascii="Times New Roman" w:hAnsi="Times New Roman"/>
          <w:color w:val="auto"/>
          <w:szCs w:val="21"/>
          <w:highlight w:val="none"/>
          <w:u w:val="single"/>
        </w:rPr>
        <w:t>某招标项目标段名称</w:t>
      </w:r>
      <w:r>
        <w:rPr>
          <w:rFonts w:ascii="Times New Roman" w:hAnsi="Times New Roman"/>
          <w:color w:val="auto"/>
          <w:highlight w:val="none"/>
        </w:rPr>
        <w:t>招标文件，在考察项目现场后，</w:t>
      </w:r>
      <w:r>
        <w:rPr>
          <w:rFonts w:hint="eastAsia" w:ascii="Times New Roman" w:hAnsi="Times New Roman"/>
          <w:i/>
          <w:iCs/>
          <w:color w:val="auto"/>
          <w:highlight w:val="none"/>
        </w:rPr>
        <w:t>（请勾选）</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color w:val="auto"/>
          <w:szCs w:val="21"/>
          <w:highlight w:val="none"/>
        </w:rPr>
      </w:pPr>
      <w:r>
        <w:rPr>
          <w:rFonts w:ascii="Times New Roman" w:hAnsi="Times New Roman"/>
          <w:color w:val="auto"/>
          <w:szCs w:val="21"/>
          <w:highlight w:val="none"/>
        </w:rPr>
        <w:t>□愿意以人民币（大写）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rPr>
        <w:t>）的投标总报价（</w:t>
      </w:r>
      <w:r>
        <w:rPr>
          <w:rFonts w:ascii="Times New Roman" w:hAnsi="Times New Roman"/>
          <w:color w:val="auto"/>
          <w:highlight w:val="none"/>
        </w:rPr>
        <w:t>含税</w:t>
      </w:r>
      <w:r>
        <w:rPr>
          <w:rFonts w:ascii="Times New Roman" w:hAnsi="Times New Roman"/>
          <w:color w:val="auto"/>
          <w:szCs w:val="21"/>
          <w:highlight w:val="none"/>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color w:val="auto"/>
          <w:szCs w:val="21"/>
          <w:highlight w:val="none"/>
        </w:rPr>
      </w:pPr>
      <w:r>
        <w:rPr>
          <w:rFonts w:ascii="Times New Roman" w:hAnsi="Times New Roman"/>
          <w:color w:val="auto"/>
          <w:szCs w:val="21"/>
          <w:highlight w:val="none"/>
        </w:rPr>
        <w:t>□愿意以人民币（大写）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rPr>
        <w:t>）的投标单价（</w:t>
      </w:r>
      <w:r>
        <w:rPr>
          <w:rFonts w:ascii="Times New Roman" w:hAnsi="Times New Roman"/>
          <w:color w:val="auto"/>
          <w:highlight w:val="none"/>
        </w:rPr>
        <w:t>含税</w:t>
      </w:r>
      <w:r>
        <w:rPr>
          <w:rFonts w:ascii="Times New Roman" w:hAnsi="Times New Roman"/>
          <w:color w:val="auto"/>
          <w:szCs w:val="21"/>
          <w:highlight w:val="none"/>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color w:val="auto"/>
          <w:szCs w:val="21"/>
          <w:highlight w:val="none"/>
        </w:rPr>
      </w:pPr>
      <w:r>
        <w:rPr>
          <w:rFonts w:ascii="Times New Roman" w:hAnsi="Times New Roman"/>
          <w:color w:val="auto"/>
          <w:szCs w:val="21"/>
          <w:highlight w:val="none"/>
        </w:rPr>
        <w:t>□愿意以</w:t>
      </w:r>
      <w:r>
        <w:rPr>
          <w:rFonts w:ascii="Times New Roman" w:hAnsi="Times New Roman"/>
          <w:color w:val="auto"/>
          <w:szCs w:val="21"/>
          <w:highlight w:val="none"/>
          <w:u w:val="single"/>
        </w:rPr>
        <w:t xml:space="preserve">         </w:t>
      </w:r>
      <w:r>
        <w:rPr>
          <w:rFonts w:ascii="Times New Roman" w:hAnsi="Times New Roman"/>
          <w:color w:val="auto"/>
          <w:szCs w:val="21"/>
          <w:highlight w:val="none"/>
        </w:rPr>
        <w:t>%的投标费率（</w:t>
      </w:r>
      <w:r>
        <w:rPr>
          <w:rFonts w:ascii="Times New Roman" w:hAnsi="Times New Roman"/>
          <w:color w:val="auto"/>
          <w:highlight w:val="none"/>
        </w:rPr>
        <w:t>含税</w:t>
      </w:r>
      <w:r>
        <w:rPr>
          <w:rFonts w:ascii="Times New Roman" w:hAnsi="Times New Roman"/>
          <w:color w:val="auto"/>
          <w:szCs w:val="21"/>
          <w:highlight w:val="none"/>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color w:val="auto"/>
          <w:szCs w:val="21"/>
          <w:highlight w:val="none"/>
        </w:rPr>
      </w:pPr>
      <w:r>
        <w:rPr>
          <w:rFonts w:ascii="Times New Roman" w:hAnsi="Times New Roman"/>
          <w:color w:val="auto"/>
          <w:szCs w:val="21"/>
          <w:highlight w:val="none"/>
        </w:rPr>
        <w:t>□愿意以招标文件规定的投标总价（定价，含税），</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color w:val="auto"/>
          <w:szCs w:val="21"/>
          <w:highlight w:val="none"/>
        </w:rPr>
      </w:pPr>
      <w:r>
        <w:rPr>
          <w:rFonts w:ascii="Times New Roman" w:hAnsi="Times New Roman"/>
          <w:color w:val="auto"/>
          <w:szCs w:val="21"/>
          <w:highlight w:val="none"/>
        </w:rPr>
        <w:t>并承诺按本招标文件、合同条款的条件、承担上述项目的服务内容。</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48" w:beforeLines="20" w:after="48" w:afterLines="20" w:line="400" w:lineRule="exact"/>
        <w:ind w:firstLine="367" w:firstLineChars="175"/>
        <w:rPr>
          <w:rFonts w:ascii="Times New Roman" w:hAnsi="Times New Roman"/>
          <w:bCs/>
          <w:color w:val="auto"/>
          <w:szCs w:val="32"/>
          <w:highlight w:val="none"/>
        </w:rPr>
      </w:pPr>
      <w:r>
        <w:rPr>
          <w:rFonts w:ascii="Times New Roman" w:hAnsi="Times New Roman"/>
          <w:bCs/>
          <w:color w:val="auto"/>
          <w:szCs w:val="32"/>
          <w:highlight w:val="none"/>
        </w:rPr>
        <w:t xml:space="preserve">3. </w:t>
      </w:r>
      <w:r>
        <w:rPr>
          <w:rFonts w:ascii="Times New Roman" w:hAnsi="Times New Roman" w:eastAsia="黑体"/>
          <w:snapToGrid w:val="0"/>
          <w:color w:val="auto"/>
          <w:kern w:val="0"/>
          <w:szCs w:val="21"/>
          <w:highlight w:val="none"/>
          <w:u w:val="single"/>
        </w:rPr>
        <w:t xml:space="preserve">                          </w:t>
      </w:r>
      <w:r>
        <w:rPr>
          <w:rFonts w:ascii="Times New Roman" w:hAnsi="Times New Roman"/>
          <w:snapToGrid w:val="0"/>
          <w:color w:val="auto"/>
          <w:kern w:val="0"/>
          <w:szCs w:val="21"/>
          <w:highlight w:val="none"/>
        </w:rPr>
        <w:t>（其他补充说明）。</w:t>
      </w:r>
    </w:p>
    <w:p>
      <w:pPr>
        <w:adjustRightInd w:val="0"/>
        <w:snapToGrid w:val="0"/>
        <w:spacing w:before="48" w:beforeLines="20" w:after="48" w:afterLines="20" w:line="400" w:lineRule="exact"/>
        <w:ind w:firstLine="420" w:firstLineChars="200"/>
        <w:rPr>
          <w:rFonts w:ascii="Times New Roman" w:hAnsi="Times New Roman"/>
          <w:bCs/>
          <w:color w:val="auto"/>
          <w:szCs w:val="21"/>
          <w:highlight w:val="none"/>
        </w:rPr>
      </w:pPr>
    </w:p>
    <w:p>
      <w:pPr>
        <w:adjustRightInd w:val="0"/>
        <w:snapToGrid w:val="0"/>
        <w:spacing w:before="48" w:beforeLines="20" w:after="48" w:afterLines="20" w:line="400" w:lineRule="exact"/>
        <w:ind w:firstLine="420" w:firstLineChars="200"/>
        <w:rPr>
          <w:rFonts w:ascii="Times New Roman" w:hAnsi="Times New Roman"/>
          <w:bCs/>
          <w:color w:val="auto"/>
          <w:szCs w:val="21"/>
          <w:highlight w:val="none"/>
        </w:rPr>
      </w:pPr>
    </w:p>
    <w:p>
      <w:pPr>
        <w:adjustRightInd w:val="0"/>
        <w:snapToGrid w:val="0"/>
        <w:spacing w:before="48" w:beforeLines="20" w:after="48" w:afterLines="20" w:line="400" w:lineRule="exact"/>
        <w:ind w:firstLine="420" w:firstLineChars="200"/>
        <w:rPr>
          <w:rFonts w:ascii="Times New Roman" w:hAnsi="Times New Roman"/>
          <w:bCs/>
          <w:color w:val="auto"/>
          <w:szCs w:val="21"/>
          <w:highlight w:val="none"/>
        </w:rPr>
      </w:pPr>
    </w:p>
    <w:p>
      <w:pPr>
        <w:adjustRightInd w:val="0"/>
        <w:snapToGrid w:val="0"/>
        <w:spacing w:before="48" w:beforeLines="20" w:after="48" w:afterLines="20" w:line="400" w:lineRule="exact"/>
        <w:ind w:firstLine="420" w:firstLineChars="200"/>
        <w:rPr>
          <w:rFonts w:ascii="Times New Roman" w:hAnsi="Times New Roman"/>
          <w:bCs/>
          <w:color w:val="auto"/>
          <w:szCs w:val="21"/>
          <w:highlight w:val="none"/>
          <w:u w:val="single"/>
        </w:rPr>
      </w:pPr>
      <w:r>
        <w:rPr>
          <w:rFonts w:ascii="Times New Roman" w:hAnsi="Times New Roman"/>
          <w:bCs/>
          <w:color w:val="auto"/>
          <w:szCs w:val="21"/>
          <w:highlight w:val="none"/>
        </w:rPr>
        <w:t>投 标 人：</w:t>
      </w:r>
      <w:r>
        <w:rPr>
          <w:rFonts w:ascii="Times New Roman" w:hAnsi="Times New Roman"/>
          <w:bCs/>
          <w:color w:val="auto"/>
          <w:szCs w:val="21"/>
          <w:highlight w:val="none"/>
          <w:u w:val="single"/>
        </w:rPr>
        <w:t xml:space="preserve">                                             </w:t>
      </w:r>
      <w:r>
        <w:rPr>
          <w:rFonts w:ascii="Times New Roman" w:hAnsi="Times New Roman"/>
          <w:bCs/>
          <w:color w:val="auto"/>
          <w:szCs w:val="21"/>
          <w:highlight w:val="none"/>
        </w:rPr>
        <w:t>（盖单位章）</w:t>
      </w:r>
    </w:p>
    <w:p>
      <w:pPr>
        <w:adjustRightInd w:val="0"/>
        <w:snapToGrid w:val="0"/>
        <w:spacing w:before="48" w:beforeLines="20" w:after="48" w:afterLines="20"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rPr>
        <w:t>法定代表人或其委托代理人：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（签字或盖章）</w:t>
      </w:r>
    </w:p>
    <w:p>
      <w:pPr>
        <w:adjustRightInd w:val="0"/>
        <w:snapToGrid w:val="0"/>
        <w:spacing w:before="48" w:beforeLines="20" w:after="48" w:afterLines="20" w:line="400" w:lineRule="exact"/>
        <w:ind w:left="109" w:leftChars="52" w:firstLine="315" w:firstLineChars="150"/>
        <w:rPr>
          <w:rFonts w:ascii="Times New Roman" w:hAnsi="Times New Roman"/>
          <w:color w:val="auto"/>
          <w:szCs w:val="21"/>
          <w:highlight w:val="none"/>
          <w:u w:val="single"/>
        </w:rPr>
      </w:pPr>
      <w:r>
        <w:rPr>
          <w:rFonts w:ascii="Times New Roman" w:hAnsi="Times New Roman"/>
          <w:color w:val="auto"/>
          <w:szCs w:val="21"/>
          <w:highlight w:val="none"/>
        </w:rPr>
        <w:t>单位地址：</w:t>
      </w:r>
      <w:r>
        <w:rPr>
          <w:rFonts w:ascii="Times New Roman" w:hAnsi="Times New Roman"/>
          <w:color w:val="auto"/>
          <w:szCs w:val="21"/>
          <w:highlight w:val="none"/>
          <w:u w:val="single"/>
        </w:rPr>
        <w:t xml:space="preserve">                                                       </w:t>
      </w:r>
    </w:p>
    <w:p>
      <w:pPr>
        <w:adjustRightInd w:val="0"/>
        <w:snapToGrid w:val="0"/>
        <w:spacing w:before="48" w:beforeLines="20" w:after="48" w:afterLines="20"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bCs/>
          <w:color w:val="auto"/>
          <w:szCs w:val="32"/>
          <w:highlight w:val="none"/>
          <w:u w:val="single"/>
        </w:rPr>
        <w:t xml:space="preserve">           </w:t>
      </w:r>
      <w:r>
        <w:rPr>
          <w:rFonts w:ascii="Times New Roman" w:hAnsi="Times New Roman"/>
          <w:color w:val="auto"/>
          <w:szCs w:val="21"/>
          <w:highlight w:val="none"/>
        </w:rPr>
        <w:t>电话：</w:t>
      </w:r>
      <w:r>
        <w:rPr>
          <w:rFonts w:ascii="Times New Roman" w:hAnsi="Times New Roman"/>
          <w:bCs/>
          <w:color w:val="auto"/>
          <w:szCs w:val="32"/>
          <w:highlight w:val="none"/>
          <w:u w:val="single"/>
        </w:rPr>
        <w:t xml:space="preserve">           </w:t>
      </w:r>
      <w:r>
        <w:rPr>
          <w:rFonts w:ascii="Times New Roman" w:hAnsi="Times New Roman"/>
          <w:color w:val="auto"/>
          <w:szCs w:val="21"/>
          <w:highlight w:val="none"/>
        </w:rPr>
        <w:t xml:space="preserve"> 传真：</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p>
    <w:p>
      <w:pPr>
        <w:adjustRightInd w:val="0"/>
        <w:snapToGrid w:val="0"/>
        <w:spacing w:before="48" w:beforeLines="20" w:after="48" w:afterLines="20" w:line="400" w:lineRule="exact"/>
        <w:ind w:firstLine="420" w:firstLineChars="200"/>
        <w:rPr>
          <w:rFonts w:ascii="Times New Roman" w:hAnsi="Times New Roman" w:eastAsia="黑体"/>
          <w:b/>
          <w:color w:val="auto"/>
          <w:sz w:val="32"/>
          <w:szCs w:val="20"/>
          <w:highlight w:val="none"/>
        </w:rPr>
      </w:pPr>
      <w:r>
        <w:rPr>
          <w:rFonts w:ascii="Times New Roman" w:hAnsi="Times New Roman"/>
          <w:color w:val="auto"/>
          <w:szCs w:val="21"/>
          <w:highlight w:val="none"/>
        </w:rPr>
        <w:t>日期：</w:t>
      </w:r>
      <w:r>
        <w:rPr>
          <w:rFonts w:ascii="Times New Roman" w:hAnsi="Times New Roman"/>
          <w:bCs/>
          <w:color w:val="auto"/>
          <w:szCs w:val="32"/>
          <w:highlight w:val="none"/>
          <w:u w:val="single"/>
        </w:rPr>
        <w:t xml:space="preserve">           </w:t>
      </w:r>
      <w:r>
        <w:rPr>
          <w:rFonts w:ascii="Times New Roman" w:hAnsi="Times New Roman"/>
          <w:color w:val="auto"/>
          <w:szCs w:val="21"/>
          <w:highlight w:val="none"/>
        </w:rPr>
        <w:t>年</w:t>
      </w:r>
      <w:r>
        <w:rPr>
          <w:rFonts w:ascii="Times New Roman" w:hAnsi="Times New Roman"/>
          <w:bCs/>
          <w:color w:val="auto"/>
          <w:szCs w:val="32"/>
          <w:highlight w:val="none"/>
          <w:u w:val="single"/>
        </w:rPr>
        <w:t xml:space="preserve">           </w:t>
      </w:r>
      <w:r>
        <w:rPr>
          <w:rFonts w:ascii="Times New Roman" w:hAnsi="Times New Roman"/>
          <w:color w:val="auto"/>
          <w:szCs w:val="21"/>
          <w:highlight w:val="none"/>
        </w:rPr>
        <w:t>月</w:t>
      </w:r>
      <w:r>
        <w:rPr>
          <w:rFonts w:ascii="Times New Roman" w:hAnsi="Times New Roman"/>
          <w:bCs/>
          <w:color w:val="auto"/>
          <w:szCs w:val="32"/>
          <w:highlight w:val="none"/>
          <w:u w:val="single"/>
        </w:rPr>
        <w:t xml:space="preserve">           </w:t>
      </w:r>
      <w:r>
        <w:rPr>
          <w:rFonts w:hint="eastAsia" w:ascii="Times New Roman" w:hAnsi="Times New Roman"/>
          <w:bCs/>
          <w:color w:val="auto"/>
          <w:szCs w:val="32"/>
          <w:highlight w:val="none"/>
          <w:u w:val="single"/>
        </w:rPr>
        <w:t xml:space="preserve">  </w:t>
      </w:r>
      <w:r>
        <w:rPr>
          <w:rFonts w:ascii="Times New Roman" w:hAnsi="Times New Roman"/>
          <w:color w:val="auto"/>
          <w:szCs w:val="21"/>
          <w:highlight w:val="none"/>
        </w:rPr>
        <w:t>日</w:t>
      </w:r>
    </w:p>
    <w:p>
      <w:pPr>
        <w:widowControl/>
        <w:jc w:val="left"/>
        <w:rPr>
          <w:rFonts w:ascii="Times New Roman" w:hAnsi="Times New Roman" w:eastAsia="黑体"/>
          <w:color w:val="auto"/>
          <w:sz w:val="24"/>
          <w:szCs w:val="24"/>
          <w:highlight w:val="none"/>
        </w:rPr>
      </w:pPr>
      <w:r>
        <w:rPr>
          <w:rFonts w:ascii="Times New Roman" w:hAnsi="Times New Roman"/>
          <w:b/>
          <w:color w:val="auto"/>
          <w:sz w:val="24"/>
          <w:szCs w:val="24"/>
          <w:highlight w:val="none"/>
        </w:rPr>
        <w:br w:type="page"/>
      </w:r>
    </w:p>
    <w:p>
      <w:pPr>
        <w:pStyle w:val="4"/>
        <w:spacing w:before="0" w:after="0" w:line="360" w:lineRule="auto"/>
        <w:ind w:firstLine="137"/>
        <w:jc w:val="center"/>
        <w:rPr>
          <w:rFonts w:ascii="Times New Roman" w:hAnsi="Times New Roman"/>
          <w:color w:val="auto"/>
          <w:highlight w:val="none"/>
        </w:rPr>
      </w:pPr>
      <w:r>
        <w:rPr>
          <w:rFonts w:ascii="Times New Roman" w:hAnsi="Times New Roman"/>
          <w:color w:val="auto"/>
          <w:highlight w:val="none"/>
        </w:rPr>
        <w:t>二、分项报价表</w:t>
      </w:r>
    </w:p>
    <w:p>
      <w:pPr>
        <w:widowControl/>
        <w:jc w:val="left"/>
        <w:rPr>
          <w:rFonts w:ascii="Times New Roman" w:hAnsi="Times New Roman"/>
          <w:color w:val="auto"/>
          <w:kern w:val="0"/>
          <w:highlight w:val="none"/>
        </w:rPr>
      </w:pPr>
      <w:bookmarkStart w:id="488" w:name="_Toc361508760"/>
      <w:r>
        <w:rPr>
          <w:rFonts w:hint="eastAsia" w:ascii="Times New Roman" w:hAnsi="Times New Roman"/>
          <w:color w:val="auto"/>
          <w:kern w:val="0"/>
          <w:highlight w:val="none"/>
        </w:rPr>
        <w:t>（如有）</w:t>
      </w:r>
      <w:r>
        <w:rPr>
          <w:rFonts w:ascii="Times New Roman" w:hAnsi="Times New Roman"/>
          <w:color w:val="auto"/>
          <w:kern w:val="0"/>
          <w:highlight w:val="none"/>
        </w:rPr>
        <w:br w:type="page"/>
      </w:r>
    </w:p>
    <w:p>
      <w:pPr>
        <w:pStyle w:val="4"/>
        <w:spacing w:before="0" w:after="0" w:line="360" w:lineRule="auto"/>
        <w:ind w:firstLine="137"/>
        <w:jc w:val="center"/>
        <w:rPr>
          <w:rFonts w:ascii="Times New Roman" w:hAnsi="Times New Roman"/>
          <w:color w:val="auto"/>
          <w:highlight w:val="none"/>
        </w:rPr>
      </w:pPr>
      <w:r>
        <w:rPr>
          <w:rFonts w:ascii="Times New Roman" w:hAnsi="Times New Roman"/>
          <w:color w:val="auto"/>
          <w:highlight w:val="none"/>
        </w:rPr>
        <w:t>三、其他资料</w:t>
      </w:r>
    </w:p>
    <w:p>
      <w:pPr>
        <w:tabs>
          <w:tab w:val="left" w:pos="5760"/>
        </w:tabs>
        <w:autoSpaceDE w:val="0"/>
        <w:autoSpaceDN w:val="0"/>
        <w:adjustRightInd w:val="0"/>
        <w:spacing w:line="300" w:lineRule="exact"/>
        <w:ind w:right="11" w:firstLine="420" w:firstLineChars="200"/>
        <w:rPr>
          <w:rFonts w:ascii="Times New Roman" w:hAnsi="Times New Roman" w:eastAsia="楷体"/>
          <w:color w:val="auto"/>
          <w:highlight w:val="none"/>
        </w:rPr>
      </w:pPr>
      <w:r>
        <w:rPr>
          <w:rFonts w:ascii="Times New Roman" w:hAnsi="Times New Roman"/>
          <w:color w:val="auto"/>
          <w:highlight w:val="none"/>
        </w:rPr>
        <w:t>投标人对照报价文件初步评审及详细评审条件，自行提供其他相关资料（如有）</w:t>
      </w: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ind w:firstLine="2158" w:firstLineChars="1028"/>
        <w:rPr>
          <w:rFonts w:ascii="Times New Roman" w:hAnsi="Times New Roman"/>
          <w:color w:val="auto"/>
          <w:highlight w:val="none"/>
        </w:rPr>
      </w:pP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widowControl/>
        <w:spacing w:line="360" w:lineRule="auto"/>
        <w:jc w:val="left"/>
        <w:rPr>
          <w:rFonts w:ascii="Times New Roman" w:hAnsi="Times New Roman" w:eastAsia="黑体"/>
          <w:color w:val="auto"/>
          <w:sz w:val="32"/>
          <w:szCs w:val="32"/>
          <w:highlight w:val="none"/>
        </w:rPr>
      </w:pPr>
      <w:r>
        <w:rPr>
          <w:rFonts w:ascii="Times New Roman" w:hAnsi="Times New Roman"/>
          <w:color w:val="auto"/>
          <w:highlight w:val="none"/>
        </w:rPr>
        <w:t>注：对照报价文件初步评审及详细评审条件，由投标人自行提供相关证明。如证明或声明与实际不符，将被取消投标或中标资格，其投标保证金按规定予以处理。</w:t>
      </w:r>
      <w:bookmarkEnd w:id="488"/>
    </w:p>
    <w:sectPr>
      <w:footerReference r:id="rId6" w:type="default"/>
      <w:footnotePr>
        <w:numFmt w:val="decimalEnclosedCircleChinese"/>
        <w:numRestart w:val="eachPage"/>
      </w:footnotePr>
      <w:pgSz w:w="12240" w:h="15840"/>
      <w:pgMar w:top="1440" w:right="1800" w:bottom="1440" w:left="1800" w:header="85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D949B6-00DD-43D2-B922-FF45646496A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CB720E4-1CBD-4DB7-96AB-039E286960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0C635E1-4D66-42E1-B28B-A6244E65B375}"/>
  </w:font>
  <w:font w:name="仿宋_GB2312">
    <w:panose1 w:val="02010609030101010101"/>
    <w:charset w:val="86"/>
    <w:family w:val="modern"/>
    <w:pitch w:val="default"/>
    <w:sig w:usb0="00000001" w:usb1="080E0000" w:usb2="00000000" w:usb3="00000000" w:csb0="00040000" w:csb1="00000000"/>
    <w:embedRegular r:id="rId4" w:fontKey="{CBA9A778-2E4E-4856-AC06-E4D92F3AC774}"/>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roman"/>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5" w:fontKey="{A70030DD-6B7A-49A8-96BC-A13A8E99E3C2}"/>
  </w:font>
  <w:font w:name="MS Mincho">
    <w:panose1 w:val="02020609040205080304"/>
    <w:charset w:val="80"/>
    <w:family w:val="roman"/>
    <w:pitch w:val="default"/>
    <w:sig w:usb0="E00002FF" w:usb1="6AC7FDFB" w:usb2="00000012" w:usb3="00000000" w:csb0="4002009F" w:csb1="DFD70000"/>
    <w:embedRegular r:id="rId6" w:fontKey="{17D22CBA-2B06-49F2-9000-EBD0B91C17C6}"/>
  </w:font>
  <w:font w:name="等线">
    <w:panose1 w:val="02010600030101010101"/>
    <w:charset w:val="86"/>
    <w:family w:val="auto"/>
    <w:pitch w:val="default"/>
    <w:sig w:usb0="A00002BF" w:usb1="38CF7CFA" w:usb2="00000016" w:usb3="00000000" w:csb0="0004000F" w:csb1="00000000"/>
    <w:embedRegular r:id="rId7" w:fontKey="{C9DC4E05-2EF1-4C43-8990-CF2142B641C3}"/>
  </w:font>
  <w:font w:name="微软雅黑">
    <w:panose1 w:val="020B0503020204020204"/>
    <w:charset w:val="86"/>
    <w:family w:val="swiss"/>
    <w:pitch w:val="default"/>
    <w:sig w:usb0="80000287" w:usb1="2ACF3C50" w:usb2="00000016" w:usb3="00000000" w:csb0="0004001F" w:csb1="00000000"/>
    <w:embedRegular r:id="rId8" w:fontKey="{AAF9A8EB-CB09-4F42-8BFD-C845533EE45D}"/>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70</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rPr>
                              <w:lang w:val="zh-CN"/>
                            </w:rPr>
                            <w:t>36</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p5bsg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uUxHGLE798/3b58evy8ytZ&#10;Zn36ADWmPQRMTMOdH3BrZj+gM9MeVLT5i4QIxhHqfFVXDomI/Gi9Wq8rDAmMzRfEZ4/PQ4T0VnpL&#10;stHQiOMrqvLTe0hj6pySqzl/r40pIzTuLwdiZg/LvY89ZisN+2EitPftGfn0OPmGOlx0Ssw7h8Ji&#10;f2k24mzsZ+MYoj50ZYtyPQi3x4RNlN5yhRF2KowjK+y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YKeW7IAQAAmgMAAA4AAAAAAAAAAQAgAAAAHgEAAGRycy9lMm9Eb2Mu&#10;eG1sUEsFBgAAAAAGAAYAWQEAAFgFA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rPr>
                        <w:lang w:val="zh-CN"/>
                      </w:rPr>
                      <w:t>36</w:t>
                    </w:r>
                    <w:r>
                      <w:rPr>
                        <w:lang w:val="zh-CN"/>
                      </w:rPr>
                      <w:fldChar w:fldCharType="end"/>
                    </w:r>
                  </w:p>
                </w:txbxContent>
              </v:textbox>
            </v:shape>
          </w:pict>
        </mc:Fallback>
      </mc:AlternateContent>
    </w:r>
  </w:p>
  <w:p>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32"/>
        <w:rPr>
          <w:rFonts w:hint="eastAsia"/>
          <w:color w:val="000000"/>
        </w:rPr>
      </w:pPr>
      <w:r>
        <w:rPr>
          <w:rStyle w:val="52"/>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》（七部委令第27号）的项目、成套类设备采购项目及系统集成类货物采购项目，本条不适用。</w:t>
      </w:r>
    </w:p>
  </w:footnote>
  <w:footnote w:id="1">
    <w:p>
      <w:pPr>
        <w:pStyle w:val="32"/>
        <w:rPr>
          <w:rFonts w:ascii="宋体" w:hAnsi="宋体"/>
        </w:rPr>
      </w:pPr>
      <w:r>
        <w:rPr>
          <w:rFonts w:ascii="宋体" w:hAnsi="宋体" w:cs="楷体"/>
          <w:bCs/>
          <w:snapToGrid w:val="0"/>
          <w:kern w:val="0"/>
          <w:vertAlign w:val="superscript"/>
        </w:rPr>
        <w:footnoteRef/>
      </w:r>
      <w:r>
        <w:rPr>
          <w:rFonts w:hint="eastAsia" w:ascii="宋体" w:hAnsi="宋体" w:cs="楷体"/>
          <w:bCs/>
          <w:snapToGrid w:val="0"/>
          <w:kern w:val="0"/>
          <w:vertAlign w:val="superscript"/>
        </w:rPr>
        <w:t xml:space="preserve"> </w:t>
      </w:r>
      <w:r>
        <w:rPr>
          <w:rFonts w:hint="eastAsia" w:ascii="宋体" w:hAnsi="宋体" w:cs="楷体"/>
          <w:bCs/>
          <w:snapToGrid w:val="0"/>
          <w:kern w:val="0"/>
        </w:rPr>
        <w:t>仅适用于多标段项目。</w:t>
      </w:r>
    </w:p>
  </w:footnote>
  <w:footnote w:id="2">
    <w:p>
      <w:pPr>
        <w:pStyle w:val="32"/>
        <w:rPr>
          <w:color w:val="0070C0"/>
        </w:rPr>
      </w:pPr>
      <w:r>
        <w:rPr>
          <w:rFonts w:eastAsia="楷体" w:cs="楷体"/>
          <w:bCs/>
          <w:snapToGrid w:val="0"/>
          <w:color w:val="0070C0"/>
          <w:kern w:val="0"/>
          <w:vertAlign w:val="superscript"/>
        </w:rPr>
        <w:footnoteRef/>
      </w:r>
      <w:r>
        <w:rPr>
          <w:rFonts w:hint="eastAsia" w:eastAsia="楷体" w:cs="楷体"/>
          <w:bCs/>
          <w:snapToGrid w:val="0"/>
          <w:color w:val="0070C0"/>
          <w:kern w:val="0"/>
          <w:vertAlign w:val="superscript"/>
        </w:rPr>
        <w:t xml:space="preserve"> </w:t>
      </w:r>
      <w:r>
        <w:rPr>
          <w:rFonts w:hint="eastAsia" w:eastAsia="楷体" w:cs="楷体"/>
          <w:bCs/>
          <w:snapToGrid w:val="0"/>
          <w:color w:val="0070C0"/>
          <w:kern w:val="0"/>
        </w:rPr>
        <w:t>仅适用于多标段项目。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hint="eastAsia"/>
        <w:sz w:val="16"/>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E5FC7"/>
    <w:multiLevelType w:val="singleLevel"/>
    <w:tmpl w:val="956E5FC7"/>
    <w:lvl w:ilvl="0" w:tentative="0">
      <w:start w:val="1"/>
      <w:numFmt w:val="ideographTraditional"/>
      <w:suff w:val="nothing"/>
      <w:lvlText w:val="%1、"/>
      <w:lvlJc w:val="left"/>
      <w:rPr>
        <w:rFonts w:hint="eastAsia"/>
      </w:rPr>
    </w:lvl>
  </w:abstractNum>
  <w:abstractNum w:abstractNumId="1">
    <w:nsid w:val="A3A9FB80"/>
    <w:multiLevelType w:val="singleLevel"/>
    <w:tmpl w:val="A3A9FB80"/>
    <w:lvl w:ilvl="0" w:tentative="0">
      <w:start w:val="1"/>
      <w:numFmt w:val="chineseCounting"/>
      <w:suff w:val="nothing"/>
      <w:lvlText w:val="%1、"/>
      <w:lvlJc w:val="left"/>
      <w:rPr>
        <w:rFonts w:hint="eastAsia"/>
      </w:rPr>
    </w:lvl>
  </w:abstractNum>
  <w:abstractNum w:abstractNumId="2">
    <w:nsid w:val="D495152E"/>
    <w:multiLevelType w:val="singleLevel"/>
    <w:tmpl w:val="D495152E"/>
    <w:lvl w:ilvl="0" w:tentative="0">
      <w:start w:val="2"/>
      <w:numFmt w:val="decimal"/>
      <w:suff w:val="nothing"/>
      <w:lvlText w:val="（%1）"/>
      <w:lvlJc w:val="left"/>
    </w:lvl>
  </w:abstractNum>
  <w:abstractNum w:abstractNumId="3">
    <w:nsid w:val="2BCDBAE6"/>
    <w:multiLevelType w:val="singleLevel"/>
    <w:tmpl w:val="2BCDBAE6"/>
    <w:lvl w:ilvl="0" w:tentative="0">
      <w:start w:val="2"/>
      <w:numFmt w:val="chineseCounting"/>
      <w:suff w:val="nothing"/>
      <w:lvlText w:val="%1、"/>
      <w:lvlJc w:val="left"/>
      <w:rPr>
        <w:rFonts w:hint="eastAsia"/>
      </w:rPr>
    </w:lvl>
  </w:abstractNum>
  <w:abstractNum w:abstractNumId="4">
    <w:nsid w:val="32CCA1B9"/>
    <w:multiLevelType w:val="singleLevel"/>
    <w:tmpl w:val="32CCA1B9"/>
    <w:lvl w:ilvl="0" w:tentative="0">
      <w:start w:val="7"/>
      <w:numFmt w:val="decimal"/>
      <w:suff w:val="space"/>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66B2"/>
    <w:rsid w:val="00076AE9"/>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1AE8"/>
    <w:rsid w:val="000D204D"/>
    <w:rsid w:val="000D3177"/>
    <w:rsid w:val="000D4336"/>
    <w:rsid w:val="000D49B4"/>
    <w:rsid w:val="000D5BEB"/>
    <w:rsid w:val="000D6CF4"/>
    <w:rsid w:val="000E08CB"/>
    <w:rsid w:val="000E2B1C"/>
    <w:rsid w:val="000E2EFB"/>
    <w:rsid w:val="000E37FB"/>
    <w:rsid w:val="000E4284"/>
    <w:rsid w:val="000E5673"/>
    <w:rsid w:val="000E6654"/>
    <w:rsid w:val="000E7256"/>
    <w:rsid w:val="000E7A15"/>
    <w:rsid w:val="000F2186"/>
    <w:rsid w:val="000F2747"/>
    <w:rsid w:val="000F2A12"/>
    <w:rsid w:val="000F2ECC"/>
    <w:rsid w:val="000F44D2"/>
    <w:rsid w:val="000F59FD"/>
    <w:rsid w:val="000F726F"/>
    <w:rsid w:val="001011FC"/>
    <w:rsid w:val="00102618"/>
    <w:rsid w:val="00102F0B"/>
    <w:rsid w:val="00105423"/>
    <w:rsid w:val="001079C5"/>
    <w:rsid w:val="001119B6"/>
    <w:rsid w:val="00111EB5"/>
    <w:rsid w:val="0011230B"/>
    <w:rsid w:val="0011365C"/>
    <w:rsid w:val="00113D0A"/>
    <w:rsid w:val="00115124"/>
    <w:rsid w:val="00116708"/>
    <w:rsid w:val="00116B1A"/>
    <w:rsid w:val="00117241"/>
    <w:rsid w:val="00117F0F"/>
    <w:rsid w:val="00123706"/>
    <w:rsid w:val="0012660F"/>
    <w:rsid w:val="001270CD"/>
    <w:rsid w:val="00131FEB"/>
    <w:rsid w:val="00134758"/>
    <w:rsid w:val="0014098E"/>
    <w:rsid w:val="001409BC"/>
    <w:rsid w:val="00141A8F"/>
    <w:rsid w:val="00145049"/>
    <w:rsid w:val="001504E1"/>
    <w:rsid w:val="00151F09"/>
    <w:rsid w:val="0015225D"/>
    <w:rsid w:val="001530C6"/>
    <w:rsid w:val="00153229"/>
    <w:rsid w:val="00153415"/>
    <w:rsid w:val="001578E5"/>
    <w:rsid w:val="00157CF2"/>
    <w:rsid w:val="0016012D"/>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691A"/>
    <w:rsid w:val="001D0371"/>
    <w:rsid w:val="001D1336"/>
    <w:rsid w:val="001D1E43"/>
    <w:rsid w:val="001D1F07"/>
    <w:rsid w:val="001D414D"/>
    <w:rsid w:val="001D52B0"/>
    <w:rsid w:val="001D7619"/>
    <w:rsid w:val="001E093F"/>
    <w:rsid w:val="001E1433"/>
    <w:rsid w:val="001E6E01"/>
    <w:rsid w:val="001E72A6"/>
    <w:rsid w:val="001E7957"/>
    <w:rsid w:val="001F2208"/>
    <w:rsid w:val="001F2734"/>
    <w:rsid w:val="001F285E"/>
    <w:rsid w:val="001F2D37"/>
    <w:rsid w:val="001F4134"/>
    <w:rsid w:val="001F41DB"/>
    <w:rsid w:val="001F45EE"/>
    <w:rsid w:val="001F4850"/>
    <w:rsid w:val="001F619D"/>
    <w:rsid w:val="001F7EBC"/>
    <w:rsid w:val="00200D20"/>
    <w:rsid w:val="0020300D"/>
    <w:rsid w:val="0020311E"/>
    <w:rsid w:val="00204A5C"/>
    <w:rsid w:val="00204F97"/>
    <w:rsid w:val="00205B7A"/>
    <w:rsid w:val="00207A0B"/>
    <w:rsid w:val="0021226E"/>
    <w:rsid w:val="00212A53"/>
    <w:rsid w:val="0021322F"/>
    <w:rsid w:val="00213B90"/>
    <w:rsid w:val="00215AF0"/>
    <w:rsid w:val="00215B68"/>
    <w:rsid w:val="002216E4"/>
    <w:rsid w:val="00221FAC"/>
    <w:rsid w:val="002229E2"/>
    <w:rsid w:val="0022434B"/>
    <w:rsid w:val="0023039F"/>
    <w:rsid w:val="00230836"/>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316D"/>
    <w:rsid w:val="002537FE"/>
    <w:rsid w:val="0025460A"/>
    <w:rsid w:val="002558D7"/>
    <w:rsid w:val="00255D0D"/>
    <w:rsid w:val="002606C8"/>
    <w:rsid w:val="00260C77"/>
    <w:rsid w:val="00261352"/>
    <w:rsid w:val="00263B60"/>
    <w:rsid w:val="00263F0B"/>
    <w:rsid w:val="00264EB1"/>
    <w:rsid w:val="00264EE9"/>
    <w:rsid w:val="002658FD"/>
    <w:rsid w:val="00267F60"/>
    <w:rsid w:val="0027188D"/>
    <w:rsid w:val="00271923"/>
    <w:rsid w:val="0027292C"/>
    <w:rsid w:val="00272A39"/>
    <w:rsid w:val="00274DC4"/>
    <w:rsid w:val="00276C71"/>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822"/>
    <w:rsid w:val="002B4728"/>
    <w:rsid w:val="002B76D2"/>
    <w:rsid w:val="002C08CD"/>
    <w:rsid w:val="002C0C29"/>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30D54"/>
    <w:rsid w:val="00332962"/>
    <w:rsid w:val="00334029"/>
    <w:rsid w:val="003362AD"/>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7B"/>
    <w:rsid w:val="00363966"/>
    <w:rsid w:val="00367DB3"/>
    <w:rsid w:val="00371A35"/>
    <w:rsid w:val="0037208D"/>
    <w:rsid w:val="003741B0"/>
    <w:rsid w:val="00375481"/>
    <w:rsid w:val="003772AE"/>
    <w:rsid w:val="003777DD"/>
    <w:rsid w:val="0038240C"/>
    <w:rsid w:val="0038359A"/>
    <w:rsid w:val="003865F8"/>
    <w:rsid w:val="00386AA0"/>
    <w:rsid w:val="00387996"/>
    <w:rsid w:val="00387ED5"/>
    <w:rsid w:val="00391F03"/>
    <w:rsid w:val="003937D8"/>
    <w:rsid w:val="00393D89"/>
    <w:rsid w:val="0039407B"/>
    <w:rsid w:val="00395E10"/>
    <w:rsid w:val="00397531"/>
    <w:rsid w:val="003A184D"/>
    <w:rsid w:val="003A1ED8"/>
    <w:rsid w:val="003A2368"/>
    <w:rsid w:val="003A3386"/>
    <w:rsid w:val="003A593E"/>
    <w:rsid w:val="003A6715"/>
    <w:rsid w:val="003A6775"/>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6EE"/>
    <w:rsid w:val="003D4394"/>
    <w:rsid w:val="003D68E6"/>
    <w:rsid w:val="003D6E0A"/>
    <w:rsid w:val="003D7020"/>
    <w:rsid w:val="003E32F6"/>
    <w:rsid w:val="003F1396"/>
    <w:rsid w:val="003F3518"/>
    <w:rsid w:val="003F504F"/>
    <w:rsid w:val="003F5B69"/>
    <w:rsid w:val="003F5BFB"/>
    <w:rsid w:val="00400DA7"/>
    <w:rsid w:val="00400F0A"/>
    <w:rsid w:val="00404741"/>
    <w:rsid w:val="00407637"/>
    <w:rsid w:val="004105EF"/>
    <w:rsid w:val="00412E6B"/>
    <w:rsid w:val="00413087"/>
    <w:rsid w:val="00415A1A"/>
    <w:rsid w:val="00422762"/>
    <w:rsid w:val="0042326A"/>
    <w:rsid w:val="00423F96"/>
    <w:rsid w:val="004249F9"/>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60EF3"/>
    <w:rsid w:val="00461F10"/>
    <w:rsid w:val="00465E37"/>
    <w:rsid w:val="00466339"/>
    <w:rsid w:val="0046780A"/>
    <w:rsid w:val="004706A7"/>
    <w:rsid w:val="004709E4"/>
    <w:rsid w:val="004733D3"/>
    <w:rsid w:val="0047369B"/>
    <w:rsid w:val="0047429E"/>
    <w:rsid w:val="00475492"/>
    <w:rsid w:val="00476927"/>
    <w:rsid w:val="004809EB"/>
    <w:rsid w:val="00480D1B"/>
    <w:rsid w:val="00481C83"/>
    <w:rsid w:val="0048344D"/>
    <w:rsid w:val="004848A0"/>
    <w:rsid w:val="00487315"/>
    <w:rsid w:val="004906E1"/>
    <w:rsid w:val="00491D87"/>
    <w:rsid w:val="004921D9"/>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76F2"/>
    <w:rsid w:val="004A7A55"/>
    <w:rsid w:val="004B173F"/>
    <w:rsid w:val="004B1892"/>
    <w:rsid w:val="004B1C0F"/>
    <w:rsid w:val="004B3C1F"/>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739A"/>
    <w:rsid w:val="0050760D"/>
    <w:rsid w:val="005100DC"/>
    <w:rsid w:val="00510FCB"/>
    <w:rsid w:val="00511660"/>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DBC"/>
    <w:rsid w:val="00537781"/>
    <w:rsid w:val="00537B99"/>
    <w:rsid w:val="00537C89"/>
    <w:rsid w:val="005409DB"/>
    <w:rsid w:val="00542C62"/>
    <w:rsid w:val="0054392A"/>
    <w:rsid w:val="00543F5F"/>
    <w:rsid w:val="00544D08"/>
    <w:rsid w:val="00545698"/>
    <w:rsid w:val="00546149"/>
    <w:rsid w:val="005462B6"/>
    <w:rsid w:val="00550094"/>
    <w:rsid w:val="005530DC"/>
    <w:rsid w:val="00555089"/>
    <w:rsid w:val="005557A2"/>
    <w:rsid w:val="00556133"/>
    <w:rsid w:val="005565F1"/>
    <w:rsid w:val="00556ABB"/>
    <w:rsid w:val="00562259"/>
    <w:rsid w:val="005655BD"/>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B7A"/>
    <w:rsid w:val="005A0B59"/>
    <w:rsid w:val="005A245A"/>
    <w:rsid w:val="005A297F"/>
    <w:rsid w:val="005A2C7B"/>
    <w:rsid w:val="005A2CC7"/>
    <w:rsid w:val="005A328C"/>
    <w:rsid w:val="005A420F"/>
    <w:rsid w:val="005A5DB7"/>
    <w:rsid w:val="005A689F"/>
    <w:rsid w:val="005A7987"/>
    <w:rsid w:val="005B0F9A"/>
    <w:rsid w:val="005B1A42"/>
    <w:rsid w:val="005B1D03"/>
    <w:rsid w:val="005B36A8"/>
    <w:rsid w:val="005B46BD"/>
    <w:rsid w:val="005B4BDD"/>
    <w:rsid w:val="005B4DB1"/>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E1EB4"/>
    <w:rsid w:val="005E2303"/>
    <w:rsid w:val="005E4F70"/>
    <w:rsid w:val="005E7CE8"/>
    <w:rsid w:val="005F1628"/>
    <w:rsid w:val="005F162E"/>
    <w:rsid w:val="005F16C3"/>
    <w:rsid w:val="005F328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AD6"/>
    <w:rsid w:val="00655C47"/>
    <w:rsid w:val="00656C19"/>
    <w:rsid w:val="00660744"/>
    <w:rsid w:val="00660AEB"/>
    <w:rsid w:val="00660EBB"/>
    <w:rsid w:val="00661021"/>
    <w:rsid w:val="006625F7"/>
    <w:rsid w:val="00663CC5"/>
    <w:rsid w:val="006654DE"/>
    <w:rsid w:val="00666A14"/>
    <w:rsid w:val="00670660"/>
    <w:rsid w:val="00672E2F"/>
    <w:rsid w:val="00683C1B"/>
    <w:rsid w:val="00684164"/>
    <w:rsid w:val="00684D69"/>
    <w:rsid w:val="00684E55"/>
    <w:rsid w:val="00685278"/>
    <w:rsid w:val="006861F4"/>
    <w:rsid w:val="00686AF3"/>
    <w:rsid w:val="006928F3"/>
    <w:rsid w:val="006930AC"/>
    <w:rsid w:val="00693B0E"/>
    <w:rsid w:val="00694734"/>
    <w:rsid w:val="00694F98"/>
    <w:rsid w:val="006952F5"/>
    <w:rsid w:val="006A1614"/>
    <w:rsid w:val="006A2572"/>
    <w:rsid w:val="006A31F2"/>
    <w:rsid w:val="006A350C"/>
    <w:rsid w:val="006A4E97"/>
    <w:rsid w:val="006A5596"/>
    <w:rsid w:val="006A576A"/>
    <w:rsid w:val="006A6224"/>
    <w:rsid w:val="006A6279"/>
    <w:rsid w:val="006A6715"/>
    <w:rsid w:val="006A73FD"/>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5B3"/>
    <w:rsid w:val="00710CE2"/>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4689"/>
    <w:rsid w:val="007657DD"/>
    <w:rsid w:val="00766147"/>
    <w:rsid w:val="00766DD4"/>
    <w:rsid w:val="00766DF7"/>
    <w:rsid w:val="00767246"/>
    <w:rsid w:val="00770518"/>
    <w:rsid w:val="00771F84"/>
    <w:rsid w:val="007724D2"/>
    <w:rsid w:val="00772E30"/>
    <w:rsid w:val="007753BC"/>
    <w:rsid w:val="007769FC"/>
    <w:rsid w:val="00780470"/>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188"/>
    <w:rsid w:val="007A613C"/>
    <w:rsid w:val="007A6507"/>
    <w:rsid w:val="007A6512"/>
    <w:rsid w:val="007A67FD"/>
    <w:rsid w:val="007A683A"/>
    <w:rsid w:val="007B3C70"/>
    <w:rsid w:val="007B3D71"/>
    <w:rsid w:val="007B5213"/>
    <w:rsid w:val="007B721A"/>
    <w:rsid w:val="007B7DDF"/>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4FE6"/>
    <w:rsid w:val="007E5E8F"/>
    <w:rsid w:val="007E6590"/>
    <w:rsid w:val="007E78FD"/>
    <w:rsid w:val="007F0715"/>
    <w:rsid w:val="007F33A5"/>
    <w:rsid w:val="007F4326"/>
    <w:rsid w:val="007F5012"/>
    <w:rsid w:val="007F6346"/>
    <w:rsid w:val="007F6A96"/>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10EC"/>
    <w:rsid w:val="00861A35"/>
    <w:rsid w:val="008625DD"/>
    <w:rsid w:val="008631FE"/>
    <w:rsid w:val="0086397B"/>
    <w:rsid w:val="00863B71"/>
    <w:rsid w:val="00865A18"/>
    <w:rsid w:val="00873B5D"/>
    <w:rsid w:val="00873D24"/>
    <w:rsid w:val="008767C4"/>
    <w:rsid w:val="00877B50"/>
    <w:rsid w:val="00880C4E"/>
    <w:rsid w:val="00881FBD"/>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4958"/>
    <w:rsid w:val="008B4978"/>
    <w:rsid w:val="008B4D16"/>
    <w:rsid w:val="008B5E62"/>
    <w:rsid w:val="008C3E70"/>
    <w:rsid w:val="008C3EA4"/>
    <w:rsid w:val="008C4D93"/>
    <w:rsid w:val="008C5DE5"/>
    <w:rsid w:val="008D0EA5"/>
    <w:rsid w:val="008D1879"/>
    <w:rsid w:val="008D2B4F"/>
    <w:rsid w:val="008D34FD"/>
    <w:rsid w:val="008D43B6"/>
    <w:rsid w:val="008E0C18"/>
    <w:rsid w:val="008E1123"/>
    <w:rsid w:val="008E1387"/>
    <w:rsid w:val="008E676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74ED"/>
    <w:rsid w:val="0094784E"/>
    <w:rsid w:val="009478B6"/>
    <w:rsid w:val="0094793B"/>
    <w:rsid w:val="009522E0"/>
    <w:rsid w:val="009524AF"/>
    <w:rsid w:val="00953D09"/>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C04EA"/>
    <w:rsid w:val="009C0579"/>
    <w:rsid w:val="009C0FAB"/>
    <w:rsid w:val="009C13F6"/>
    <w:rsid w:val="009C1AAD"/>
    <w:rsid w:val="009C390B"/>
    <w:rsid w:val="009C42F0"/>
    <w:rsid w:val="009C45C5"/>
    <w:rsid w:val="009C5D2B"/>
    <w:rsid w:val="009C7594"/>
    <w:rsid w:val="009D0A2F"/>
    <w:rsid w:val="009D0A6C"/>
    <w:rsid w:val="009D0E76"/>
    <w:rsid w:val="009D38D1"/>
    <w:rsid w:val="009D51AE"/>
    <w:rsid w:val="009E280D"/>
    <w:rsid w:val="009E31DA"/>
    <w:rsid w:val="009E5448"/>
    <w:rsid w:val="009E5E5E"/>
    <w:rsid w:val="009E735D"/>
    <w:rsid w:val="009E77CE"/>
    <w:rsid w:val="009F079C"/>
    <w:rsid w:val="009F1125"/>
    <w:rsid w:val="009F1AC6"/>
    <w:rsid w:val="009F211C"/>
    <w:rsid w:val="009F292D"/>
    <w:rsid w:val="009F2AE3"/>
    <w:rsid w:val="009F3640"/>
    <w:rsid w:val="009F3D52"/>
    <w:rsid w:val="009F46DE"/>
    <w:rsid w:val="009F4C3D"/>
    <w:rsid w:val="009F56C6"/>
    <w:rsid w:val="009F5A7A"/>
    <w:rsid w:val="009F7053"/>
    <w:rsid w:val="00A00091"/>
    <w:rsid w:val="00A00218"/>
    <w:rsid w:val="00A01041"/>
    <w:rsid w:val="00A013E6"/>
    <w:rsid w:val="00A03139"/>
    <w:rsid w:val="00A03DF2"/>
    <w:rsid w:val="00A05978"/>
    <w:rsid w:val="00A059CF"/>
    <w:rsid w:val="00A05C35"/>
    <w:rsid w:val="00A06D64"/>
    <w:rsid w:val="00A0759E"/>
    <w:rsid w:val="00A1079F"/>
    <w:rsid w:val="00A12CC4"/>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77CC"/>
    <w:rsid w:val="00A57A63"/>
    <w:rsid w:val="00A60641"/>
    <w:rsid w:val="00A61A19"/>
    <w:rsid w:val="00A62D74"/>
    <w:rsid w:val="00A64CFB"/>
    <w:rsid w:val="00A652B7"/>
    <w:rsid w:val="00A660F9"/>
    <w:rsid w:val="00A67AA1"/>
    <w:rsid w:val="00A7108D"/>
    <w:rsid w:val="00A71467"/>
    <w:rsid w:val="00A71821"/>
    <w:rsid w:val="00A724FF"/>
    <w:rsid w:val="00A74B5E"/>
    <w:rsid w:val="00A75140"/>
    <w:rsid w:val="00A75A0E"/>
    <w:rsid w:val="00A75AAB"/>
    <w:rsid w:val="00A77C2A"/>
    <w:rsid w:val="00A8150A"/>
    <w:rsid w:val="00A81EEC"/>
    <w:rsid w:val="00A831DD"/>
    <w:rsid w:val="00A8366F"/>
    <w:rsid w:val="00A83DE4"/>
    <w:rsid w:val="00A83FBD"/>
    <w:rsid w:val="00A844FE"/>
    <w:rsid w:val="00A8455C"/>
    <w:rsid w:val="00A84C2F"/>
    <w:rsid w:val="00A86BC1"/>
    <w:rsid w:val="00A909F4"/>
    <w:rsid w:val="00A90FFC"/>
    <w:rsid w:val="00A91B9B"/>
    <w:rsid w:val="00A93CEE"/>
    <w:rsid w:val="00A95DBF"/>
    <w:rsid w:val="00A966C5"/>
    <w:rsid w:val="00A97265"/>
    <w:rsid w:val="00A97E29"/>
    <w:rsid w:val="00A97ECB"/>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3193"/>
    <w:rsid w:val="00AC3506"/>
    <w:rsid w:val="00AC3E69"/>
    <w:rsid w:val="00AC59DA"/>
    <w:rsid w:val="00AC6253"/>
    <w:rsid w:val="00AD0E44"/>
    <w:rsid w:val="00AD155A"/>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77DBF"/>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72C8"/>
    <w:rsid w:val="00BA0E0F"/>
    <w:rsid w:val="00BA0E28"/>
    <w:rsid w:val="00BA1742"/>
    <w:rsid w:val="00BA240A"/>
    <w:rsid w:val="00BA4783"/>
    <w:rsid w:val="00BA4A15"/>
    <w:rsid w:val="00BA5B3E"/>
    <w:rsid w:val="00BA6A1E"/>
    <w:rsid w:val="00BA779B"/>
    <w:rsid w:val="00BB14E3"/>
    <w:rsid w:val="00BB405B"/>
    <w:rsid w:val="00BB6955"/>
    <w:rsid w:val="00BB789F"/>
    <w:rsid w:val="00BC2FA5"/>
    <w:rsid w:val="00BC31D7"/>
    <w:rsid w:val="00BC6991"/>
    <w:rsid w:val="00BC7954"/>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9E0"/>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690"/>
    <w:rsid w:val="00C2451E"/>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FDC"/>
    <w:rsid w:val="00C561A1"/>
    <w:rsid w:val="00C57185"/>
    <w:rsid w:val="00C60374"/>
    <w:rsid w:val="00C6197D"/>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48A6"/>
    <w:rsid w:val="00CB5226"/>
    <w:rsid w:val="00CB58C9"/>
    <w:rsid w:val="00CB621C"/>
    <w:rsid w:val="00CB643C"/>
    <w:rsid w:val="00CB684E"/>
    <w:rsid w:val="00CB7254"/>
    <w:rsid w:val="00CB7C52"/>
    <w:rsid w:val="00CC02F2"/>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55AF"/>
    <w:rsid w:val="00D361DD"/>
    <w:rsid w:val="00D36DB6"/>
    <w:rsid w:val="00D412D1"/>
    <w:rsid w:val="00D4185E"/>
    <w:rsid w:val="00D424F4"/>
    <w:rsid w:val="00D430A2"/>
    <w:rsid w:val="00D437AB"/>
    <w:rsid w:val="00D50BC2"/>
    <w:rsid w:val="00D516D1"/>
    <w:rsid w:val="00D5261B"/>
    <w:rsid w:val="00D529FE"/>
    <w:rsid w:val="00D53670"/>
    <w:rsid w:val="00D57E63"/>
    <w:rsid w:val="00D57F85"/>
    <w:rsid w:val="00D61146"/>
    <w:rsid w:val="00D61E00"/>
    <w:rsid w:val="00D62CFE"/>
    <w:rsid w:val="00D63B31"/>
    <w:rsid w:val="00D66F5E"/>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14FA"/>
    <w:rsid w:val="00D822BE"/>
    <w:rsid w:val="00D8264B"/>
    <w:rsid w:val="00D82AA0"/>
    <w:rsid w:val="00D879E6"/>
    <w:rsid w:val="00D87EE8"/>
    <w:rsid w:val="00D9028D"/>
    <w:rsid w:val="00D90E2B"/>
    <w:rsid w:val="00D91F21"/>
    <w:rsid w:val="00D935CD"/>
    <w:rsid w:val="00D94273"/>
    <w:rsid w:val="00D944A0"/>
    <w:rsid w:val="00D946E9"/>
    <w:rsid w:val="00D9480A"/>
    <w:rsid w:val="00D969B9"/>
    <w:rsid w:val="00D97B3B"/>
    <w:rsid w:val="00DA0D2E"/>
    <w:rsid w:val="00DA1D6D"/>
    <w:rsid w:val="00DA47F3"/>
    <w:rsid w:val="00DA4D8B"/>
    <w:rsid w:val="00DA5E05"/>
    <w:rsid w:val="00DA7EB6"/>
    <w:rsid w:val="00DB2502"/>
    <w:rsid w:val="00DB2FD5"/>
    <w:rsid w:val="00DB45CC"/>
    <w:rsid w:val="00DB5617"/>
    <w:rsid w:val="00DB5B44"/>
    <w:rsid w:val="00DB7E05"/>
    <w:rsid w:val="00DB7E41"/>
    <w:rsid w:val="00DC1BF6"/>
    <w:rsid w:val="00DC3A4D"/>
    <w:rsid w:val="00DC4FA6"/>
    <w:rsid w:val="00DC500F"/>
    <w:rsid w:val="00DC5CD3"/>
    <w:rsid w:val="00DC76AE"/>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7014"/>
    <w:rsid w:val="00DE740F"/>
    <w:rsid w:val="00DE74C8"/>
    <w:rsid w:val="00DF0C07"/>
    <w:rsid w:val="00DF76EB"/>
    <w:rsid w:val="00E00B48"/>
    <w:rsid w:val="00E02DBA"/>
    <w:rsid w:val="00E03081"/>
    <w:rsid w:val="00E030EE"/>
    <w:rsid w:val="00E03560"/>
    <w:rsid w:val="00E04DEB"/>
    <w:rsid w:val="00E0723B"/>
    <w:rsid w:val="00E073DC"/>
    <w:rsid w:val="00E108C3"/>
    <w:rsid w:val="00E11F03"/>
    <w:rsid w:val="00E120B9"/>
    <w:rsid w:val="00E12705"/>
    <w:rsid w:val="00E12A19"/>
    <w:rsid w:val="00E13758"/>
    <w:rsid w:val="00E148F3"/>
    <w:rsid w:val="00E151DA"/>
    <w:rsid w:val="00E15382"/>
    <w:rsid w:val="00E15651"/>
    <w:rsid w:val="00E1677E"/>
    <w:rsid w:val="00E16EB2"/>
    <w:rsid w:val="00E20944"/>
    <w:rsid w:val="00E20F9C"/>
    <w:rsid w:val="00E21090"/>
    <w:rsid w:val="00E21BC2"/>
    <w:rsid w:val="00E21CBF"/>
    <w:rsid w:val="00E224DE"/>
    <w:rsid w:val="00E238A2"/>
    <w:rsid w:val="00E2415F"/>
    <w:rsid w:val="00E24C56"/>
    <w:rsid w:val="00E26A7C"/>
    <w:rsid w:val="00E2730E"/>
    <w:rsid w:val="00E27DF5"/>
    <w:rsid w:val="00E3243B"/>
    <w:rsid w:val="00E325A3"/>
    <w:rsid w:val="00E335D8"/>
    <w:rsid w:val="00E33707"/>
    <w:rsid w:val="00E34005"/>
    <w:rsid w:val="00E37B56"/>
    <w:rsid w:val="00E413AB"/>
    <w:rsid w:val="00E43274"/>
    <w:rsid w:val="00E4665E"/>
    <w:rsid w:val="00E53A19"/>
    <w:rsid w:val="00E53F3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5324"/>
    <w:rsid w:val="00EA5BBB"/>
    <w:rsid w:val="00EA63B6"/>
    <w:rsid w:val="00EB06DC"/>
    <w:rsid w:val="00EB10A7"/>
    <w:rsid w:val="00EB2328"/>
    <w:rsid w:val="00EB48A2"/>
    <w:rsid w:val="00EB6C3F"/>
    <w:rsid w:val="00EB6DE7"/>
    <w:rsid w:val="00EB71F5"/>
    <w:rsid w:val="00EC177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361B"/>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98"/>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E90"/>
    <w:rsid w:val="00F4245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D1A"/>
    <w:rsid w:val="00FC7D38"/>
    <w:rsid w:val="00FD01BA"/>
    <w:rsid w:val="00FD0CA5"/>
    <w:rsid w:val="00FD262A"/>
    <w:rsid w:val="00FD4012"/>
    <w:rsid w:val="00FD4EBA"/>
    <w:rsid w:val="00FD5A0C"/>
    <w:rsid w:val="00FE20F3"/>
    <w:rsid w:val="00FE4D45"/>
    <w:rsid w:val="00FE5279"/>
    <w:rsid w:val="00FE5412"/>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C64345"/>
    <w:rsid w:val="020654A2"/>
    <w:rsid w:val="0237508D"/>
    <w:rsid w:val="023A3927"/>
    <w:rsid w:val="036208AE"/>
    <w:rsid w:val="039A683B"/>
    <w:rsid w:val="03B149B7"/>
    <w:rsid w:val="03BD7C44"/>
    <w:rsid w:val="04480307"/>
    <w:rsid w:val="04A0325F"/>
    <w:rsid w:val="04A722F0"/>
    <w:rsid w:val="04B14B52"/>
    <w:rsid w:val="04DF5E7E"/>
    <w:rsid w:val="05A30D0A"/>
    <w:rsid w:val="05C52273"/>
    <w:rsid w:val="0690045A"/>
    <w:rsid w:val="06FF01C2"/>
    <w:rsid w:val="071308AC"/>
    <w:rsid w:val="07196328"/>
    <w:rsid w:val="072B4830"/>
    <w:rsid w:val="073F5BAB"/>
    <w:rsid w:val="077552AE"/>
    <w:rsid w:val="08690AAE"/>
    <w:rsid w:val="09205694"/>
    <w:rsid w:val="0A3960E0"/>
    <w:rsid w:val="0A8C6210"/>
    <w:rsid w:val="0AE80C2A"/>
    <w:rsid w:val="0B541368"/>
    <w:rsid w:val="0B5F199F"/>
    <w:rsid w:val="0BB21981"/>
    <w:rsid w:val="0BDF6813"/>
    <w:rsid w:val="0C032502"/>
    <w:rsid w:val="0C3730A2"/>
    <w:rsid w:val="0D383FD7"/>
    <w:rsid w:val="0D5154EF"/>
    <w:rsid w:val="0D621278"/>
    <w:rsid w:val="0E220145"/>
    <w:rsid w:val="0E496719"/>
    <w:rsid w:val="0EB977F0"/>
    <w:rsid w:val="0ED2229C"/>
    <w:rsid w:val="0F0C3512"/>
    <w:rsid w:val="0F9D186A"/>
    <w:rsid w:val="0FB706F9"/>
    <w:rsid w:val="0FB80C03"/>
    <w:rsid w:val="107B287A"/>
    <w:rsid w:val="10911057"/>
    <w:rsid w:val="10A641ED"/>
    <w:rsid w:val="114521FF"/>
    <w:rsid w:val="115455AE"/>
    <w:rsid w:val="126A41D5"/>
    <w:rsid w:val="126C1D89"/>
    <w:rsid w:val="12B26B32"/>
    <w:rsid w:val="12CF5848"/>
    <w:rsid w:val="12D70244"/>
    <w:rsid w:val="132A0C0D"/>
    <w:rsid w:val="139119F5"/>
    <w:rsid w:val="13D12EE6"/>
    <w:rsid w:val="13E265C9"/>
    <w:rsid w:val="13F34E8B"/>
    <w:rsid w:val="14057021"/>
    <w:rsid w:val="153B706B"/>
    <w:rsid w:val="162C08A7"/>
    <w:rsid w:val="16A4259B"/>
    <w:rsid w:val="17722603"/>
    <w:rsid w:val="193E5030"/>
    <w:rsid w:val="19452F6C"/>
    <w:rsid w:val="19936D33"/>
    <w:rsid w:val="1A051B3B"/>
    <w:rsid w:val="1A307E4A"/>
    <w:rsid w:val="1A440A74"/>
    <w:rsid w:val="1A6C3230"/>
    <w:rsid w:val="1AA76B0D"/>
    <w:rsid w:val="1AED393F"/>
    <w:rsid w:val="1BF6657B"/>
    <w:rsid w:val="1C19367C"/>
    <w:rsid w:val="1C5A1606"/>
    <w:rsid w:val="1D696BE1"/>
    <w:rsid w:val="1D70376F"/>
    <w:rsid w:val="1D8C7A62"/>
    <w:rsid w:val="1DF037E4"/>
    <w:rsid w:val="1DFE6DBE"/>
    <w:rsid w:val="1E1E26C7"/>
    <w:rsid w:val="1E432C32"/>
    <w:rsid w:val="1E4D10F7"/>
    <w:rsid w:val="1E543091"/>
    <w:rsid w:val="1E6E4A7A"/>
    <w:rsid w:val="1ED3045A"/>
    <w:rsid w:val="1F513247"/>
    <w:rsid w:val="1F841668"/>
    <w:rsid w:val="1FBD24BE"/>
    <w:rsid w:val="20A83220"/>
    <w:rsid w:val="20B142CB"/>
    <w:rsid w:val="20DC28F8"/>
    <w:rsid w:val="20F52909"/>
    <w:rsid w:val="2154474C"/>
    <w:rsid w:val="216666C7"/>
    <w:rsid w:val="216C24A0"/>
    <w:rsid w:val="21B32749"/>
    <w:rsid w:val="21D56297"/>
    <w:rsid w:val="221147FD"/>
    <w:rsid w:val="229323DA"/>
    <w:rsid w:val="22C51679"/>
    <w:rsid w:val="22DE117B"/>
    <w:rsid w:val="22EC1AEA"/>
    <w:rsid w:val="23220258"/>
    <w:rsid w:val="23331A68"/>
    <w:rsid w:val="2391082F"/>
    <w:rsid w:val="24C618DE"/>
    <w:rsid w:val="25B14465"/>
    <w:rsid w:val="25EA00DB"/>
    <w:rsid w:val="26382913"/>
    <w:rsid w:val="265B188A"/>
    <w:rsid w:val="27CB43C4"/>
    <w:rsid w:val="28052F57"/>
    <w:rsid w:val="282D4EB6"/>
    <w:rsid w:val="28726F43"/>
    <w:rsid w:val="289808A6"/>
    <w:rsid w:val="28DB23E5"/>
    <w:rsid w:val="2A026283"/>
    <w:rsid w:val="2A81520E"/>
    <w:rsid w:val="2AD92954"/>
    <w:rsid w:val="2B7D59D5"/>
    <w:rsid w:val="2BC50E73"/>
    <w:rsid w:val="2D1914E4"/>
    <w:rsid w:val="2D295F45"/>
    <w:rsid w:val="2D7850DE"/>
    <w:rsid w:val="2D9E0D89"/>
    <w:rsid w:val="2DB16813"/>
    <w:rsid w:val="2DB843CA"/>
    <w:rsid w:val="2E127277"/>
    <w:rsid w:val="2EE45D6B"/>
    <w:rsid w:val="2F642A08"/>
    <w:rsid w:val="2F875074"/>
    <w:rsid w:val="2F957DBA"/>
    <w:rsid w:val="2FC71915"/>
    <w:rsid w:val="30270E56"/>
    <w:rsid w:val="30963095"/>
    <w:rsid w:val="30B96F38"/>
    <w:rsid w:val="31295CB7"/>
    <w:rsid w:val="31472444"/>
    <w:rsid w:val="31A65557"/>
    <w:rsid w:val="321D2EFB"/>
    <w:rsid w:val="32285192"/>
    <w:rsid w:val="32777C4D"/>
    <w:rsid w:val="32917FB8"/>
    <w:rsid w:val="33243461"/>
    <w:rsid w:val="334C0602"/>
    <w:rsid w:val="33F174D4"/>
    <w:rsid w:val="340F388A"/>
    <w:rsid w:val="342015F4"/>
    <w:rsid w:val="342310E4"/>
    <w:rsid w:val="344352E2"/>
    <w:rsid w:val="34C401D1"/>
    <w:rsid w:val="351C02BA"/>
    <w:rsid w:val="351C752D"/>
    <w:rsid w:val="36041D19"/>
    <w:rsid w:val="36161830"/>
    <w:rsid w:val="36396522"/>
    <w:rsid w:val="36DE2A23"/>
    <w:rsid w:val="37734130"/>
    <w:rsid w:val="378B0F42"/>
    <w:rsid w:val="38756651"/>
    <w:rsid w:val="389338B6"/>
    <w:rsid w:val="38D41AF2"/>
    <w:rsid w:val="391B05DB"/>
    <w:rsid w:val="39C173D5"/>
    <w:rsid w:val="39D11767"/>
    <w:rsid w:val="3A1C460B"/>
    <w:rsid w:val="3A5C7150"/>
    <w:rsid w:val="3A724528"/>
    <w:rsid w:val="3AD04AEF"/>
    <w:rsid w:val="3AF0653F"/>
    <w:rsid w:val="3B906F17"/>
    <w:rsid w:val="3BCB62E9"/>
    <w:rsid w:val="3CE97C43"/>
    <w:rsid w:val="3CF47BBC"/>
    <w:rsid w:val="3CFE65DA"/>
    <w:rsid w:val="3DB51CC5"/>
    <w:rsid w:val="3EF827A7"/>
    <w:rsid w:val="3F381C69"/>
    <w:rsid w:val="3F6E655A"/>
    <w:rsid w:val="3FC25C55"/>
    <w:rsid w:val="3FE57C5F"/>
    <w:rsid w:val="3FF923CB"/>
    <w:rsid w:val="40270153"/>
    <w:rsid w:val="40CC3328"/>
    <w:rsid w:val="41436921"/>
    <w:rsid w:val="416A12F0"/>
    <w:rsid w:val="41F93484"/>
    <w:rsid w:val="42B53CA0"/>
    <w:rsid w:val="431E7646"/>
    <w:rsid w:val="438751EB"/>
    <w:rsid w:val="43A35D9D"/>
    <w:rsid w:val="44313425"/>
    <w:rsid w:val="449C0CED"/>
    <w:rsid w:val="452A22D2"/>
    <w:rsid w:val="45DE4E6B"/>
    <w:rsid w:val="45EF7D64"/>
    <w:rsid w:val="46104A2A"/>
    <w:rsid w:val="46173C3B"/>
    <w:rsid w:val="469043B7"/>
    <w:rsid w:val="4720553A"/>
    <w:rsid w:val="47596E9F"/>
    <w:rsid w:val="47EB5D34"/>
    <w:rsid w:val="48D25A76"/>
    <w:rsid w:val="496175DB"/>
    <w:rsid w:val="49C820BA"/>
    <w:rsid w:val="4A04580E"/>
    <w:rsid w:val="4AB77D82"/>
    <w:rsid w:val="4ACC7988"/>
    <w:rsid w:val="4B014F01"/>
    <w:rsid w:val="4B221C9D"/>
    <w:rsid w:val="4B240D2A"/>
    <w:rsid w:val="4B5736F5"/>
    <w:rsid w:val="4B8F611F"/>
    <w:rsid w:val="4BF5224A"/>
    <w:rsid w:val="4C997D3D"/>
    <w:rsid w:val="4CFA2F15"/>
    <w:rsid w:val="4D0E325B"/>
    <w:rsid w:val="4D8D61CA"/>
    <w:rsid w:val="4DFA480C"/>
    <w:rsid w:val="4ECD1F20"/>
    <w:rsid w:val="4FAB400F"/>
    <w:rsid w:val="5053019C"/>
    <w:rsid w:val="50A349B5"/>
    <w:rsid w:val="50CA5FFF"/>
    <w:rsid w:val="50DD1105"/>
    <w:rsid w:val="515E0DFC"/>
    <w:rsid w:val="53261175"/>
    <w:rsid w:val="53C733E2"/>
    <w:rsid w:val="547846DC"/>
    <w:rsid w:val="54E911DC"/>
    <w:rsid w:val="55627866"/>
    <w:rsid w:val="55713605"/>
    <w:rsid w:val="5572737D"/>
    <w:rsid w:val="55BD7DEF"/>
    <w:rsid w:val="55D32E25"/>
    <w:rsid w:val="561536E8"/>
    <w:rsid w:val="563E36FF"/>
    <w:rsid w:val="569F42C5"/>
    <w:rsid w:val="57095077"/>
    <w:rsid w:val="575202EE"/>
    <w:rsid w:val="5757610C"/>
    <w:rsid w:val="58095F1D"/>
    <w:rsid w:val="58D50888"/>
    <w:rsid w:val="59373474"/>
    <w:rsid w:val="5943350B"/>
    <w:rsid w:val="59D416FF"/>
    <w:rsid w:val="59E940B2"/>
    <w:rsid w:val="5A7172BE"/>
    <w:rsid w:val="5A92187A"/>
    <w:rsid w:val="5B265E46"/>
    <w:rsid w:val="5B2703BF"/>
    <w:rsid w:val="5B427BA8"/>
    <w:rsid w:val="5BAF2C37"/>
    <w:rsid w:val="5BD62414"/>
    <w:rsid w:val="5C220FD1"/>
    <w:rsid w:val="5C4F44AA"/>
    <w:rsid w:val="5C68226D"/>
    <w:rsid w:val="5D3B279E"/>
    <w:rsid w:val="5E094E40"/>
    <w:rsid w:val="5E3808A4"/>
    <w:rsid w:val="5E524F27"/>
    <w:rsid w:val="5F143553"/>
    <w:rsid w:val="5F694FFF"/>
    <w:rsid w:val="5FC5111D"/>
    <w:rsid w:val="5FF00A77"/>
    <w:rsid w:val="6122434D"/>
    <w:rsid w:val="61932B55"/>
    <w:rsid w:val="61AB57EF"/>
    <w:rsid w:val="61D03DA9"/>
    <w:rsid w:val="61E76164"/>
    <w:rsid w:val="622639C9"/>
    <w:rsid w:val="622A3F92"/>
    <w:rsid w:val="62AA45FB"/>
    <w:rsid w:val="62DF65B1"/>
    <w:rsid w:val="640C3587"/>
    <w:rsid w:val="644D7933"/>
    <w:rsid w:val="64E323A8"/>
    <w:rsid w:val="64F0016A"/>
    <w:rsid w:val="65076900"/>
    <w:rsid w:val="65FC33E7"/>
    <w:rsid w:val="661A3845"/>
    <w:rsid w:val="66E71E09"/>
    <w:rsid w:val="67262C4A"/>
    <w:rsid w:val="6759039D"/>
    <w:rsid w:val="67D1465F"/>
    <w:rsid w:val="67D7768A"/>
    <w:rsid w:val="68326388"/>
    <w:rsid w:val="686D4100"/>
    <w:rsid w:val="699B3A08"/>
    <w:rsid w:val="69DB12D3"/>
    <w:rsid w:val="6A7259FE"/>
    <w:rsid w:val="6A7E0847"/>
    <w:rsid w:val="6A815998"/>
    <w:rsid w:val="6C053855"/>
    <w:rsid w:val="6C0D76BF"/>
    <w:rsid w:val="6D3451EC"/>
    <w:rsid w:val="6DE358A2"/>
    <w:rsid w:val="6E1F640A"/>
    <w:rsid w:val="6E234BBF"/>
    <w:rsid w:val="6E2C6AC6"/>
    <w:rsid w:val="6E8201DA"/>
    <w:rsid w:val="6E95454B"/>
    <w:rsid w:val="6EAF0AC1"/>
    <w:rsid w:val="6F2D5F36"/>
    <w:rsid w:val="6F477AF3"/>
    <w:rsid w:val="6F5909C8"/>
    <w:rsid w:val="6F7A1830"/>
    <w:rsid w:val="6F8D32DA"/>
    <w:rsid w:val="6F9F0176"/>
    <w:rsid w:val="6FB645DF"/>
    <w:rsid w:val="7036571F"/>
    <w:rsid w:val="705610BB"/>
    <w:rsid w:val="7059596B"/>
    <w:rsid w:val="708339B3"/>
    <w:rsid w:val="70E1568B"/>
    <w:rsid w:val="70E73DFC"/>
    <w:rsid w:val="716D5171"/>
    <w:rsid w:val="71B92521"/>
    <w:rsid w:val="721467C8"/>
    <w:rsid w:val="72252F02"/>
    <w:rsid w:val="722A12B4"/>
    <w:rsid w:val="723122FF"/>
    <w:rsid w:val="724D49F1"/>
    <w:rsid w:val="736E6F7E"/>
    <w:rsid w:val="73857C10"/>
    <w:rsid w:val="73F92A0E"/>
    <w:rsid w:val="74431517"/>
    <w:rsid w:val="74FD0A22"/>
    <w:rsid w:val="75183646"/>
    <w:rsid w:val="758C782D"/>
    <w:rsid w:val="7600081F"/>
    <w:rsid w:val="766927D6"/>
    <w:rsid w:val="76815993"/>
    <w:rsid w:val="77073D4A"/>
    <w:rsid w:val="770E2C13"/>
    <w:rsid w:val="773B361B"/>
    <w:rsid w:val="777C6CC6"/>
    <w:rsid w:val="7783240E"/>
    <w:rsid w:val="789E5528"/>
    <w:rsid w:val="78BE6240"/>
    <w:rsid w:val="78CA27A8"/>
    <w:rsid w:val="79A94109"/>
    <w:rsid w:val="7A0D25C7"/>
    <w:rsid w:val="7A0F218E"/>
    <w:rsid w:val="7A3208B0"/>
    <w:rsid w:val="7A5C0085"/>
    <w:rsid w:val="7AC9412D"/>
    <w:rsid w:val="7B204531"/>
    <w:rsid w:val="7B6A44CF"/>
    <w:rsid w:val="7C493047"/>
    <w:rsid w:val="7C8B67E2"/>
    <w:rsid w:val="7D057024"/>
    <w:rsid w:val="7EBF07B2"/>
    <w:rsid w:val="7ECB1729"/>
    <w:rsid w:val="7EF74785"/>
    <w:rsid w:val="7F374FAD"/>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55"/>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7"/>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qFormat/>
    <w:uiPriority w:val="0"/>
    <w:pPr>
      <w:ind w:firstLine="420"/>
    </w:pPr>
  </w:style>
  <w:style w:type="paragraph" w:styleId="13">
    <w:name w:val="Document Map"/>
    <w:basedOn w:val="1"/>
    <w:link w:val="62"/>
    <w:qFormat/>
    <w:uiPriority w:val="0"/>
    <w:rPr>
      <w:rFonts w:ascii="宋体"/>
      <w:sz w:val="18"/>
      <w:szCs w:val="18"/>
    </w:rPr>
  </w:style>
  <w:style w:type="paragraph" w:styleId="14">
    <w:name w:val="annotation text"/>
    <w:basedOn w:val="1"/>
    <w:link w:val="63"/>
    <w:qFormat/>
    <w:uiPriority w:val="0"/>
    <w:pPr>
      <w:jc w:val="left"/>
    </w:pPr>
    <w:rPr>
      <w:rFonts w:ascii="Times New Roman" w:hAnsi="Times New Roman"/>
      <w:szCs w:val="20"/>
    </w:rPr>
  </w:style>
  <w:style w:type="paragraph" w:styleId="15">
    <w:name w:val="Body Text 3"/>
    <w:basedOn w:val="1"/>
    <w:link w:val="64"/>
    <w:qFormat/>
    <w:uiPriority w:val="0"/>
    <w:rPr>
      <w:rFonts w:ascii="宋体"/>
      <w:sz w:val="24"/>
      <w:szCs w:val="20"/>
    </w:rPr>
  </w:style>
  <w:style w:type="paragraph" w:styleId="16">
    <w:name w:val="Body Text"/>
    <w:basedOn w:val="1"/>
    <w:link w:val="65"/>
    <w:unhideWhenUsed/>
    <w:qFormat/>
    <w:uiPriority w:val="0"/>
    <w:pPr>
      <w:spacing w:after="120"/>
    </w:pPr>
    <w:rPr>
      <w:rFonts w:ascii="Times New Roman" w:hAnsi="Times New Roman"/>
      <w:szCs w:val="20"/>
    </w:rPr>
  </w:style>
  <w:style w:type="paragraph" w:styleId="17">
    <w:name w:val="Body Text Indent"/>
    <w:basedOn w:val="1"/>
    <w:next w:val="18"/>
    <w:link w:val="66"/>
    <w:qFormat/>
    <w:uiPriority w:val="0"/>
    <w:pPr>
      <w:spacing w:after="120"/>
      <w:ind w:left="420" w:leftChars="200"/>
    </w:pPr>
    <w:rPr>
      <w:rFonts w:ascii="Times New Roman" w:hAnsi="Times New Roman"/>
      <w:szCs w:val="20"/>
    </w:rPr>
  </w:style>
  <w:style w:type="paragraph" w:styleId="18">
    <w:name w:val="envelope return"/>
    <w:basedOn w:val="1"/>
    <w:unhideWhenUsed/>
    <w:qFormat/>
    <w:uiPriority w:val="99"/>
    <w:pPr>
      <w:snapToGrid w:val="0"/>
    </w:pPr>
    <w:rPr>
      <w:rFonts w:ascii="Arial" w:hAnsi="Arial"/>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67"/>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8"/>
    <w:qFormat/>
    <w:uiPriority w:val="0"/>
    <w:pPr>
      <w:ind w:left="2500" w:leftChars="2500"/>
    </w:pPr>
    <w:rPr>
      <w:rFonts w:ascii="Times New Roman" w:hAnsi="Times New Roman"/>
      <w:szCs w:val="20"/>
    </w:rPr>
  </w:style>
  <w:style w:type="paragraph" w:styleId="24">
    <w:name w:val="endnote text"/>
    <w:basedOn w:val="1"/>
    <w:link w:val="69"/>
    <w:unhideWhenUsed/>
    <w:qFormat/>
    <w:uiPriority w:val="0"/>
    <w:pPr>
      <w:snapToGrid w:val="0"/>
      <w:jc w:val="left"/>
    </w:pPr>
  </w:style>
  <w:style w:type="paragraph" w:styleId="25">
    <w:name w:val="Balloon Text"/>
    <w:basedOn w:val="1"/>
    <w:link w:val="70"/>
    <w:qFormat/>
    <w:uiPriority w:val="0"/>
    <w:rPr>
      <w:rFonts w:ascii="Times New Roman" w:hAnsi="Times New Roman"/>
      <w:sz w:val="18"/>
      <w:szCs w:val="20"/>
    </w:rPr>
  </w:style>
  <w:style w:type="paragraph" w:styleId="26">
    <w:name w:val="footer"/>
    <w:basedOn w:val="1"/>
    <w:link w:val="71"/>
    <w:qFormat/>
    <w:uiPriority w:val="99"/>
    <w:pPr>
      <w:tabs>
        <w:tab w:val="center" w:pos="4153"/>
        <w:tab w:val="right" w:pos="8306"/>
      </w:tabs>
      <w:snapToGrid w:val="0"/>
      <w:jc w:val="left"/>
    </w:pPr>
    <w:rPr>
      <w:sz w:val="18"/>
    </w:rPr>
  </w:style>
  <w:style w:type="paragraph" w:styleId="27">
    <w:name w:val="header"/>
    <w:basedOn w:val="1"/>
    <w:link w:val="72"/>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index heading"/>
    <w:basedOn w:val="1"/>
    <w:next w:val="31"/>
    <w:semiHidden/>
    <w:qFormat/>
    <w:uiPriority w:val="0"/>
    <w:rPr>
      <w:rFonts w:ascii="Times New Roman" w:hAnsi="Times New Roman"/>
      <w:szCs w:val="24"/>
    </w:rPr>
  </w:style>
  <w:style w:type="paragraph" w:styleId="31">
    <w:name w:val="index 1"/>
    <w:basedOn w:val="1"/>
    <w:next w:val="1"/>
    <w:qFormat/>
    <w:uiPriority w:val="0"/>
    <w:pPr>
      <w:spacing w:line="220" w:lineRule="exact"/>
      <w:jc w:val="center"/>
    </w:pPr>
    <w:rPr>
      <w:rFonts w:ascii="仿宋_GB2312" w:hAnsi="Times New Roman" w:eastAsia="仿宋_GB2312"/>
      <w:szCs w:val="21"/>
    </w:rPr>
  </w:style>
  <w:style w:type="paragraph" w:styleId="32">
    <w:name w:val="footnote text"/>
    <w:basedOn w:val="1"/>
    <w:link w:val="73"/>
    <w:unhideWhenUsed/>
    <w:qFormat/>
    <w:uiPriority w:val="0"/>
    <w:pPr>
      <w:snapToGrid w:val="0"/>
      <w:jc w:val="left"/>
    </w:pPr>
    <w:rPr>
      <w:rFonts w:ascii="Times New Roman" w:hAnsi="Times New Roman"/>
      <w:sz w:val="18"/>
      <w:szCs w:val="18"/>
    </w:rPr>
  </w:style>
  <w:style w:type="paragraph" w:styleId="33">
    <w:name w:val="toc 6"/>
    <w:basedOn w:val="1"/>
    <w:next w:val="1"/>
    <w:qFormat/>
    <w:uiPriority w:val="39"/>
    <w:pPr>
      <w:ind w:left="1000" w:leftChars="1000"/>
    </w:pPr>
  </w:style>
  <w:style w:type="paragraph" w:styleId="34">
    <w:name w:val="Body Text Indent 3"/>
    <w:basedOn w:val="1"/>
    <w:link w:val="74"/>
    <w:qFormat/>
    <w:uiPriority w:val="0"/>
    <w:pPr>
      <w:spacing w:after="120"/>
      <w:ind w:left="200" w:leftChars="200"/>
    </w:pPr>
    <w:rPr>
      <w:sz w:val="16"/>
      <w:szCs w:val="16"/>
    </w:rPr>
  </w:style>
  <w:style w:type="paragraph" w:styleId="35">
    <w:name w:val="index 9"/>
    <w:basedOn w:val="1"/>
    <w:next w:val="1"/>
    <w:semiHidden/>
    <w:qFormat/>
    <w:uiPriority w:val="0"/>
    <w:pPr>
      <w:ind w:left="1600" w:leftChars="1600"/>
    </w:pPr>
    <w:rPr>
      <w:rFonts w:ascii="Times New Roman" w:hAnsi="Times New Roman"/>
      <w:szCs w:val="20"/>
    </w:rPr>
  </w:style>
  <w:style w:type="paragraph" w:styleId="36">
    <w:name w:val="toc 2"/>
    <w:basedOn w:val="1"/>
    <w:next w:val="1"/>
    <w:qFormat/>
    <w:uiPriority w:val="39"/>
    <w:pPr>
      <w:ind w:left="200" w:leftChars="200"/>
    </w:pPr>
  </w:style>
  <w:style w:type="paragraph" w:styleId="37">
    <w:name w:val="toc 9"/>
    <w:basedOn w:val="1"/>
    <w:next w:val="1"/>
    <w:qFormat/>
    <w:uiPriority w:val="39"/>
    <w:pPr>
      <w:ind w:left="1600" w:leftChars="1600"/>
    </w:pPr>
  </w:style>
  <w:style w:type="paragraph" w:styleId="38">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9">
    <w:name w:val="Title"/>
    <w:basedOn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4"/>
    <w:next w:val="14"/>
    <w:link w:val="76"/>
    <w:qFormat/>
    <w:uiPriority w:val="0"/>
  </w:style>
  <w:style w:type="paragraph" w:styleId="41">
    <w:name w:val="Body Text First Indent"/>
    <w:basedOn w:val="16"/>
    <w:link w:val="77"/>
    <w:qFormat/>
    <w:uiPriority w:val="0"/>
    <w:pPr>
      <w:spacing w:line="312" w:lineRule="auto"/>
      <w:ind w:firstLine="420"/>
    </w:pPr>
    <w:rPr>
      <w:rFonts w:ascii="Times New Roman" w:hAnsi="Times New Roman"/>
      <w:szCs w:val="24"/>
    </w:rPr>
  </w:style>
  <w:style w:type="paragraph" w:styleId="42">
    <w:name w:val="Body Text First Indent 2"/>
    <w:basedOn w:val="17"/>
    <w:unhideWhenUsed/>
    <w:qFormat/>
    <w:uiPriority w:val="99"/>
    <w:pPr>
      <w:ind w:firstLine="420" w:firstLineChars="200"/>
    </w:pPr>
  </w:style>
  <w:style w:type="table" w:styleId="44">
    <w:name w:val="Table Grid"/>
    <w:basedOn w:val="4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endnote reference"/>
    <w:unhideWhenUsed/>
    <w:qFormat/>
    <w:uiPriority w:val="0"/>
    <w:rPr>
      <w:vertAlign w:val="superscript"/>
    </w:rPr>
  </w:style>
  <w:style w:type="character" w:styleId="48">
    <w:name w:val="page number"/>
    <w:qFormat/>
    <w:uiPriority w:val="0"/>
  </w:style>
  <w:style w:type="character" w:styleId="49">
    <w:name w:val="Emphasis"/>
    <w:basedOn w:val="45"/>
    <w:qFormat/>
    <w:uiPriority w:val="0"/>
    <w:rPr>
      <w:i/>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标题 1 字符"/>
    <w:link w:val="2"/>
    <w:qFormat/>
    <w:uiPriority w:val="0"/>
    <w:rPr>
      <w:rFonts w:eastAsia="宋体"/>
      <w:b/>
      <w:kern w:val="44"/>
      <w:sz w:val="44"/>
    </w:rPr>
  </w:style>
  <w:style w:type="character" w:customStyle="1" w:styleId="54">
    <w:name w:val="标题 2 字符"/>
    <w:link w:val="3"/>
    <w:qFormat/>
    <w:uiPriority w:val="0"/>
    <w:rPr>
      <w:rFonts w:ascii="Arial" w:hAnsi="Arial" w:eastAsia="黑体"/>
      <w:b/>
      <w:kern w:val="2"/>
      <w:sz w:val="32"/>
    </w:rPr>
  </w:style>
  <w:style w:type="character" w:customStyle="1" w:styleId="55">
    <w:name w:val="标题 3 字符"/>
    <w:link w:val="4"/>
    <w:qFormat/>
    <w:uiPriority w:val="0"/>
    <w:rPr>
      <w:rFonts w:ascii="黑体" w:hAnsi="Calibri" w:eastAsia="黑体"/>
      <w:kern w:val="2"/>
      <w:sz w:val="28"/>
    </w:rPr>
  </w:style>
  <w:style w:type="character" w:customStyle="1" w:styleId="56">
    <w:name w:val="标题 4 字符"/>
    <w:link w:val="5"/>
    <w:qFormat/>
    <w:uiPriority w:val="0"/>
    <w:rPr>
      <w:rFonts w:ascii="Arial" w:hAnsi="Arial" w:eastAsia="黑体"/>
      <w:b/>
      <w:bCs/>
      <w:kern w:val="2"/>
      <w:sz w:val="28"/>
      <w:szCs w:val="28"/>
    </w:rPr>
  </w:style>
  <w:style w:type="character" w:customStyle="1" w:styleId="57">
    <w:name w:val="标题 5 字符"/>
    <w:link w:val="6"/>
    <w:semiHidden/>
    <w:qFormat/>
    <w:uiPriority w:val="9"/>
    <w:rPr>
      <w:rFonts w:eastAsia="宋体"/>
      <w:b/>
      <w:bCs/>
      <w:kern w:val="2"/>
      <w:sz w:val="28"/>
      <w:szCs w:val="28"/>
    </w:rPr>
  </w:style>
  <w:style w:type="character" w:customStyle="1" w:styleId="58">
    <w:name w:val="标题 6 字符"/>
    <w:link w:val="7"/>
    <w:qFormat/>
    <w:uiPriority w:val="0"/>
    <w:rPr>
      <w:rFonts w:ascii="Arial" w:hAnsi="Arial" w:eastAsia="黑体"/>
      <w:b/>
      <w:bCs/>
      <w:sz w:val="24"/>
    </w:rPr>
  </w:style>
  <w:style w:type="character" w:customStyle="1" w:styleId="59">
    <w:name w:val="标题 7 字符"/>
    <w:link w:val="8"/>
    <w:qFormat/>
    <w:uiPriority w:val="0"/>
    <w:rPr>
      <w:rFonts w:eastAsia="宋体"/>
      <w:b/>
      <w:bCs/>
      <w:sz w:val="24"/>
    </w:rPr>
  </w:style>
  <w:style w:type="character" w:customStyle="1" w:styleId="60">
    <w:name w:val="标题 8 字符"/>
    <w:link w:val="9"/>
    <w:qFormat/>
    <w:uiPriority w:val="0"/>
    <w:rPr>
      <w:rFonts w:ascii="Arial" w:hAnsi="Arial" w:eastAsia="黑体"/>
      <w:sz w:val="24"/>
    </w:rPr>
  </w:style>
  <w:style w:type="character" w:customStyle="1" w:styleId="61">
    <w:name w:val="标题 9 字符"/>
    <w:link w:val="10"/>
    <w:qFormat/>
    <w:uiPriority w:val="0"/>
    <w:rPr>
      <w:rFonts w:ascii="Arial" w:hAnsi="Arial" w:eastAsia="黑体"/>
      <w:sz w:val="21"/>
      <w:szCs w:val="21"/>
    </w:rPr>
  </w:style>
  <w:style w:type="character" w:customStyle="1" w:styleId="62">
    <w:name w:val="文档结构图 字符"/>
    <w:link w:val="13"/>
    <w:qFormat/>
    <w:uiPriority w:val="0"/>
    <w:rPr>
      <w:rFonts w:ascii="宋体" w:hAnsi="Calibri" w:eastAsia="宋体" w:cs="宋体"/>
      <w:kern w:val="2"/>
      <w:sz w:val="18"/>
      <w:szCs w:val="18"/>
    </w:rPr>
  </w:style>
  <w:style w:type="character" w:customStyle="1" w:styleId="63">
    <w:name w:val="批注文字 字符"/>
    <w:link w:val="14"/>
    <w:qFormat/>
    <w:uiPriority w:val="0"/>
    <w:rPr>
      <w:rFonts w:eastAsia="宋体"/>
      <w:kern w:val="2"/>
      <w:sz w:val="21"/>
    </w:rPr>
  </w:style>
  <w:style w:type="character" w:customStyle="1" w:styleId="64">
    <w:name w:val="正文文本 3 字符"/>
    <w:link w:val="15"/>
    <w:qFormat/>
    <w:uiPriority w:val="0"/>
    <w:rPr>
      <w:rFonts w:ascii="宋体" w:hAnsi="Calibri" w:eastAsia="宋体"/>
      <w:kern w:val="2"/>
      <w:sz w:val="24"/>
    </w:rPr>
  </w:style>
  <w:style w:type="character" w:customStyle="1" w:styleId="65">
    <w:name w:val="正文文本 字符"/>
    <w:link w:val="16"/>
    <w:qFormat/>
    <w:uiPriority w:val="0"/>
    <w:rPr>
      <w:rFonts w:eastAsia="宋体"/>
      <w:kern w:val="2"/>
      <w:sz w:val="21"/>
    </w:rPr>
  </w:style>
  <w:style w:type="character" w:customStyle="1" w:styleId="66">
    <w:name w:val="正文文本缩进 字符"/>
    <w:link w:val="17"/>
    <w:qFormat/>
    <w:uiPriority w:val="0"/>
    <w:rPr>
      <w:rFonts w:eastAsia="宋体"/>
      <w:kern w:val="2"/>
      <w:sz w:val="21"/>
    </w:rPr>
  </w:style>
  <w:style w:type="character" w:customStyle="1" w:styleId="67">
    <w:name w:val="纯文本 字符"/>
    <w:link w:val="21"/>
    <w:qFormat/>
    <w:locked/>
    <w:uiPriority w:val="0"/>
    <w:rPr>
      <w:rFonts w:ascii="宋体" w:hAnsi="Calibri" w:eastAsia="宋体"/>
      <w:kern w:val="2"/>
      <w:sz w:val="21"/>
      <w:szCs w:val="22"/>
    </w:rPr>
  </w:style>
  <w:style w:type="character" w:customStyle="1" w:styleId="68">
    <w:name w:val="日期 字符"/>
    <w:link w:val="23"/>
    <w:qFormat/>
    <w:uiPriority w:val="0"/>
    <w:rPr>
      <w:rFonts w:eastAsia="宋体"/>
      <w:kern w:val="2"/>
      <w:sz w:val="21"/>
    </w:rPr>
  </w:style>
  <w:style w:type="character" w:customStyle="1" w:styleId="69">
    <w:name w:val="尾注文本 字符"/>
    <w:link w:val="24"/>
    <w:semiHidden/>
    <w:qFormat/>
    <w:uiPriority w:val="0"/>
    <w:rPr>
      <w:rFonts w:ascii="Calibri" w:hAnsi="Calibri" w:eastAsia="宋体"/>
      <w:kern w:val="2"/>
      <w:sz w:val="21"/>
      <w:szCs w:val="22"/>
    </w:rPr>
  </w:style>
  <w:style w:type="character" w:customStyle="1" w:styleId="70">
    <w:name w:val="批注框文本 字符"/>
    <w:link w:val="25"/>
    <w:qFormat/>
    <w:uiPriority w:val="0"/>
    <w:rPr>
      <w:rFonts w:eastAsia="宋体"/>
      <w:kern w:val="2"/>
      <w:sz w:val="18"/>
    </w:rPr>
  </w:style>
  <w:style w:type="character" w:customStyle="1" w:styleId="71">
    <w:name w:val="页脚 字符"/>
    <w:link w:val="26"/>
    <w:qFormat/>
    <w:uiPriority w:val="99"/>
    <w:rPr>
      <w:rFonts w:ascii="Calibri" w:hAnsi="Calibri" w:eastAsia="宋体"/>
      <w:kern w:val="2"/>
      <w:sz w:val="18"/>
      <w:szCs w:val="22"/>
    </w:rPr>
  </w:style>
  <w:style w:type="character" w:customStyle="1" w:styleId="72">
    <w:name w:val="页眉 字符"/>
    <w:link w:val="27"/>
    <w:qFormat/>
    <w:uiPriority w:val="0"/>
    <w:rPr>
      <w:rFonts w:eastAsia="宋体"/>
      <w:kern w:val="2"/>
      <w:sz w:val="18"/>
    </w:rPr>
  </w:style>
  <w:style w:type="character" w:customStyle="1" w:styleId="73">
    <w:name w:val="脚注文本 字符1"/>
    <w:link w:val="32"/>
    <w:qFormat/>
    <w:uiPriority w:val="0"/>
    <w:rPr>
      <w:rFonts w:eastAsia="宋体"/>
      <w:kern w:val="2"/>
      <w:sz w:val="18"/>
      <w:szCs w:val="18"/>
    </w:rPr>
  </w:style>
  <w:style w:type="character" w:customStyle="1" w:styleId="74">
    <w:name w:val="正文文本缩进 3 字符"/>
    <w:link w:val="34"/>
    <w:qFormat/>
    <w:uiPriority w:val="0"/>
    <w:rPr>
      <w:rFonts w:ascii="Calibri" w:hAnsi="Calibri" w:eastAsia="宋体"/>
      <w:kern w:val="2"/>
      <w:sz w:val="16"/>
      <w:szCs w:val="16"/>
    </w:rPr>
  </w:style>
  <w:style w:type="character" w:customStyle="1" w:styleId="75">
    <w:name w:val="标题 字符"/>
    <w:link w:val="39"/>
    <w:qFormat/>
    <w:uiPriority w:val="0"/>
    <w:rPr>
      <w:rFonts w:ascii="Arial" w:hAnsi="Arial" w:eastAsia="宋体"/>
      <w:b/>
      <w:sz w:val="32"/>
    </w:rPr>
  </w:style>
  <w:style w:type="character" w:customStyle="1" w:styleId="76">
    <w:name w:val="批注主题 字符"/>
    <w:link w:val="40"/>
    <w:qFormat/>
    <w:uiPriority w:val="0"/>
    <w:rPr>
      <w:rFonts w:eastAsia="宋体"/>
      <w:kern w:val="2"/>
      <w:sz w:val="21"/>
    </w:rPr>
  </w:style>
  <w:style w:type="character" w:customStyle="1" w:styleId="77">
    <w:name w:val="正文首行缩进 字符"/>
    <w:link w:val="41"/>
    <w:qFormat/>
    <w:uiPriority w:val="0"/>
    <w:rPr>
      <w:rFonts w:eastAsia="宋体"/>
      <w:kern w:val="2"/>
      <w:sz w:val="21"/>
      <w:szCs w:val="24"/>
      <w:lang w:val="en-US" w:eastAsia="zh-CN" w:bidi="ar-SA"/>
    </w:rPr>
  </w:style>
  <w:style w:type="character" w:customStyle="1" w:styleId="78">
    <w:name w:val="脚注文本 字符"/>
    <w:semiHidden/>
    <w:qFormat/>
    <w:uiPriority w:val="0"/>
    <w:rPr>
      <w:rFonts w:ascii="Calibri" w:hAnsi="Calibri" w:eastAsia="宋体"/>
      <w:kern w:val="2"/>
      <w:sz w:val="18"/>
      <w:szCs w:val="18"/>
    </w:rPr>
  </w:style>
  <w:style w:type="character" w:customStyle="1" w:styleId="79">
    <w:name w:val="style_kwd"/>
    <w:qFormat/>
    <w:uiPriority w:val="0"/>
  </w:style>
  <w:style w:type="character" w:customStyle="1" w:styleId="80">
    <w:name w:val="批注文字 Char1"/>
    <w:qFormat/>
    <w:uiPriority w:val="0"/>
    <w:rPr>
      <w:rFonts w:ascii="Times New Roman" w:hAnsi="Times New Roman" w:eastAsia="宋体" w:cs="Times New Roman"/>
      <w:sz w:val="20"/>
      <w:szCs w:val="20"/>
      <w:lang w:bidi="ar-SA"/>
    </w:rPr>
  </w:style>
  <w:style w:type="character" w:customStyle="1" w:styleId="81">
    <w:name w:val="批注文字 Char"/>
    <w:qFormat/>
    <w:uiPriority w:val="0"/>
    <w:rPr>
      <w:sz w:val="24"/>
    </w:rPr>
  </w:style>
  <w:style w:type="character" w:customStyle="1" w:styleId="82">
    <w:name w:val="font161"/>
    <w:qFormat/>
    <w:uiPriority w:val="0"/>
    <w:rPr>
      <w:b/>
      <w:bCs/>
      <w:sz w:val="32"/>
      <w:szCs w:val="32"/>
    </w:rPr>
  </w:style>
  <w:style w:type="character" w:customStyle="1" w:styleId="83">
    <w:name w:val="Comment Text Char"/>
    <w:qFormat/>
    <w:uiPriority w:val="0"/>
  </w:style>
  <w:style w:type="character" w:customStyle="1" w:styleId="84">
    <w:name w:val="正文文本 Char"/>
    <w:qFormat/>
    <w:uiPriority w:val="0"/>
    <w:rPr>
      <w:rFonts w:eastAsia="宋体"/>
      <w:kern w:val="2"/>
      <w:sz w:val="21"/>
      <w:szCs w:val="24"/>
      <w:lang w:val="en-US" w:eastAsia="zh-CN" w:bidi="ar-SA"/>
    </w:rPr>
  </w:style>
  <w:style w:type="character" w:customStyle="1" w:styleId="85">
    <w:name w:val="正文首行缩进 Char1"/>
    <w:qFormat/>
    <w:uiPriority w:val="99"/>
    <w:rPr>
      <w:rFonts w:eastAsia="宋体"/>
      <w:kern w:val="2"/>
      <w:sz w:val="21"/>
    </w:rPr>
  </w:style>
  <w:style w:type="character" w:customStyle="1" w:styleId="8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7">
    <w:name w:val="脚注文本 Char"/>
    <w:qFormat/>
    <w:uiPriority w:val="0"/>
    <w:rPr>
      <w:kern w:val="2"/>
      <w:sz w:val="18"/>
      <w:szCs w:val="18"/>
    </w:rPr>
  </w:style>
  <w:style w:type="character" w:customStyle="1" w:styleId="88">
    <w:name w:val="标题 2 Char_0"/>
    <w:link w:val="89"/>
    <w:qFormat/>
    <w:uiPriority w:val="0"/>
    <w:rPr>
      <w:rFonts w:ascii="黑体" w:hAnsi="宋体" w:eastAsia="黑体"/>
      <w:b/>
      <w:smallCaps/>
      <w:snapToGrid w:val="0"/>
      <w:sz w:val="36"/>
      <w:szCs w:val="24"/>
    </w:rPr>
  </w:style>
  <w:style w:type="paragraph" w:customStyle="1" w:styleId="89">
    <w:name w:val="标题 2_0"/>
    <w:basedOn w:val="1"/>
    <w:next w:val="90"/>
    <w:link w:val="88"/>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修订1"/>
    <w:qFormat/>
    <w:uiPriority w:val="0"/>
    <w:rPr>
      <w:rFonts w:ascii="Times New Roman" w:hAnsi="Times New Roman" w:eastAsia="宋体" w:cs="Times New Roman"/>
      <w:kern w:val="2"/>
      <w:sz w:val="21"/>
      <w:szCs w:val="24"/>
      <w:lang w:val="en-US" w:eastAsia="zh-CN" w:bidi="ar-SA"/>
    </w:rPr>
  </w:style>
  <w:style w:type="paragraph" w:customStyle="1" w:styleId="93">
    <w:name w:val="_Style 92"/>
    <w:qFormat/>
    <w:uiPriority w:val="0"/>
    <w:rPr>
      <w:rFonts w:ascii="Times New Roman" w:hAnsi="Times New Roman" w:eastAsia="宋体" w:cs="Times New Roman"/>
      <w:kern w:val="2"/>
      <w:sz w:val="21"/>
      <w:lang w:val="en-US" w:eastAsia="zh-CN" w:bidi="ar-SA"/>
    </w:rPr>
  </w:style>
  <w:style w:type="paragraph" w:customStyle="1" w:styleId="9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96">
    <w:name w:val="1"/>
    <w:basedOn w:val="1"/>
    <w:qFormat/>
    <w:uiPriority w:val="0"/>
    <w:rPr>
      <w:rFonts w:ascii="Times New Roman" w:hAnsi="Times New Roman"/>
      <w:szCs w:val="20"/>
    </w:rPr>
  </w:style>
  <w:style w:type="paragraph" w:customStyle="1" w:styleId="97">
    <w:name w:val="我的正文"/>
    <w:basedOn w:val="1"/>
    <w:qFormat/>
    <w:uiPriority w:val="0"/>
    <w:rPr>
      <w:rFonts w:ascii="宋体" w:hAnsi="宋体"/>
      <w:sz w:val="24"/>
      <w:szCs w:val="24"/>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_Style 23"/>
    <w:basedOn w:val="1"/>
    <w:qFormat/>
    <w:uiPriority w:val="0"/>
    <w:pPr>
      <w:widowControl/>
      <w:spacing w:after="160" w:line="240" w:lineRule="exact"/>
      <w:jc w:val="left"/>
    </w:p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样式1"/>
    <w:basedOn w:val="1"/>
    <w:next w:val="5"/>
    <w:qFormat/>
    <w:uiPriority w:val="0"/>
    <w:pPr>
      <w:spacing w:line="360" w:lineRule="auto"/>
      <w:ind w:firstLine="420" w:firstLineChars="200"/>
    </w:pPr>
    <w:rPr>
      <w:rFonts w:ascii="宋体" w:hAnsi="宋体"/>
      <w:szCs w:val="21"/>
    </w:rPr>
  </w:style>
  <w:style w:type="paragraph" w:customStyle="1" w:styleId="10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03">
    <w:name w:val="_Style 102"/>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5">
    <w:name w:val="List Paragraph"/>
    <w:basedOn w:val="1"/>
    <w:qFormat/>
    <w:uiPriority w:val="0"/>
    <w:pPr>
      <w:ind w:firstLine="420" w:firstLineChars="200"/>
    </w:pPr>
  </w:style>
  <w:style w:type="paragraph" w:customStyle="1" w:styleId="106">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7">
    <w:name w:val="样式2"/>
    <w:basedOn w:val="4"/>
    <w:qFormat/>
    <w:uiPriority w:val="0"/>
    <w:pPr>
      <w:spacing w:line="415" w:lineRule="auto"/>
      <w:ind w:firstLine="137"/>
    </w:pPr>
    <w:rPr>
      <w:rFonts w:hAnsi="Times New Roman"/>
      <w:bCs/>
      <w:i/>
      <w:szCs w:val="28"/>
    </w:rPr>
  </w:style>
  <w:style w:type="paragraph" w:customStyle="1" w:styleId="108">
    <w:name w:val="修订2"/>
    <w:qFormat/>
    <w:uiPriority w:val="0"/>
    <w:rPr>
      <w:rFonts w:ascii="Times New Roman" w:hAnsi="Times New Roman" w:eastAsia="宋体" w:cs="Times New Roman"/>
      <w:kern w:val="2"/>
      <w:sz w:val="21"/>
      <w:szCs w:val="24"/>
      <w:lang w:val="en-US" w:eastAsia="zh-CN" w:bidi="ar-SA"/>
    </w:rPr>
  </w:style>
  <w:style w:type="paragraph" w:customStyle="1" w:styleId="10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2">
    <w:name w:val="页眉 字符1"/>
    <w:semiHidden/>
    <w:qFormat/>
    <w:locked/>
    <w:uiPriority w:val="99"/>
    <w:rPr>
      <w:rFonts w:eastAsia="宋体" w:cs="Calibri"/>
      <w:kern w:val="2"/>
      <w:sz w:val="18"/>
    </w:rPr>
  </w:style>
  <w:style w:type="paragraph" w:customStyle="1" w:styleId="113">
    <w:name w:val="Table Text"/>
    <w:basedOn w:val="1"/>
    <w:semiHidden/>
    <w:qFormat/>
    <w:uiPriority w:val="0"/>
    <w:rPr>
      <w:rFonts w:ascii="仿宋" w:hAnsi="仿宋" w:eastAsia="仿宋" w:cs="仿宋"/>
      <w:sz w:val="24"/>
      <w:szCs w:val="24"/>
      <w:lang w:val="en-US" w:eastAsia="en-US" w:bidi="ar-SA"/>
    </w:rPr>
  </w:style>
  <w:style w:type="table" w:customStyle="1" w:styleId="114">
    <w:name w:val="Table Normal"/>
    <w:unhideWhenUsed/>
    <w:qFormat/>
    <w:uiPriority w:val="0"/>
    <w:tblPr>
      <w:tblCellMar>
        <w:top w:w="0" w:type="dxa"/>
        <w:left w:w="0" w:type="dxa"/>
        <w:bottom w:w="0" w:type="dxa"/>
        <w:right w:w="0" w:type="dxa"/>
      </w:tblCellMar>
    </w:tblPr>
  </w:style>
  <w:style w:type="paragraph" w:customStyle="1" w:styleId="115">
    <w:name w:val="列出段落2"/>
    <w:basedOn w:val="1"/>
    <w:qFormat/>
    <w:uiPriority w:val="99"/>
    <w:pPr>
      <w:ind w:firstLine="420" w:firstLineChars="200"/>
    </w:pPr>
  </w:style>
  <w:style w:type="paragraph" w:customStyle="1" w:styleId="116">
    <w:name w:val="T1"/>
    <w:basedOn w:val="1"/>
    <w:qFormat/>
    <w:uiPriority w:val="0"/>
    <w:pPr>
      <w:keepLines/>
      <w:widowControl/>
      <w:tabs>
        <w:tab w:val="left" w:pos="425"/>
        <w:tab w:val="left" w:pos="851"/>
        <w:tab w:val="left" w:pos="1276"/>
        <w:tab w:val="left" w:pos="1701"/>
        <w:tab w:val="left" w:pos="2126"/>
        <w:tab w:val="left" w:pos="2552"/>
        <w:tab w:val="left" w:pos="2977"/>
      </w:tabs>
      <w:spacing w:after="120" w:line="300" w:lineRule="auto"/>
    </w:pPr>
    <w:rPr>
      <w:rFonts w:ascii="Microsoft Sans Serif" w:hAnsi="Microsoft Sans Serif"/>
      <w:kern w:val="0"/>
      <w:sz w:val="24"/>
      <w:szCs w:val="20"/>
      <w:lang w:eastAsia="en-US"/>
    </w:rPr>
  </w:style>
  <w:style w:type="paragraph" w:customStyle="1" w:styleId="117">
    <w:name w:val="WPSOffice手动目录 1"/>
    <w:qFormat/>
    <w:uiPriority w:val="0"/>
    <w:pPr>
      <w:ind w:leftChars="0"/>
    </w:pPr>
    <w:rPr>
      <w:rFonts w:ascii="Times New Roman" w:hAnsi="Times New Roman" w:eastAsia="宋体" w:cs="Times New Roman"/>
      <w:sz w:val="20"/>
      <w:szCs w:val="20"/>
    </w:rPr>
  </w:style>
  <w:style w:type="paragraph" w:customStyle="1" w:styleId="1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25923</Words>
  <Characters>27565</Characters>
  <Lines>306</Lines>
  <Paragraphs>86</Paragraphs>
  <TotalTime>4</TotalTime>
  <ScaleCrop>false</ScaleCrop>
  <LinksUpToDate>false</LinksUpToDate>
  <CharactersWithSpaces>30925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2020-06-11T14:33:00Z</dcterms:created>
  <dc:creator>袁静</dc:creator>
  <cp:lastModifiedBy>孙硕</cp:lastModifiedBy>
  <cp:lastPrinted>2024-05-27T02:06:00Z</cp:lastPrinted>
  <dcterms:modified xsi:type="dcterms:W3CDTF">2025-01-13T01:01:00Z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6A4BC3D40A4841BFA32BDBE825A62432_13</vt:lpwstr>
  </property>
</Properties>
</file>