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F6DA5">
      <w:pPr>
        <w:rPr>
          <w:rFonts w:hint="eastAsia"/>
          <w:highlight w:val="none"/>
          <w:lang w:val="en-US" w:eastAsia="zh-CN"/>
        </w:rPr>
      </w:pPr>
    </w:p>
    <w:p w14:paraId="20FCEC5A">
      <w:pPr>
        <w:spacing w:before="343" w:line="210" w:lineRule="auto"/>
        <w:ind w:right="366"/>
        <w:jc w:val="center"/>
        <w:outlineLvl w:val="0"/>
        <w:rPr>
          <w:rFonts w:ascii="宋体" w:hAnsi="宋体" w:eastAsia="宋体" w:cs="宋体"/>
          <w:b/>
          <w:bCs/>
          <w:sz w:val="28"/>
          <w:szCs w:val="28"/>
          <w:highlight w:val="none"/>
        </w:rPr>
      </w:pPr>
      <w:r>
        <w:rPr>
          <w:rFonts w:hint="eastAsia" w:ascii="宋体" w:hAnsi="宋体" w:eastAsia="宋体" w:cs="宋体"/>
          <w:b/>
          <w:bCs/>
          <w:spacing w:val="6"/>
          <w:sz w:val="28"/>
          <w:szCs w:val="28"/>
          <w:highlight w:val="none"/>
          <w:lang w:eastAsia="zh-CN"/>
        </w:rPr>
        <w:t>合肥野生动物园</w:t>
      </w:r>
      <w:r>
        <w:rPr>
          <w:rFonts w:hint="eastAsia" w:ascii="宋体" w:hAnsi="宋体" w:eastAsia="宋体" w:cs="宋体"/>
          <w:b/>
          <w:bCs/>
          <w:spacing w:val="6"/>
          <w:sz w:val="28"/>
          <w:szCs w:val="28"/>
          <w:highlight w:val="none"/>
          <w:lang w:val="en-US" w:eastAsia="zh-CN"/>
        </w:rPr>
        <w:t>日本猴园便利店项目</w:t>
      </w:r>
      <w:r>
        <w:rPr>
          <w:rFonts w:hint="eastAsia" w:ascii="宋体" w:hAnsi="宋体" w:eastAsia="宋体" w:cs="宋体"/>
          <w:b/>
          <w:bCs/>
          <w:spacing w:val="3"/>
          <w:sz w:val="28"/>
          <w:szCs w:val="28"/>
          <w:highlight w:val="none"/>
          <w:lang w:eastAsia="zh-CN"/>
        </w:rPr>
        <w:t>招商</w:t>
      </w:r>
      <w:r>
        <w:rPr>
          <w:rFonts w:ascii="宋体" w:hAnsi="宋体" w:eastAsia="宋体" w:cs="宋体"/>
          <w:b/>
          <w:bCs/>
          <w:spacing w:val="3"/>
          <w:sz w:val="28"/>
          <w:szCs w:val="28"/>
          <w:highlight w:val="none"/>
        </w:rPr>
        <w:t>公告</w:t>
      </w:r>
    </w:p>
    <w:tbl>
      <w:tblPr>
        <w:tblStyle w:val="13"/>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1"/>
        <w:gridCol w:w="266"/>
        <w:gridCol w:w="1656"/>
        <w:gridCol w:w="2145"/>
        <w:gridCol w:w="1342"/>
        <w:gridCol w:w="1792"/>
        <w:gridCol w:w="1450"/>
      </w:tblGrid>
      <w:tr w14:paraId="08ACC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1" w:type="dxa"/>
            <w:noWrap w:val="0"/>
            <w:vAlign w:val="center"/>
          </w:tcPr>
          <w:p w14:paraId="5BB4538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项目名称</w:t>
            </w:r>
          </w:p>
        </w:tc>
        <w:tc>
          <w:tcPr>
            <w:tcW w:w="8651" w:type="dxa"/>
            <w:gridSpan w:val="6"/>
            <w:noWrap w:val="0"/>
            <w:vAlign w:val="center"/>
          </w:tcPr>
          <w:p w14:paraId="02E9420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eastAsia="宋体"/>
                <w:highlight w:val="none"/>
                <w:lang w:eastAsia="zh-CN"/>
              </w:rPr>
            </w:pPr>
            <w:r>
              <w:rPr>
                <w:rFonts w:hint="eastAsia"/>
                <w:spacing w:val="-2"/>
                <w:highlight w:val="none"/>
                <w:lang w:eastAsia="zh-CN"/>
              </w:rPr>
              <w:t>合肥野生动物园</w:t>
            </w:r>
            <w:r>
              <w:rPr>
                <w:rFonts w:hint="eastAsia"/>
                <w:spacing w:val="-2"/>
                <w:highlight w:val="none"/>
                <w:lang w:val="en-US" w:eastAsia="zh-CN"/>
              </w:rPr>
              <w:t>日本猴园便利店</w:t>
            </w:r>
          </w:p>
        </w:tc>
      </w:tr>
      <w:tr w14:paraId="36AE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1" w:type="dxa"/>
            <w:noWrap w:val="0"/>
            <w:vAlign w:val="center"/>
          </w:tcPr>
          <w:p w14:paraId="6A2E83F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项目编号</w:t>
            </w:r>
          </w:p>
        </w:tc>
        <w:tc>
          <w:tcPr>
            <w:tcW w:w="8651" w:type="dxa"/>
            <w:gridSpan w:val="6"/>
            <w:noWrap w:val="0"/>
            <w:vAlign w:val="center"/>
          </w:tcPr>
          <w:p w14:paraId="5F5A9FF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lang w:val="en-US" w:eastAsia="zh-CN"/>
              </w:rPr>
              <w:t>DWYSG010</w:t>
            </w:r>
          </w:p>
        </w:tc>
      </w:tr>
      <w:tr w14:paraId="786B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1" w:type="dxa"/>
            <w:noWrap w:val="0"/>
            <w:vAlign w:val="center"/>
          </w:tcPr>
          <w:p w14:paraId="2370D7D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eastAsia="宋体"/>
                <w:highlight w:val="none"/>
                <w:lang w:eastAsia="zh-CN"/>
              </w:rPr>
            </w:pPr>
            <w:r>
              <w:rPr>
                <w:rFonts w:hint="eastAsia"/>
                <w:spacing w:val="-3"/>
                <w:highlight w:val="none"/>
                <w:lang w:eastAsia="zh-CN"/>
              </w:rPr>
              <w:t>招商方</w:t>
            </w:r>
          </w:p>
        </w:tc>
        <w:tc>
          <w:tcPr>
            <w:tcW w:w="8651" w:type="dxa"/>
            <w:gridSpan w:val="6"/>
            <w:noWrap w:val="0"/>
            <w:vAlign w:val="center"/>
          </w:tcPr>
          <w:p w14:paraId="3928A3B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lang w:val="en-US" w:eastAsia="zh-CN"/>
              </w:rPr>
              <w:t>合肥文旅博览集团野生动物园管理有限公司</w:t>
            </w:r>
          </w:p>
        </w:tc>
      </w:tr>
      <w:tr w14:paraId="4BAD3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1" w:type="dxa"/>
            <w:noWrap w:val="0"/>
            <w:vAlign w:val="center"/>
          </w:tcPr>
          <w:p w14:paraId="458BB31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2"/>
                <w:highlight w:val="none"/>
                <w:lang w:eastAsia="zh-CN"/>
              </w:rPr>
              <w:t>招商方</w:t>
            </w:r>
            <w:r>
              <w:rPr>
                <w:spacing w:val="-2"/>
                <w:highlight w:val="none"/>
              </w:rPr>
              <w:t>承诺</w:t>
            </w:r>
          </w:p>
        </w:tc>
        <w:tc>
          <w:tcPr>
            <w:tcW w:w="8651" w:type="dxa"/>
            <w:gridSpan w:val="6"/>
            <w:noWrap w:val="0"/>
            <w:vAlign w:val="center"/>
          </w:tcPr>
          <w:p w14:paraId="1598E7AA">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spacing w:val="-3"/>
                <w:highlight w:val="none"/>
                <w:lang w:eastAsia="zh-CN"/>
              </w:rPr>
              <w:t>招商方</w:t>
            </w:r>
            <w:r>
              <w:rPr>
                <w:spacing w:val="-3"/>
                <w:highlight w:val="none"/>
              </w:rPr>
              <w:t>承诺本次</w:t>
            </w:r>
            <w:r>
              <w:rPr>
                <w:rFonts w:hint="eastAsia"/>
                <w:spacing w:val="-3"/>
                <w:highlight w:val="none"/>
                <w:lang w:eastAsia="zh-CN"/>
              </w:rPr>
              <w:t>招商</w:t>
            </w:r>
            <w:r>
              <w:rPr>
                <w:spacing w:val="-3"/>
                <w:highlight w:val="none"/>
              </w:rPr>
              <w:t>行为已履行了必要的审批程序，保证本公告的内容不存在任</w:t>
            </w:r>
            <w:r>
              <w:rPr>
                <w:spacing w:val="-7"/>
                <w:highlight w:val="none"/>
              </w:rPr>
              <w:t>何重大遗漏、虚假陈述或严重误导，并对其内容的真实性、完整性和准确性负责。</w:t>
            </w:r>
          </w:p>
        </w:tc>
      </w:tr>
      <w:tr w14:paraId="5AA1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1" w:type="dxa"/>
            <w:noWrap w:val="0"/>
            <w:vAlign w:val="center"/>
          </w:tcPr>
          <w:p w14:paraId="444CC20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3"/>
                <w:position w:val="11"/>
                <w:highlight w:val="none"/>
              </w:rPr>
              <w:t>交易监督部</w:t>
            </w:r>
          </w:p>
          <w:p w14:paraId="373C1489">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highlight w:val="none"/>
              </w:rPr>
              <w:t>门</w:t>
            </w:r>
          </w:p>
        </w:tc>
        <w:tc>
          <w:tcPr>
            <w:tcW w:w="8651" w:type="dxa"/>
            <w:gridSpan w:val="6"/>
            <w:noWrap w:val="0"/>
            <w:vAlign w:val="center"/>
          </w:tcPr>
          <w:p w14:paraId="01268223">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spacing w:val="-1"/>
                <w:position w:val="11"/>
                <w:highlight w:val="none"/>
                <w:lang w:eastAsia="zh-CN"/>
              </w:rPr>
            </w:pPr>
            <w:r>
              <w:rPr>
                <w:rFonts w:hint="eastAsia"/>
                <w:spacing w:val="-1"/>
                <w:position w:val="11"/>
                <w:highlight w:val="none"/>
                <w:lang w:eastAsia="zh-CN"/>
              </w:rPr>
              <w:t>合肥文旅博览集团野生动物园管理有限公司党群工作部</w:t>
            </w:r>
          </w:p>
          <w:p w14:paraId="6F52453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spacing w:val="-1"/>
                <w:highlight w:val="none"/>
              </w:rPr>
              <w:t>联系方式：</w:t>
            </w:r>
            <w:r>
              <w:rPr>
                <w:rFonts w:hint="eastAsia" w:hAnsi="宋体"/>
                <w:szCs w:val="24"/>
                <w:highlight w:val="none"/>
              </w:rPr>
              <w:t>0551-6</w:t>
            </w:r>
            <w:r>
              <w:rPr>
                <w:rFonts w:hint="eastAsia" w:hAnsi="宋体"/>
                <w:szCs w:val="24"/>
                <w:highlight w:val="none"/>
                <w:lang w:val="en-US" w:eastAsia="zh-CN"/>
              </w:rPr>
              <w:t>5393102</w:t>
            </w:r>
          </w:p>
        </w:tc>
      </w:tr>
      <w:tr w14:paraId="38738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411" w:type="dxa"/>
            <w:noWrap w:val="0"/>
            <w:vAlign w:val="center"/>
          </w:tcPr>
          <w:p w14:paraId="6A4834A9">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spacing w:val="-6"/>
                <w:highlight w:val="none"/>
                <w:lang w:eastAsia="zh-CN"/>
              </w:rPr>
            </w:pPr>
            <w:r>
              <w:rPr>
                <w:rFonts w:hint="eastAsia" w:ascii="宋体" w:hAnsi="宋体" w:eastAsia="宋体" w:cs="宋体"/>
                <w:color w:val="000000"/>
                <w:sz w:val="24"/>
                <w:szCs w:val="24"/>
                <w:highlight w:val="none"/>
              </w:rPr>
              <w:t>公告、</w:t>
            </w:r>
            <w:r>
              <w:rPr>
                <w:rFonts w:hint="eastAsia" w:ascii="宋体" w:hAnsi="宋体" w:eastAsia="宋体" w:cs="宋体"/>
                <w:color w:val="000000"/>
                <w:sz w:val="24"/>
                <w:szCs w:val="24"/>
                <w:highlight w:val="none"/>
                <w:lang w:val="en-US" w:eastAsia="zh-CN"/>
              </w:rPr>
              <w:t>开标期</w:t>
            </w:r>
            <w:r>
              <w:rPr>
                <w:rFonts w:hint="eastAsia" w:ascii="宋体" w:hAnsi="宋体" w:eastAsia="宋体" w:cs="宋体"/>
                <w:color w:val="000000"/>
                <w:sz w:val="24"/>
                <w:szCs w:val="24"/>
                <w:highlight w:val="none"/>
              </w:rPr>
              <w:t>限</w:t>
            </w:r>
          </w:p>
        </w:tc>
        <w:tc>
          <w:tcPr>
            <w:tcW w:w="8651" w:type="dxa"/>
            <w:gridSpan w:val="6"/>
            <w:noWrap w:val="0"/>
            <w:vAlign w:val="center"/>
          </w:tcPr>
          <w:p w14:paraId="1A2F18B2">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cs="宋体"/>
                <w:color w:val="000000"/>
                <w:sz w:val="24"/>
                <w:szCs w:val="24"/>
                <w:highlight w:val="none"/>
                <w:lang w:val="en-US" w:eastAsia="zh-CN"/>
              </w:rPr>
            </w:pPr>
            <w:r>
              <w:rPr>
                <w:rFonts w:hint="eastAsia" w:cs="宋体"/>
                <w:b/>
                <w:bCs/>
                <w:color w:val="000000"/>
                <w:sz w:val="24"/>
                <w:szCs w:val="24"/>
                <w:highlight w:val="none"/>
                <w:lang w:eastAsia="zh-CN"/>
              </w:rPr>
              <w:t>公告</w:t>
            </w:r>
            <w:r>
              <w:rPr>
                <w:rFonts w:hint="eastAsia" w:ascii="宋体" w:hAnsi="宋体" w:eastAsia="宋体" w:cs="宋体"/>
                <w:b/>
                <w:bCs/>
                <w:color w:val="000000"/>
                <w:sz w:val="24"/>
                <w:szCs w:val="24"/>
                <w:highlight w:val="none"/>
              </w:rPr>
              <w:t>期</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2025年1月24</w:t>
            </w:r>
            <w:r>
              <w:rPr>
                <w:rFonts w:hint="eastAsia" w:cs="宋体"/>
                <w:color w:val="000000"/>
                <w:sz w:val="24"/>
                <w:szCs w:val="24"/>
                <w:highlight w:val="none"/>
                <w:lang w:val="en-US" w:eastAsia="zh-CN"/>
              </w:rPr>
              <w:t>日至2025年2月8</w:t>
            </w:r>
            <w:r>
              <w:rPr>
                <w:rFonts w:hint="eastAsia" w:cs="宋体"/>
                <w:color w:val="000000"/>
                <w:sz w:val="24"/>
                <w:szCs w:val="24"/>
                <w:highlight w:val="none"/>
                <w:lang w:val="en-US" w:eastAsia="zh-CN"/>
              </w:rPr>
              <w:t>日</w:t>
            </w:r>
          </w:p>
          <w:p w14:paraId="4C1C5376">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开标日期</w:t>
            </w:r>
            <w:r>
              <w:rPr>
                <w:rFonts w:hint="eastAsia" w:ascii="宋体" w:hAnsi="宋体" w:eastAsia="宋体" w:cs="宋体"/>
                <w:b/>
                <w:bCs/>
                <w:color w:val="000000"/>
                <w:sz w:val="24"/>
                <w:szCs w:val="24"/>
                <w:highlight w:val="none"/>
              </w:rPr>
              <w:t>：</w:t>
            </w:r>
            <w:r>
              <w:rPr>
                <w:rFonts w:hint="eastAsia" w:cs="宋体"/>
                <w:color w:val="000000"/>
                <w:sz w:val="24"/>
                <w:szCs w:val="24"/>
                <w:highlight w:val="none"/>
                <w:lang w:val="en-US" w:eastAsia="zh-CN"/>
              </w:rPr>
              <w:t>2025年2月10</w:t>
            </w:r>
            <w:r>
              <w:rPr>
                <w:rFonts w:hint="eastAsia" w:cs="宋体"/>
                <w:color w:val="000000"/>
                <w:sz w:val="24"/>
                <w:szCs w:val="24"/>
                <w:highlight w:val="none"/>
                <w:lang w:val="en-US" w:eastAsia="zh-CN"/>
              </w:rPr>
              <w:t>日下午15：00</w:t>
            </w:r>
          </w:p>
          <w:p w14:paraId="7AD178C5">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ascii="宋体" w:hAnsi="宋体" w:eastAsia="宋体" w:cs="宋体"/>
                <w:b/>
                <w:bCs/>
                <w:color w:val="000000"/>
                <w:sz w:val="24"/>
                <w:szCs w:val="24"/>
                <w:highlight w:val="none"/>
                <w:lang w:val="en-US" w:eastAsia="zh-CN"/>
              </w:rPr>
              <w:t>3.地址：</w:t>
            </w:r>
            <w:r>
              <w:rPr>
                <w:rFonts w:hint="eastAsia" w:cs="宋体"/>
                <w:color w:val="000000"/>
                <w:sz w:val="24"/>
                <w:szCs w:val="24"/>
                <w:highlight w:val="none"/>
                <w:lang w:val="en-US" w:eastAsia="zh-CN"/>
              </w:rPr>
              <w:t>合肥市高新区望江西路600号合肥野生动物园小会议室</w:t>
            </w:r>
            <w:r>
              <w:rPr>
                <w:rFonts w:hint="eastAsia" w:ascii="宋体" w:hAnsi="宋体" w:eastAsia="宋体" w:cs="宋体"/>
                <w:color w:val="000000"/>
                <w:sz w:val="24"/>
                <w:szCs w:val="24"/>
                <w:highlight w:val="none"/>
                <w:lang w:val="en-US" w:eastAsia="zh-CN"/>
              </w:rPr>
              <w:t>。</w:t>
            </w:r>
          </w:p>
        </w:tc>
      </w:tr>
      <w:tr w14:paraId="43BB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4724932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14:paraId="00190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14:paraId="2A1AF24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8"/>
                <w:highlight w:val="none"/>
                <w:lang w:eastAsia="zh-CN"/>
              </w:rPr>
              <w:t>招商</w:t>
            </w:r>
            <w:r>
              <w:rPr>
                <w:spacing w:val="-8"/>
                <w:highlight w:val="none"/>
              </w:rPr>
              <w:t>标的</w:t>
            </w:r>
          </w:p>
        </w:tc>
        <w:tc>
          <w:tcPr>
            <w:tcW w:w="1656" w:type="dxa"/>
            <w:noWrap w:val="0"/>
            <w:vAlign w:val="center"/>
          </w:tcPr>
          <w:p w14:paraId="4034C5C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highlight w:val="none"/>
              </w:rPr>
            </w:pPr>
            <w:r>
              <w:rPr>
                <w:spacing w:val="-5"/>
                <w:highlight w:val="none"/>
              </w:rPr>
              <w:t>面</w:t>
            </w:r>
            <w:r>
              <w:rPr>
                <w:spacing w:val="-8"/>
                <w:highlight w:val="none"/>
              </w:rPr>
              <w:t>积（㎡）</w:t>
            </w:r>
          </w:p>
        </w:tc>
        <w:tc>
          <w:tcPr>
            <w:tcW w:w="2145" w:type="dxa"/>
            <w:noWrap w:val="0"/>
            <w:vAlign w:val="center"/>
          </w:tcPr>
          <w:p w14:paraId="344B727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eastAsia"/>
                <w:highlight w:val="none"/>
                <w:lang w:val="en-US" w:eastAsia="zh-CN"/>
              </w:rPr>
            </w:pPr>
            <w:r>
              <w:rPr>
                <w:rFonts w:hint="eastAsia"/>
                <w:highlight w:val="none"/>
                <w:lang w:val="en-US" w:eastAsia="zh-CN"/>
              </w:rPr>
              <w:t>项目评估价</w:t>
            </w:r>
          </w:p>
          <w:p w14:paraId="4A375A5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highlight w:val="none"/>
              </w:rPr>
            </w:pPr>
            <w:r>
              <w:rPr>
                <w:spacing w:val="-7"/>
                <w:highlight w:val="none"/>
              </w:rPr>
              <w:t>（万元/年）</w:t>
            </w:r>
          </w:p>
        </w:tc>
        <w:tc>
          <w:tcPr>
            <w:tcW w:w="1342" w:type="dxa"/>
            <w:noWrap w:val="0"/>
            <w:vAlign w:val="center"/>
          </w:tcPr>
          <w:p w14:paraId="2EC7C3F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分成比例</w:t>
            </w:r>
          </w:p>
        </w:tc>
        <w:tc>
          <w:tcPr>
            <w:tcW w:w="1792" w:type="dxa"/>
            <w:noWrap w:val="0"/>
            <w:vAlign w:val="center"/>
          </w:tcPr>
          <w:p w14:paraId="08FBC77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spacing w:val="-6"/>
                <w:highlight w:val="none"/>
                <w:lang w:val="en-US" w:eastAsia="zh-CN"/>
              </w:rPr>
            </w:pPr>
            <w:r>
              <w:rPr>
                <w:rFonts w:hint="eastAsia"/>
                <w:spacing w:val="-6"/>
                <w:highlight w:val="none"/>
                <w:lang w:eastAsia="zh-CN"/>
              </w:rPr>
              <w:t>合作期限</w:t>
            </w:r>
            <w:r>
              <w:rPr>
                <w:highlight w:val="none"/>
              </w:rPr>
              <w:t xml:space="preserve"> </w:t>
            </w:r>
            <w:r>
              <w:rPr>
                <w:spacing w:val="-14"/>
                <w:highlight w:val="none"/>
              </w:rPr>
              <w:t>（年）</w:t>
            </w:r>
          </w:p>
        </w:tc>
        <w:tc>
          <w:tcPr>
            <w:tcW w:w="1450" w:type="dxa"/>
            <w:noWrap w:val="0"/>
            <w:vAlign w:val="center"/>
          </w:tcPr>
          <w:p w14:paraId="43AC63A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交易保证</w:t>
            </w:r>
            <w:r>
              <w:rPr>
                <w:spacing w:val="-7"/>
                <w:highlight w:val="none"/>
              </w:rPr>
              <w:t>金（万元）</w:t>
            </w:r>
          </w:p>
        </w:tc>
      </w:tr>
      <w:tr w14:paraId="24BDD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14:paraId="721341B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highlight w:val="none"/>
                <w:lang w:val="en-US" w:eastAsia="zh-CN"/>
              </w:rPr>
            </w:pPr>
            <w:r>
              <w:rPr>
                <w:rFonts w:hint="eastAsia"/>
                <w:highlight w:val="none"/>
                <w:lang w:val="en-US" w:eastAsia="zh-CN"/>
              </w:rPr>
              <w:t>合肥野生动物园</w:t>
            </w:r>
            <w:r>
              <w:rPr>
                <w:rFonts w:hint="eastAsia"/>
                <w:color w:val="auto"/>
                <w:highlight w:val="none"/>
                <w:lang w:val="en-US" w:eastAsia="zh-CN"/>
              </w:rPr>
              <w:t>日本猴园第三经营点位</w:t>
            </w:r>
          </w:p>
        </w:tc>
        <w:tc>
          <w:tcPr>
            <w:tcW w:w="1656" w:type="dxa"/>
            <w:noWrap w:val="0"/>
            <w:vAlign w:val="center"/>
          </w:tcPr>
          <w:p w14:paraId="57DE1F4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highlight w:val="none"/>
                <w:lang w:val="en-US" w:eastAsia="zh-CN"/>
              </w:rPr>
            </w:pPr>
            <w:r>
              <w:rPr>
                <w:rFonts w:hint="eastAsia"/>
                <w:highlight w:val="none"/>
                <w:lang w:val="en-US" w:eastAsia="zh-CN"/>
              </w:rPr>
              <w:t>37.15</w:t>
            </w:r>
          </w:p>
        </w:tc>
        <w:tc>
          <w:tcPr>
            <w:tcW w:w="2145" w:type="dxa"/>
            <w:noWrap w:val="0"/>
            <w:vAlign w:val="center"/>
          </w:tcPr>
          <w:p w14:paraId="384F5C5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highlight w:val="none"/>
                <w:lang w:val="en-US" w:eastAsia="zh-CN"/>
              </w:rPr>
            </w:pPr>
            <w:r>
              <w:rPr>
                <w:rFonts w:hint="eastAsia"/>
                <w:highlight w:val="none"/>
                <w:lang w:val="en-US" w:eastAsia="zh-CN"/>
              </w:rPr>
              <w:t>40.12</w:t>
            </w:r>
          </w:p>
        </w:tc>
        <w:tc>
          <w:tcPr>
            <w:tcW w:w="1342" w:type="dxa"/>
            <w:noWrap w:val="0"/>
            <w:vAlign w:val="center"/>
          </w:tcPr>
          <w:p w14:paraId="3F85669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cs="宋体"/>
                <w:snapToGrid w:val="0"/>
                <w:color w:val="000000"/>
                <w:kern w:val="0"/>
                <w:sz w:val="24"/>
                <w:szCs w:val="24"/>
                <w:highlight w:val="none"/>
                <w:lang w:val="en-US" w:eastAsia="zh-CN" w:bidi="ar-SA"/>
              </w:rPr>
            </w:pPr>
          </w:p>
          <w:p w14:paraId="10E67E7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≥32%</w:t>
            </w:r>
          </w:p>
          <w:p w14:paraId="3339459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p>
        </w:tc>
        <w:tc>
          <w:tcPr>
            <w:tcW w:w="1792" w:type="dxa"/>
            <w:noWrap w:val="0"/>
            <w:vAlign w:val="center"/>
          </w:tcPr>
          <w:p w14:paraId="42ED86CA">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w:t>
            </w:r>
          </w:p>
        </w:tc>
        <w:tc>
          <w:tcPr>
            <w:tcW w:w="1450" w:type="dxa"/>
            <w:noWrap w:val="0"/>
            <w:vAlign w:val="center"/>
          </w:tcPr>
          <w:p w14:paraId="013C66D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highlight w:val="none"/>
                <w:lang w:val="en-US" w:eastAsia="zh-CN"/>
              </w:rPr>
            </w:pPr>
            <w:r>
              <w:rPr>
                <w:rFonts w:hint="eastAsia"/>
                <w:highlight w:val="none"/>
                <w:lang w:val="en-US" w:eastAsia="zh-CN"/>
              </w:rPr>
              <w:t>6.02</w:t>
            </w:r>
          </w:p>
        </w:tc>
      </w:tr>
      <w:tr w14:paraId="2DAED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0062" w:type="dxa"/>
            <w:gridSpan w:val="7"/>
            <w:noWrap w:val="0"/>
            <w:vAlign w:val="center"/>
          </w:tcPr>
          <w:p w14:paraId="013F141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spacing w:val="-1"/>
                <w:position w:val="11"/>
                <w:highlight w:val="none"/>
              </w:rPr>
              <w:t>1.标的坐落位置：</w:t>
            </w:r>
            <w:r>
              <w:rPr>
                <w:rFonts w:hint="eastAsia"/>
                <w:spacing w:val="-1"/>
                <w:position w:val="11"/>
                <w:highlight w:val="none"/>
                <w:lang w:eastAsia="zh-CN"/>
              </w:rPr>
              <w:t>合肥市高新区望江西路</w:t>
            </w:r>
            <w:r>
              <w:rPr>
                <w:rFonts w:hint="eastAsia"/>
                <w:spacing w:val="-1"/>
                <w:position w:val="11"/>
                <w:highlight w:val="none"/>
                <w:lang w:val="en-US" w:eastAsia="zh-CN"/>
              </w:rPr>
              <w:t>600号合肥野生动物园内日本猴园第三经营点位。</w:t>
            </w:r>
          </w:p>
          <w:p w14:paraId="2666BA8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spacing w:val="-2"/>
                <w:highlight w:val="none"/>
              </w:rPr>
              <w:t>2.标的权属情况：</w:t>
            </w:r>
            <w:r>
              <w:rPr>
                <w:spacing w:val="-3"/>
                <w:highlight w:val="none"/>
              </w:rPr>
              <w:t>标的面积仅供参考。</w:t>
            </w:r>
            <w:r>
              <w:rPr>
                <w:rFonts w:hint="eastAsia"/>
                <w:spacing w:val="-3"/>
                <w:highlight w:val="none"/>
                <w:lang w:eastAsia="zh-CN"/>
              </w:rPr>
              <w:t>招商</w:t>
            </w:r>
            <w:r>
              <w:rPr>
                <w:spacing w:val="-3"/>
                <w:highlight w:val="none"/>
              </w:rPr>
              <w:t>标的无权属纠纷</w:t>
            </w:r>
            <w:r>
              <w:rPr>
                <w:spacing w:val="-2"/>
                <w:highlight w:val="none"/>
              </w:rPr>
              <w:t>。</w:t>
            </w:r>
          </w:p>
        </w:tc>
      </w:tr>
      <w:tr w14:paraId="634C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1" w:type="dxa"/>
            <w:noWrap w:val="0"/>
            <w:vAlign w:val="center"/>
          </w:tcPr>
          <w:p w14:paraId="47A94BA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651" w:type="dxa"/>
            <w:gridSpan w:val="6"/>
            <w:noWrap w:val="0"/>
            <w:vAlign w:val="center"/>
          </w:tcPr>
          <w:p w14:paraId="1D61433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highlight w:val="none"/>
                <w:lang w:val="en-US"/>
              </w:rPr>
            </w:pPr>
            <w:r>
              <w:rPr>
                <w:spacing w:val="-3"/>
                <w:highlight w:val="none"/>
              </w:rPr>
              <w:t>1.</w:t>
            </w:r>
            <w:r>
              <w:rPr>
                <w:rFonts w:hint="eastAsia"/>
                <w:spacing w:val="-3"/>
                <w:highlight w:val="none"/>
                <w:lang w:eastAsia="zh-CN"/>
              </w:rPr>
              <w:t>招商</w:t>
            </w:r>
            <w:r>
              <w:rPr>
                <w:spacing w:val="-3"/>
                <w:highlight w:val="none"/>
              </w:rPr>
              <w:t>房屋的用途为</w:t>
            </w:r>
            <w:r>
              <w:rPr>
                <w:rFonts w:hint="eastAsia"/>
                <w:spacing w:val="-3"/>
                <w:highlight w:val="none"/>
                <w:lang w:eastAsia="zh-CN"/>
              </w:rPr>
              <w:t>便利店</w:t>
            </w:r>
            <w:r>
              <w:rPr>
                <w:rFonts w:hint="eastAsia"/>
                <w:spacing w:val="-3"/>
                <w:highlight w:val="none"/>
                <w:lang w:val="en-US" w:eastAsia="zh-CN"/>
              </w:rPr>
              <w:t>项目经营（商品零售）。</w:t>
            </w:r>
          </w:p>
          <w:p w14:paraId="7BAC855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spacing w:val="-1"/>
                <w:highlight w:val="none"/>
              </w:rPr>
            </w:pPr>
            <w:r>
              <w:rPr>
                <w:highlight w:val="none"/>
              </w:rPr>
              <w:t>2.</w:t>
            </w:r>
            <w:r>
              <w:rPr>
                <w:rFonts w:hint="eastAsia"/>
                <w:highlight w:val="none"/>
                <w:lang w:val="en-US" w:eastAsia="zh-CN"/>
              </w:rPr>
              <w:t>合作</w:t>
            </w:r>
            <w:r>
              <w:rPr>
                <w:rFonts w:hint="eastAsia"/>
                <w:highlight w:val="none"/>
                <w:lang w:eastAsia="zh-CN"/>
              </w:rPr>
              <w:t>方</w:t>
            </w:r>
            <w:r>
              <w:rPr>
                <w:highlight w:val="none"/>
              </w:rPr>
              <w:t>使用上述房屋必须符合相关法律法规</w:t>
            </w:r>
            <w:r>
              <w:rPr>
                <w:spacing w:val="-1"/>
                <w:highlight w:val="none"/>
              </w:rPr>
              <w:t>要求，上述房屋内均不得从事</w:t>
            </w:r>
            <w:r>
              <w:rPr>
                <w:rFonts w:hint="eastAsia"/>
                <w:spacing w:val="-1"/>
                <w:highlight w:val="none"/>
                <w:lang w:eastAsia="zh-CN"/>
              </w:rPr>
              <w:t>除</w:t>
            </w:r>
            <w:r>
              <w:rPr>
                <w:rFonts w:hint="eastAsia"/>
                <w:spacing w:val="-1"/>
                <w:highlight w:val="none"/>
                <w:lang w:val="en-US" w:eastAsia="zh-CN"/>
              </w:rPr>
              <w:t>便利店</w:t>
            </w:r>
            <w:r>
              <w:rPr>
                <w:rFonts w:hint="eastAsia"/>
                <w:spacing w:val="-1"/>
                <w:highlight w:val="none"/>
                <w:lang w:eastAsia="zh-CN"/>
              </w:rPr>
              <w:t>项目之外的其他经营行为</w:t>
            </w:r>
            <w:r>
              <w:rPr>
                <w:spacing w:val="-3"/>
                <w:highlight w:val="none"/>
              </w:rPr>
              <w:t>，室内不得使用</w:t>
            </w:r>
            <w:r>
              <w:rPr>
                <w:spacing w:val="-2"/>
                <w:highlight w:val="none"/>
              </w:rPr>
              <w:t>明火、不得经营或存放化工类产品及易燃易爆</w:t>
            </w:r>
            <w:r>
              <w:rPr>
                <w:spacing w:val="-3"/>
                <w:highlight w:val="none"/>
              </w:rPr>
              <w:t>有毒物品。如由此造成</w:t>
            </w:r>
            <w:r>
              <w:rPr>
                <w:rFonts w:hint="eastAsia"/>
                <w:spacing w:val="-3"/>
                <w:highlight w:val="none"/>
                <w:lang w:val="en-US" w:eastAsia="zh-CN"/>
              </w:rPr>
              <w:t>合作</w:t>
            </w:r>
            <w:r>
              <w:rPr>
                <w:rFonts w:hint="eastAsia"/>
                <w:spacing w:val="-3"/>
                <w:highlight w:val="none"/>
                <w:lang w:eastAsia="zh-CN"/>
              </w:rPr>
              <w:t>方</w:t>
            </w:r>
            <w:r>
              <w:rPr>
                <w:spacing w:val="-3"/>
                <w:highlight w:val="none"/>
              </w:rPr>
              <w:t>不能</w:t>
            </w:r>
            <w:r>
              <w:rPr>
                <w:highlight w:val="none"/>
              </w:rPr>
              <w:t>按预想的方案使用房屋并导致合同不能</w:t>
            </w:r>
            <w:r>
              <w:rPr>
                <w:spacing w:val="-1"/>
                <w:highlight w:val="none"/>
              </w:rPr>
              <w:t>履约的，责任由</w:t>
            </w:r>
            <w:r>
              <w:rPr>
                <w:rFonts w:hint="eastAsia"/>
                <w:spacing w:val="-1"/>
                <w:highlight w:val="none"/>
                <w:lang w:val="en-US" w:eastAsia="zh-CN"/>
              </w:rPr>
              <w:t>合作</w:t>
            </w:r>
            <w:r>
              <w:rPr>
                <w:rFonts w:hint="eastAsia"/>
                <w:spacing w:val="-1"/>
                <w:highlight w:val="none"/>
                <w:lang w:eastAsia="zh-CN"/>
              </w:rPr>
              <w:t>方</w:t>
            </w:r>
            <w:r>
              <w:rPr>
                <w:spacing w:val="-1"/>
                <w:highlight w:val="none"/>
              </w:rPr>
              <w:t>承担。</w:t>
            </w:r>
          </w:p>
          <w:p w14:paraId="78E1FF20">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cs="宋体"/>
                <w:color w:val="000000"/>
                <w:sz w:val="24"/>
                <w:szCs w:val="24"/>
                <w:highlight w:val="none"/>
                <w:lang w:val="en-US" w:eastAsia="zh-CN" w:bidi="zh-CN"/>
              </w:rPr>
            </w:pPr>
            <w:r>
              <w:rPr>
                <w:rFonts w:hint="eastAsia" w:cs="宋体"/>
                <w:b w:val="0"/>
                <w:bCs w:val="0"/>
                <w:color w:val="000000"/>
                <w:sz w:val="24"/>
                <w:szCs w:val="24"/>
                <w:highlight w:val="none"/>
                <w:lang w:val="en-US" w:eastAsia="zh-CN" w:bidi="zh-CN"/>
              </w:rPr>
              <w:t>3.</w:t>
            </w:r>
            <w:r>
              <w:rPr>
                <w:rFonts w:hint="eastAsia" w:cs="宋体"/>
                <w:color w:val="000000"/>
                <w:sz w:val="24"/>
                <w:szCs w:val="24"/>
                <w:highlight w:val="none"/>
                <w:lang w:val="en-US" w:eastAsia="zh-CN" w:bidi="zh-CN"/>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14:paraId="1ECA5690">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4</w:t>
            </w:r>
            <w:r>
              <w:rPr>
                <w:rFonts w:hint="default" w:cs="宋体"/>
                <w:color w:val="000000"/>
                <w:sz w:val="24"/>
                <w:szCs w:val="24"/>
                <w:highlight w:val="none"/>
                <w:lang w:val="en-US" w:eastAsia="zh-CN" w:bidi="zh-CN"/>
              </w:rPr>
              <w:t>.合作期间场地如遇政府部门要求拆迁（如生态红线内违规建设等原因）、招商方园区改造提升拆迁的，招商方有权解除合同，并不承担任何违约责任。</w:t>
            </w:r>
            <w:r>
              <w:rPr>
                <w:rFonts w:hint="eastAsia" w:cs="宋体"/>
                <w:color w:val="000000"/>
                <w:sz w:val="24"/>
                <w:szCs w:val="24"/>
                <w:highlight w:val="none"/>
                <w:lang w:val="en-US" w:eastAsia="zh-CN" w:bidi="zh-CN"/>
              </w:rPr>
              <w:t>如遇园区后期有新的商业规划在点位附近设置新的业态，合作方不得以此为由要求减免保底价及分成。</w:t>
            </w:r>
          </w:p>
          <w:p w14:paraId="3E7A7FE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5.合作方需无偿代售动物园文创商品及合肥文旅博览集团及其子公司商品（货品具体摆放位置由招商方指定）。</w:t>
            </w:r>
          </w:p>
        </w:tc>
      </w:tr>
      <w:tr w14:paraId="3565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1" w:hRule="atLeast"/>
        </w:trPr>
        <w:tc>
          <w:tcPr>
            <w:tcW w:w="1411" w:type="dxa"/>
            <w:noWrap w:val="0"/>
            <w:vAlign w:val="center"/>
          </w:tcPr>
          <w:p w14:paraId="19EC59D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合作经营分成款及履约保证金支付</w:t>
            </w:r>
          </w:p>
        </w:tc>
        <w:tc>
          <w:tcPr>
            <w:tcW w:w="8651" w:type="dxa"/>
            <w:gridSpan w:val="6"/>
            <w:noWrap w:val="0"/>
            <w:vAlign w:val="center"/>
          </w:tcPr>
          <w:tbl>
            <w:tblPr>
              <w:tblStyle w:val="13"/>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1"/>
            </w:tblGrid>
            <w:tr w14:paraId="6F166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651" w:type="dxa"/>
                  <w:noWrap w:val="0"/>
                  <w:vAlign w:val="center"/>
                </w:tcPr>
                <w:p w14:paraId="660D940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1.</w:t>
                  </w:r>
                  <w:r>
                    <w:rPr>
                      <w:rFonts w:hint="eastAsia" w:ascii="宋体" w:hAnsi="宋体" w:eastAsia="宋体" w:cs="宋体"/>
                      <w:spacing w:val="-3"/>
                      <w:kern w:val="2"/>
                      <w:position w:val="11"/>
                      <w:sz w:val="24"/>
                      <w:szCs w:val="24"/>
                      <w:highlight w:val="none"/>
                      <w:lang w:val="en-US" w:eastAsia="zh-CN" w:bidi="ar-SA"/>
                    </w:rPr>
                    <w:t>合作方自行采购的收银系统需与招商方要求的保持一致，所有营收款先进招商方账户，合作采用保底报价＋分成的模式，分成款按</w:t>
                  </w:r>
                  <w:r>
                    <w:rPr>
                      <w:rFonts w:hint="eastAsia" w:cs="宋体"/>
                      <w:spacing w:val="-3"/>
                      <w:kern w:val="2"/>
                      <w:position w:val="11"/>
                      <w:sz w:val="24"/>
                      <w:szCs w:val="24"/>
                      <w:highlight w:val="none"/>
                      <w:lang w:val="en-US" w:eastAsia="zh-CN" w:bidi="ar-SA"/>
                    </w:rPr>
                    <w:t>合同</w:t>
                  </w:r>
                  <w:r>
                    <w:rPr>
                      <w:rFonts w:hint="eastAsia" w:ascii="宋体" w:hAnsi="宋体" w:eastAsia="宋体" w:cs="宋体"/>
                      <w:spacing w:val="-3"/>
                      <w:kern w:val="2"/>
                      <w:position w:val="11"/>
                      <w:sz w:val="24"/>
                      <w:szCs w:val="24"/>
                      <w:highlight w:val="none"/>
                      <w:lang w:val="en-US" w:eastAsia="zh-CN" w:bidi="ar-SA"/>
                    </w:rPr>
                    <w:t>月结算，招商方全年分成总和大于</w:t>
                  </w:r>
                  <w:r>
                    <w:rPr>
                      <w:rFonts w:hint="eastAsia" w:cs="宋体"/>
                      <w:spacing w:val="-3"/>
                      <w:kern w:val="2"/>
                      <w:position w:val="11"/>
                      <w:sz w:val="24"/>
                      <w:szCs w:val="24"/>
                      <w:highlight w:val="none"/>
                      <w:lang w:val="en-US" w:eastAsia="zh-CN" w:bidi="ar-SA"/>
                    </w:rPr>
                    <w:t>年</w:t>
                  </w:r>
                  <w:r>
                    <w:rPr>
                      <w:rFonts w:hint="eastAsia" w:ascii="宋体" w:hAnsi="宋体" w:eastAsia="宋体" w:cs="宋体"/>
                      <w:spacing w:val="-3"/>
                      <w:kern w:val="2"/>
                      <w:position w:val="11"/>
                      <w:sz w:val="24"/>
                      <w:szCs w:val="24"/>
                      <w:highlight w:val="none"/>
                      <w:lang w:val="en-US" w:eastAsia="zh-CN" w:bidi="ar-SA"/>
                    </w:rPr>
                    <w:t>保底报价时，招商方按照分成总和收取合作经营款，招商方全年分成总和小于等于保底报价时，招商方按照保底报价收取合作经营款</w:t>
                  </w:r>
                  <w:r>
                    <w:rPr>
                      <w:rFonts w:hint="eastAsia" w:cs="宋体"/>
                      <w:spacing w:val="-3"/>
                      <w:kern w:val="2"/>
                      <w:position w:val="11"/>
                      <w:sz w:val="24"/>
                      <w:szCs w:val="24"/>
                      <w:highlight w:val="none"/>
                      <w:lang w:val="en-US" w:eastAsia="zh-CN" w:bidi="ar-SA"/>
                    </w:rPr>
                    <w:t>（每年具体结算时，若合作方前9个合同月的分成款超过保底价，则按分成款结算，若不足则按年保底价结算（不足部分从合作方分成款扣除）。年度最后一个季度对全年应分成款进行核算，当全年应分成款≤保底价，最后一个季度招商方不再分成，营收款归合作方所有；当全年应分成款＞保底价，最后一个季度招商方按全年应分成款-前期已分成（或当前期分成不足保底价时已扣除的保底价）为招商方应得分成款。营收款项中扣除后仍达不到保底价部分合作方应在10个工作日内补齐，否则招商方有权终止合同，且不退还履约保证金。</w:t>
                  </w:r>
                </w:p>
                <w:p w14:paraId="5C57F783">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2.合作方应在《招商结果通知书》出具之日至合同签订前向招商方提交履约保证金。</w:t>
                  </w:r>
                </w:p>
              </w:tc>
            </w:tr>
          </w:tbl>
          <w:p w14:paraId="6C72523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p>
        </w:tc>
      </w:tr>
      <w:tr w14:paraId="3303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062" w:type="dxa"/>
            <w:gridSpan w:val="7"/>
            <w:tcBorders>
              <w:bottom w:val="single" w:color="auto" w:sz="4" w:space="0"/>
            </w:tcBorders>
            <w:noWrap w:val="0"/>
            <w:vAlign w:val="center"/>
          </w:tcPr>
          <w:p w14:paraId="57270693">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对投标方资格的要求</w:t>
            </w:r>
          </w:p>
        </w:tc>
      </w:tr>
      <w:tr w14:paraId="732D3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0062" w:type="dxa"/>
            <w:gridSpan w:val="7"/>
            <w:tcBorders>
              <w:top w:val="single" w:color="auto" w:sz="4" w:space="0"/>
            </w:tcBorders>
            <w:noWrap w:val="0"/>
            <w:vAlign w:val="center"/>
          </w:tcPr>
          <w:p w14:paraId="7D177A6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 xml:space="preserve">1.自2022年1月1日起的近3年，所投的品牌便利店需在中国便利店排行榜排名进入前 </w:t>
            </w:r>
            <w:r>
              <w:rPr>
                <w:rFonts w:hint="eastAsia" w:cs="宋体"/>
                <w:spacing w:val="-3"/>
                <w:kern w:val="2"/>
                <w:position w:val="11"/>
                <w:sz w:val="24"/>
                <w:szCs w:val="24"/>
                <w:highlight w:val="none"/>
                <w:lang w:val="en-US" w:eastAsia="zh-CN" w:bidi="ar-SA"/>
              </w:rPr>
              <w:t>50</w:t>
            </w:r>
            <w:r>
              <w:rPr>
                <w:rFonts w:hint="eastAsia" w:ascii="宋体" w:hAnsi="宋体" w:eastAsia="宋体" w:cs="宋体"/>
                <w:spacing w:val="-3"/>
                <w:kern w:val="2"/>
                <w:position w:val="11"/>
                <w:sz w:val="24"/>
                <w:szCs w:val="24"/>
                <w:highlight w:val="none"/>
                <w:lang w:val="en-US" w:eastAsia="zh-CN" w:bidi="ar-SA"/>
              </w:rPr>
              <w:t xml:space="preserve"> 名的(包含第 </w:t>
            </w:r>
            <w:r>
              <w:rPr>
                <w:rFonts w:hint="eastAsia" w:cs="宋体"/>
                <w:spacing w:val="-3"/>
                <w:kern w:val="2"/>
                <w:position w:val="11"/>
                <w:sz w:val="24"/>
                <w:szCs w:val="24"/>
                <w:highlight w:val="none"/>
                <w:lang w:val="en-US" w:eastAsia="zh-CN" w:bidi="ar-SA"/>
              </w:rPr>
              <w:t>50</w:t>
            </w:r>
            <w:r>
              <w:rPr>
                <w:rFonts w:hint="eastAsia" w:ascii="宋体" w:hAnsi="宋体" w:eastAsia="宋体" w:cs="宋体"/>
                <w:spacing w:val="-3"/>
                <w:kern w:val="2"/>
                <w:position w:val="11"/>
                <w:sz w:val="24"/>
                <w:szCs w:val="24"/>
                <w:highlight w:val="none"/>
                <w:lang w:val="en-US" w:eastAsia="zh-CN" w:bidi="ar-SA"/>
              </w:rPr>
              <w:t>名)</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证明材料：</w:t>
            </w:r>
          </w:p>
          <w:p w14:paraId="007826A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1</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提供202</w:t>
            </w:r>
            <w:r>
              <w:rPr>
                <w:rFonts w:hint="eastAsia" w:cs="宋体"/>
                <w:spacing w:val="-3"/>
                <w:kern w:val="2"/>
                <w:position w:val="11"/>
                <w:sz w:val="24"/>
                <w:szCs w:val="24"/>
                <w:highlight w:val="none"/>
                <w:lang w:val="en-US" w:eastAsia="zh-CN" w:bidi="ar-SA"/>
              </w:rPr>
              <w:t>2</w:t>
            </w:r>
            <w:r>
              <w:rPr>
                <w:rFonts w:hint="eastAsia" w:ascii="宋体" w:hAnsi="宋体" w:eastAsia="宋体" w:cs="宋体"/>
                <w:spacing w:val="-3"/>
                <w:kern w:val="2"/>
                <w:position w:val="11"/>
                <w:sz w:val="24"/>
                <w:szCs w:val="24"/>
                <w:highlight w:val="none"/>
                <w:lang w:val="en-US" w:eastAsia="zh-CN" w:bidi="ar-SA"/>
              </w:rPr>
              <w:t>年-2024</w:t>
            </w:r>
            <w:r>
              <w:rPr>
                <w:rFonts w:hint="eastAsia" w:cs="宋体"/>
                <w:spacing w:val="-3"/>
                <w:kern w:val="2"/>
                <w:position w:val="11"/>
                <w:sz w:val="24"/>
                <w:szCs w:val="24"/>
                <w:highlight w:val="none"/>
                <w:lang w:val="en-US" w:eastAsia="zh-CN" w:bidi="ar-SA"/>
              </w:rPr>
              <w:t>年</w:t>
            </w:r>
            <w:r>
              <w:rPr>
                <w:rFonts w:hint="eastAsia" w:ascii="宋体" w:hAnsi="宋体" w:eastAsia="宋体" w:cs="宋体"/>
                <w:spacing w:val="-3"/>
                <w:kern w:val="2"/>
                <w:position w:val="11"/>
                <w:sz w:val="24"/>
                <w:szCs w:val="24"/>
                <w:highlight w:val="none"/>
                <w:lang w:val="en-US" w:eastAsia="zh-CN" w:bidi="ar-SA"/>
              </w:rPr>
              <w:t>中国连锁经营协会发布的中国便利店 TOP100 榜单，提供体现年度的排行榜榜单截图。</w:t>
            </w:r>
          </w:p>
          <w:p w14:paraId="7D534359">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2</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投标人是品牌所有人的，提供商标注册证明。投标人不是品牌所有人的，提供商标注册证明和商标所有人的使用授权证明。</w:t>
            </w:r>
          </w:p>
          <w:p w14:paraId="2E35B6D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2</w:t>
            </w:r>
            <w:r>
              <w:rPr>
                <w:rFonts w:hint="eastAsia" w:ascii="宋体" w:hAnsi="宋体" w:eastAsia="宋体" w:cs="宋体"/>
                <w:spacing w:val="-3"/>
                <w:kern w:val="2"/>
                <w:position w:val="11"/>
                <w:sz w:val="24"/>
                <w:szCs w:val="24"/>
                <w:highlight w:val="none"/>
                <w:lang w:val="en-US" w:eastAsia="zh-CN" w:bidi="ar-SA"/>
              </w:rPr>
              <w:t>.国家法律、行政法规规定的其他条件。</w:t>
            </w:r>
          </w:p>
        </w:tc>
      </w:tr>
      <w:tr w14:paraId="42CDC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6AFE40D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2"/>
                <w:highlight w:val="none"/>
              </w:rPr>
              <w:t>三、</w:t>
            </w:r>
            <w:r>
              <w:rPr>
                <w:rFonts w:hint="eastAsia"/>
                <w:spacing w:val="-2"/>
                <w:highlight w:val="none"/>
                <w:lang w:eastAsia="zh-CN"/>
              </w:rPr>
              <w:t>招商</w:t>
            </w:r>
            <w:r>
              <w:rPr>
                <w:spacing w:val="-2"/>
                <w:highlight w:val="none"/>
              </w:rPr>
              <w:t>条件</w:t>
            </w:r>
          </w:p>
        </w:tc>
      </w:tr>
      <w:tr w14:paraId="5BA3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10062" w:type="dxa"/>
            <w:gridSpan w:val="7"/>
            <w:noWrap w:val="0"/>
            <w:vAlign w:val="center"/>
          </w:tcPr>
          <w:p w14:paraId="7374A88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1.合作方未被合肥市及其所辖县（市）、区（开发区）公共资源交易监督管理部门记不良行为记录的；或被记不良行为记录（以公布日期为准）。</w:t>
            </w:r>
          </w:p>
          <w:p w14:paraId="4A21D8EA">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2</w:t>
            </w:r>
            <w:r>
              <w:rPr>
                <w:rFonts w:hint="eastAsia" w:ascii="宋体" w:hAnsi="宋体" w:eastAsia="宋体" w:cs="宋体"/>
                <w:color w:val="000000"/>
                <w:sz w:val="24"/>
                <w:szCs w:val="24"/>
                <w:highlight w:val="none"/>
                <w:lang w:val="en-US" w:eastAsia="zh-CN" w:bidi="zh-CN"/>
              </w:rPr>
              <w:t>.本项目不接受</w:t>
            </w:r>
            <w:r>
              <w:rPr>
                <w:rFonts w:hint="eastAsia" w:cs="宋体"/>
                <w:color w:val="000000"/>
                <w:sz w:val="24"/>
                <w:szCs w:val="24"/>
                <w:highlight w:val="none"/>
                <w:lang w:val="en-US" w:eastAsia="zh-CN" w:bidi="zh-CN"/>
              </w:rPr>
              <w:t>自然人及</w:t>
            </w:r>
            <w:r>
              <w:rPr>
                <w:rFonts w:hint="eastAsia" w:ascii="宋体" w:hAnsi="宋体" w:eastAsia="宋体" w:cs="宋体"/>
                <w:color w:val="000000"/>
                <w:sz w:val="24"/>
                <w:szCs w:val="24"/>
                <w:highlight w:val="none"/>
                <w:lang w:val="en-US" w:eastAsia="zh-CN" w:bidi="zh-CN"/>
              </w:rPr>
              <w:t>联合体报名及</w:t>
            </w:r>
            <w:r>
              <w:rPr>
                <w:rFonts w:hint="eastAsia" w:cs="宋体"/>
                <w:color w:val="000000"/>
                <w:sz w:val="24"/>
                <w:szCs w:val="24"/>
                <w:highlight w:val="none"/>
                <w:lang w:val="en-US" w:eastAsia="zh-CN" w:bidi="zh-CN"/>
              </w:rPr>
              <w:t>报</w:t>
            </w:r>
            <w:r>
              <w:rPr>
                <w:rFonts w:hint="eastAsia" w:ascii="宋体" w:hAnsi="宋体" w:eastAsia="宋体" w:cs="宋体"/>
                <w:color w:val="000000"/>
                <w:sz w:val="24"/>
                <w:szCs w:val="24"/>
                <w:highlight w:val="none"/>
                <w:lang w:val="en-US" w:eastAsia="zh-CN" w:bidi="zh-CN"/>
              </w:rPr>
              <w:t>价。</w:t>
            </w:r>
          </w:p>
          <w:p w14:paraId="41FB18B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3.合肥文旅博览集团野生动物园管理有限公司职工及其亲属不得参与此次招商。</w:t>
            </w:r>
          </w:p>
        </w:tc>
      </w:tr>
      <w:tr w14:paraId="2CC9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6FADBC3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w:t>
            </w:r>
            <w:r>
              <w:rPr>
                <w:rFonts w:hint="eastAsia" w:ascii="宋体" w:hAnsi="宋体" w:eastAsia="宋体" w:cs="宋体"/>
                <w:color w:val="000000"/>
                <w:sz w:val="24"/>
                <w:szCs w:val="24"/>
                <w:highlight w:val="none"/>
              </w:rPr>
              <w:t>条件</w:t>
            </w:r>
          </w:p>
        </w:tc>
      </w:tr>
      <w:tr w14:paraId="7BD08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62" w:type="dxa"/>
            <w:gridSpan w:val="7"/>
            <w:noWrap w:val="0"/>
            <w:vAlign w:val="center"/>
          </w:tcPr>
          <w:p w14:paraId="7F3633C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1.合作方应在本公告期截止前现场踏勘招商标的，就招商标的相关情况主动向招商方咨询，自行了解使用该房屋可能涉及的相关法律法规及市政规定；完成登记的合作方都视同已实地踏勘招商标的，确认了标的位置、范围、面积和现状等并认可招商要求，自愿承担因上述原因导致的一切后果和法律责任。</w:t>
            </w:r>
          </w:p>
          <w:p w14:paraId="1B44A4B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2.公告所列示的标的面积仅作参考，不作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14:paraId="7E35E2F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3.合作方在合同履约期限内，不得转租。招商房屋必须由合作方自主经营，未经招商方书面同意，不得以任何形式转租、分租、出借租赁房屋及与他人合作经营。如有发生则招商方有权终止合作。</w:t>
            </w:r>
          </w:p>
          <w:p w14:paraId="705DF52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4.合同期内，合作方负责房屋的日常安全管理工作并承担房屋发生的水、电、通讯（网络）、物业管理（</w:t>
            </w:r>
            <w:r>
              <w:rPr>
                <w:rFonts w:hint="eastAsia"/>
                <w:highlight w:val="none"/>
                <w:lang w:val="en-US" w:eastAsia="zh-CN"/>
              </w:rPr>
              <w:t>4458</w:t>
            </w:r>
            <w:r>
              <w:rPr>
                <w:rFonts w:hint="eastAsia"/>
                <w:highlight w:val="none"/>
              </w:rPr>
              <w:t>元/年</w:t>
            </w:r>
            <w:r>
              <w:rPr>
                <w:rFonts w:hint="eastAsia"/>
                <w:highlight w:val="none"/>
              </w:rPr>
              <w:t>）、停车等相关费用。</w:t>
            </w:r>
          </w:p>
          <w:p w14:paraId="5671FE9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5.合作方需结合招商方统一商业规划要求，对房屋自行装修、装潢时，装修、装潢，方案须经招商方同意后方可实行，且装修、装潢不得改动或破坏房屋结构。如擅自改动或破坏房屋结构，合作方应立即恢复原状，给招商方或第三人造成的损失应由合作方承担赔偿责任。房屋的装修、装潢费用及合同期内房屋的维修费用全部由合作方自行承担。</w:t>
            </w:r>
          </w:p>
          <w:p w14:paraId="1DFD067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6.合同期内，合作方不得以任何理由要求减免底价及分成款。如因法律法规及市政规定需要拆除或改造房屋而导致合同解除的，底价及分成款按照实际合作时间计算，不足整月的按实际天数计算，多退少补。</w:t>
            </w:r>
          </w:p>
          <w:p w14:paraId="34A8F6B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7.合同期满或终止时，合作方投入的装修、装潢部分无偿归招商方所有和使用，合同期满或终止时，将房屋在10 日内交还招商方，并结清水、电和物业管理等费用，且不得提出任何补偿要求。经招商方验收合格后，退还合作方交易保证金。</w:t>
            </w:r>
          </w:p>
          <w:p w14:paraId="1A30C47A">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8.合作方应在《招商结果通知书》发出之日起7个工作日内与招商方签订《合作经营合同》。</w:t>
            </w:r>
          </w:p>
          <w:p w14:paraId="2B8C09B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9.其他未尽事宜详见本公告附件《合作经营合同》。</w:t>
            </w:r>
          </w:p>
          <w:p w14:paraId="6FBB51C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10.特别说明：</w:t>
            </w:r>
          </w:p>
          <w:p w14:paraId="0CD38FA5">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rPr>
              <w:t>合作方需自行评估参与本次招商的预期风险及收益，参与合肥文旅博览集团野生动物园管理有限公司招商视作认可合肥文旅博览集团野生动物园管理有限公司招商相关要求及规定，本招商公告最终解释权归合肥文旅博览集团野生动物园管理有限公司所有。</w:t>
            </w:r>
          </w:p>
        </w:tc>
      </w:tr>
    </w:tbl>
    <w:tbl>
      <w:tblPr>
        <w:tblStyle w:val="10"/>
        <w:tblW w:w="100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8"/>
      </w:tblGrid>
      <w:tr w14:paraId="5973B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68" w:type="dxa"/>
            <w:noWrap w:val="0"/>
            <w:vAlign w:val="top"/>
          </w:tcPr>
          <w:p w14:paraId="69DD9C37">
            <w:pPr>
              <w:pStyle w:val="14"/>
              <w:spacing w:before="66"/>
              <w:ind w:right="3024" w:firstLine="3600" w:firstLineChars="1500"/>
              <w:jc w:val="both"/>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中标方</w:t>
            </w:r>
            <w:r>
              <w:rPr>
                <w:rFonts w:hint="eastAsia" w:ascii="宋体" w:hAnsi="宋体" w:eastAsia="宋体" w:cs="宋体"/>
                <w:color w:val="000000"/>
                <w:sz w:val="24"/>
                <w:szCs w:val="24"/>
                <w:highlight w:val="none"/>
              </w:rPr>
              <w:t xml:space="preserve">确定方式 </w:t>
            </w:r>
          </w:p>
        </w:tc>
      </w:tr>
      <w:tr w14:paraId="5325E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1" w:hRule="atLeast"/>
        </w:trPr>
        <w:tc>
          <w:tcPr>
            <w:tcW w:w="10068" w:type="dxa"/>
            <w:noWrap w:val="0"/>
            <w:vAlign w:val="top"/>
          </w:tcPr>
          <w:p w14:paraId="484CF523">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本项目采用</w:t>
            </w:r>
            <w:r>
              <w:rPr>
                <w:rFonts w:hint="eastAsia" w:cs="宋体"/>
                <w:b w:val="0"/>
                <w:bCs w:val="0"/>
                <w:color w:val="000000"/>
                <w:sz w:val="24"/>
                <w:szCs w:val="24"/>
                <w:highlight w:val="none"/>
                <w:lang w:val="en-US" w:eastAsia="zh-CN"/>
              </w:rPr>
              <w:t>综合评分法</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得分</w:t>
            </w:r>
            <w:r>
              <w:rPr>
                <w:rFonts w:hint="eastAsia" w:ascii="宋体" w:hAnsi="宋体" w:eastAsia="宋体" w:cs="宋体"/>
                <w:b w:val="0"/>
                <w:bCs w:val="0"/>
                <w:color w:val="000000"/>
                <w:sz w:val="24"/>
                <w:szCs w:val="24"/>
                <w:highlight w:val="none"/>
                <w:lang w:val="en-US" w:eastAsia="zh-CN"/>
              </w:rPr>
              <w:t>最高者确定为本项目最终</w:t>
            </w:r>
            <w:r>
              <w:rPr>
                <w:rFonts w:hint="eastAsia" w:cs="宋体"/>
                <w:b w:val="0"/>
                <w:bCs w:val="0"/>
                <w:color w:val="000000"/>
                <w:sz w:val="24"/>
                <w:szCs w:val="24"/>
                <w:highlight w:val="none"/>
                <w:lang w:val="en-US" w:eastAsia="zh-CN"/>
              </w:rPr>
              <w:t>合作</w:t>
            </w:r>
            <w:r>
              <w:rPr>
                <w:rFonts w:hint="eastAsia" w:ascii="宋体" w:hAnsi="宋体" w:eastAsia="宋体" w:cs="宋体"/>
                <w:b w:val="0"/>
                <w:bCs w:val="0"/>
                <w:color w:val="000000"/>
                <w:sz w:val="24"/>
                <w:szCs w:val="24"/>
                <w:highlight w:val="none"/>
                <w:lang w:val="en-US" w:eastAsia="zh-CN"/>
              </w:rPr>
              <w:t>方。</w:t>
            </w:r>
            <w:r>
              <w:rPr>
                <w:rFonts w:hint="eastAsia"/>
                <w:highlight w:val="none"/>
                <w:lang w:eastAsia="zh-CN"/>
              </w:rPr>
              <w:t>若此次招商所有合作方综合得分均低于</w:t>
            </w:r>
            <w:r>
              <w:rPr>
                <w:rFonts w:hint="eastAsia"/>
                <w:highlight w:val="none"/>
                <w:lang w:val="en-US" w:eastAsia="zh-CN"/>
              </w:rPr>
              <w:t>60分，则本次招商无效。</w:t>
            </w:r>
          </w:p>
          <w:tbl>
            <w:tblPr>
              <w:tblStyle w:val="10"/>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00"/>
              <w:gridCol w:w="6772"/>
              <w:gridCol w:w="1052"/>
            </w:tblGrid>
            <w:tr w14:paraId="576E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94" w:type="dxa"/>
                  <w:gridSpan w:val="4"/>
                  <w:noWrap w:val="0"/>
                  <w:vAlign w:val="center"/>
                </w:tcPr>
                <w:p w14:paraId="76CA1673">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商务、技术部分详细评审表</w:t>
                  </w:r>
                </w:p>
              </w:tc>
            </w:tr>
            <w:tr w14:paraId="0220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70" w:type="dxa"/>
                  <w:shd w:val="clear" w:color="auto" w:fill="auto"/>
                  <w:noWrap w:val="0"/>
                  <w:vAlign w:val="center"/>
                </w:tcPr>
                <w:p w14:paraId="56B782E7">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序号</w:t>
                  </w:r>
                </w:p>
              </w:tc>
              <w:tc>
                <w:tcPr>
                  <w:tcW w:w="1100" w:type="dxa"/>
                  <w:shd w:val="clear" w:color="auto" w:fill="auto"/>
                  <w:noWrap w:val="0"/>
                  <w:vAlign w:val="center"/>
                </w:tcPr>
                <w:p w14:paraId="501E5361">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w:t>
                  </w:r>
                </w:p>
              </w:tc>
              <w:tc>
                <w:tcPr>
                  <w:tcW w:w="6772" w:type="dxa"/>
                  <w:shd w:val="clear" w:color="auto" w:fill="auto"/>
                  <w:noWrap w:val="0"/>
                  <w:vAlign w:val="center"/>
                </w:tcPr>
                <w:p w14:paraId="19D8809B">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指标描述</w:t>
                  </w:r>
                </w:p>
              </w:tc>
              <w:tc>
                <w:tcPr>
                  <w:tcW w:w="1052" w:type="dxa"/>
                  <w:shd w:val="clear" w:color="auto" w:fill="auto"/>
                  <w:noWrap w:val="0"/>
                  <w:vAlign w:val="center"/>
                </w:tcPr>
                <w:p w14:paraId="641881F0">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分值  范围</w:t>
                  </w:r>
                </w:p>
              </w:tc>
            </w:tr>
            <w:tr w14:paraId="6BA0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70" w:type="dxa"/>
                  <w:noWrap w:val="0"/>
                  <w:vAlign w:val="center"/>
                </w:tcPr>
                <w:p w14:paraId="044788B9">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1</w:t>
                  </w:r>
                </w:p>
              </w:tc>
              <w:tc>
                <w:tcPr>
                  <w:tcW w:w="1100" w:type="dxa"/>
                  <w:noWrap w:val="0"/>
                  <w:vAlign w:val="center"/>
                </w:tcPr>
                <w:p w14:paraId="086C5BD8">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合作方业绩</w:t>
                  </w:r>
                </w:p>
              </w:tc>
              <w:tc>
                <w:tcPr>
                  <w:tcW w:w="6772" w:type="dxa"/>
                  <w:noWrap w:val="0"/>
                  <w:vAlign w:val="center"/>
                </w:tcPr>
                <w:p w14:paraId="6D78ADC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合作方提供2021年1月1日以来直营店（合同签约方与投标人一致）业绩，每提供一个业绩得2分，满分10分。</w:t>
                  </w:r>
                </w:p>
                <w:p w14:paraId="7F4A2F4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注；提供合同关键页复印件并加盖公章：合同首页、服务内容页、甲乙方盖章页、签订时间页</w:t>
                  </w:r>
                </w:p>
              </w:tc>
              <w:tc>
                <w:tcPr>
                  <w:tcW w:w="1052" w:type="dxa"/>
                  <w:noWrap w:val="0"/>
                  <w:vAlign w:val="center"/>
                </w:tcPr>
                <w:p w14:paraId="075B7D11">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分</w:t>
                  </w:r>
                </w:p>
              </w:tc>
            </w:tr>
            <w:tr w14:paraId="0DB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70" w:type="dxa"/>
                  <w:noWrap w:val="0"/>
                  <w:vAlign w:val="center"/>
                </w:tcPr>
                <w:p w14:paraId="19064EDB">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w:t>
                  </w:r>
                </w:p>
              </w:tc>
              <w:tc>
                <w:tcPr>
                  <w:tcW w:w="1100" w:type="dxa"/>
                  <w:noWrap w:val="0"/>
                  <w:vAlign w:val="center"/>
                </w:tcPr>
                <w:p w14:paraId="58CC18F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p>
                <w:p w14:paraId="1D2BF81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合作方实力</w:t>
                  </w:r>
                </w:p>
                <w:p w14:paraId="10085C2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p>
              </w:tc>
              <w:tc>
                <w:tcPr>
                  <w:tcW w:w="6772" w:type="dxa"/>
                  <w:noWrap w:val="0"/>
                  <w:vAlign w:val="center"/>
                </w:tcPr>
                <w:p w14:paraId="0010CD7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1.合作方具有经中国国家认证认可监督管理委员会认证机构颁发的有效的下列认证： </w:t>
                  </w:r>
                </w:p>
                <w:p w14:paraId="6E8FC037">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（1）质量管理体系认证的得 3 分； </w:t>
                  </w:r>
                </w:p>
                <w:p w14:paraId="7DA6CC8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（2）环境管理体系认证的得 3 分； </w:t>
                  </w:r>
                </w:p>
                <w:p w14:paraId="6CD11A2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（3）职业健康安全管理体系认证的得3 分； </w:t>
                  </w:r>
                </w:p>
                <w:p w14:paraId="02F79118">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（4）食品安全管理体系认证的得3 分。 </w:t>
                  </w:r>
                </w:p>
                <w:p w14:paraId="0937812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需提供有效期内的证书原件复印件及国家认证认可监督管理委员会官网查询截图。 </w:t>
                  </w:r>
                </w:p>
                <w:p w14:paraId="4D958F1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注：体系认证证书需提供国家认证认可监督管理委员会官网 </w:t>
                  </w:r>
                </w:p>
                <w:p w14:paraId="439D653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查询截图，且在有效期内； </w:t>
                  </w:r>
                </w:p>
              </w:tc>
              <w:tc>
                <w:tcPr>
                  <w:tcW w:w="1052" w:type="dxa"/>
                  <w:noWrap w:val="0"/>
                  <w:vAlign w:val="center"/>
                </w:tcPr>
                <w:p w14:paraId="38CD8F4B">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0-12分</w:t>
                  </w:r>
                </w:p>
              </w:tc>
            </w:tr>
            <w:tr w14:paraId="3E46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948BE3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p>
              </w:tc>
              <w:tc>
                <w:tcPr>
                  <w:tcW w:w="1100" w:type="dxa"/>
                  <w:noWrap w:val="0"/>
                  <w:vAlign w:val="center"/>
                </w:tcPr>
                <w:p w14:paraId="547D00D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保险保障</w:t>
                  </w:r>
                </w:p>
              </w:tc>
              <w:tc>
                <w:tcPr>
                  <w:tcW w:w="6772" w:type="dxa"/>
                  <w:noWrap w:val="0"/>
                  <w:vAlign w:val="center"/>
                </w:tcPr>
                <w:p w14:paraId="582823F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合作方自行承诺中标后为本项目超市（便利店）购买《食品安全责任险》或《公众责任险》的得 7分，否则不得分；合作人自行承诺，格式自拟，否则不得分。需提供承诺书原件。</w:t>
                  </w:r>
                </w:p>
              </w:tc>
              <w:tc>
                <w:tcPr>
                  <w:tcW w:w="1052" w:type="dxa"/>
                  <w:noWrap w:val="0"/>
                  <w:vAlign w:val="center"/>
                </w:tcPr>
                <w:p w14:paraId="73F64048">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0-7分</w:t>
                  </w:r>
                </w:p>
              </w:tc>
            </w:tr>
            <w:tr w14:paraId="17C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70" w:type="dxa"/>
                  <w:noWrap w:val="0"/>
                  <w:vAlign w:val="center"/>
                </w:tcPr>
                <w:p w14:paraId="5F0B669D">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4</w:t>
                  </w:r>
                </w:p>
              </w:tc>
              <w:tc>
                <w:tcPr>
                  <w:tcW w:w="1100" w:type="dxa"/>
                  <w:noWrap w:val="0"/>
                  <w:vAlign w:val="center"/>
                </w:tcPr>
                <w:p w14:paraId="5CA16D2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应急预</w:t>
                  </w:r>
                </w:p>
                <w:p w14:paraId="5A2D4157">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案和投</w:t>
                  </w:r>
                </w:p>
                <w:p w14:paraId="02D2E1D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诉处理</w:t>
                  </w:r>
                </w:p>
                <w:p w14:paraId="2E2E5CC4">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方案</w:t>
                  </w:r>
                </w:p>
                <w:p w14:paraId="4109760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p>
              </w:tc>
              <w:tc>
                <w:tcPr>
                  <w:tcW w:w="6772" w:type="dxa"/>
                  <w:noWrap w:val="0"/>
                  <w:vAlign w:val="center"/>
                </w:tcPr>
                <w:p w14:paraId="1BD5210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对合作方的超市应急机制、各种应急方案、食品安全应急预案、保障配送预案、消防安全、投诉处理方案、职工满意度保障体系等进行综合评比打分。 </w:t>
                  </w:r>
                </w:p>
                <w:p w14:paraId="5ED3FB95">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1.方案周密、科学、详尽、合理、可实施性强、保障措施强等，充分满足项目实施要求的得</w:t>
                  </w:r>
                  <w:r>
                    <w:rPr>
                      <w:rFonts w:hint="eastAsia" w:ascii="宋体" w:hAnsi="宋体" w:eastAsia="宋体"/>
                      <w:color w:val="000000"/>
                      <w:spacing w:val="3"/>
                      <w:sz w:val="24"/>
                      <w:highlight w:val="none"/>
                      <w:lang w:val="en-US" w:eastAsia="zh-CN"/>
                    </w:rPr>
                    <w:t>5</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8</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338B008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2.方案较周密、较科学、较合理、可实施性较强、保障措施较强等，满足项目实施要求的得</w:t>
                  </w:r>
                  <w:r>
                    <w:rPr>
                      <w:rFonts w:hint="eastAsia" w:ascii="宋体" w:hAnsi="宋体" w:eastAsia="宋体"/>
                      <w:color w:val="000000"/>
                      <w:spacing w:val="3"/>
                      <w:sz w:val="24"/>
                      <w:highlight w:val="none"/>
                      <w:lang w:val="en-US" w:eastAsia="zh-CN"/>
                    </w:rPr>
                    <w:t>3</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5</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7D89566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3.方案基本可行，可实施性、保障措施、应急预案等部分存在不足的得</w:t>
                  </w:r>
                  <w:r>
                    <w:rPr>
                      <w:rFonts w:hint="eastAsia" w:ascii="宋体" w:hAnsi="宋体"/>
                      <w:color w:val="000000"/>
                      <w:spacing w:val="3"/>
                      <w:sz w:val="24"/>
                      <w:highlight w:val="none"/>
                    </w:rPr>
                    <w:t>1≤F＜</w:t>
                  </w:r>
                  <w:r>
                    <w:rPr>
                      <w:rFonts w:hint="eastAsia" w:ascii="宋体" w:hAnsi="宋体" w:eastAsia="宋体"/>
                      <w:color w:val="000000"/>
                      <w:spacing w:val="3"/>
                      <w:sz w:val="24"/>
                      <w:highlight w:val="none"/>
                      <w:lang w:val="en-US" w:eastAsia="zh-CN"/>
                    </w:rPr>
                    <w:t>3</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59A25BCB">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4.方案不能满足项目实施要求或未提供的不得分。 </w:t>
                  </w:r>
                </w:p>
              </w:tc>
              <w:tc>
                <w:tcPr>
                  <w:tcW w:w="1052" w:type="dxa"/>
                  <w:noWrap w:val="0"/>
                  <w:vAlign w:val="center"/>
                </w:tcPr>
                <w:p w14:paraId="06DD28E8">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8</w:t>
                  </w:r>
                  <w:r>
                    <w:rPr>
                      <w:rFonts w:hint="eastAsia" w:ascii="宋体" w:hAnsi="宋体" w:cs="宋体"/>
                      <w:bCs/>
                      <w:color w:val="000000"/>
                      <w:sz w:val="24"/>
                      <w:szCs w:val="24"/>
                      <w:highlight w:val="none"/>
                    </w:rPr>
                    <w:t>分</w:t>
                  </w:r>
                </w:p>
              </w:tc>
            </w:tr>
            <w:tr w14:paraId="33D6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noWrap w:val="0"/>
                  <w:vAlign w:val="center"/>
                </w:tcPr>
                <w:p w14:paraId="47CB83DE">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5</w:t>
                  </w:r>
                </w:p>
              </w:tc>
              <w:tc>
                <w:tcPr>
                  <w:tcW w:w="1100" w:type="dxa"/>
                  <w:noWrap w:val="0"/>
                  <w:vAlign w:val="center"/>
                </w:tcPr>
                <w:p w14:paraId="2991CD06">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商店设计方案</w:t>
                  </w:r>
                </w:p>
              </w:tc>
              <w:tc>
                <w:tcPr>
                  <w:tcW w:w="6772" w:type="dxa"/>
                  <w:noWrap w:val="0"/>
                  <w:vAlign w:val="center"/>
                </w:tcPr>
                <w:p w14:paraId="086E301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合作方制定合肥野生动物园便利店设计方案，设计方案包括店铺外部装饰设计方案，店铺室内设计方案，供评委进行综合评价。</w:t>
                  </w:r>
                </w:p>
                <w:p w14:paraId="25BB6B9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olor w:val="000000"/>
                      <w:spacing w:val="3"/>
                      <w:sz w:val="24"/>
                      <w:highlight w:val="none"/>
                    </w:rPr>
                    <w:t>综合评价为优的，得</w:t>
                  </w:r>
                  <w:r>
                    <w:rPr>
                      <w:rFonts w:hint="eastAsia" w:ascii="宋体" w:hAnsi="宋体" w:eastAsia="宋体"/>
                      <w:color w:val="000000"/>
                      <w:spacing w:val="3"/>
                      <w:sz w:val="24"/>
                      <w:highlight w:val="none"/>
                      <w:lang w:val="en-US" w:eastAsia="zh-CN"/>
                    </w:rPr>
                    <w:t>12</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18</w:t>
                  </w:r>
                  <w:r>
                    <w:rPr>
                      <w:rFonts w:hint="eastAsia" w:ascii="宋体" w:hAnsi="宋体"/>
                      <w:color w:val="000000"/>
                      <w:spacing w:val="3"/>
                      <w:sz w:val="24"/>
                      <w:highlight w:val="none"/>
                    </w:rPr>
                    <w:t>分；综合评价为良的，得</w:t>
                  </w:r>
                  <w:r>
                    <w:rPr>
                      <w:rFonts w:hint="eastAsia" w:ascii="宋体" w:hAnsi="宋体" w:eastAsia="宋体"/>
                      <w:color w:val="000000"/>
                      <w:spacing w:val="3"/>
                      <w:sz w:val="24"/>
                      <w:highlight w:val="none"/>
                      <w:lang w:val="en-US" w:eastAsia="zh-CN"/>
                    </w:rPr>
                    <w:t>6</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12</w:t>
                  </w:r>
                  <w:r>
                    <w:rPr>
                      <w:rFonts w:hint="eastAsia" w:ascii="宋体" w:hAnsi="宋体"/>
                      <w:color w:val="000000"/>
                      <w:spacing w:val="3"/>
                      <w:sz w:val="24"/>
                      <w:highlight w:val="none"/>
                    </w:rPr>
                    <w:t>分；综合评价一般的，得1≤F＜</w:t>
                  </w:r>
                  <w:r>
                    <w:rPr>
                      <w:rFonts w:hint="eastAsia" w:ascii="宋体" w:hAnsi="宋体" w:eastAsia="宋体"/>
                      <w:color w:val="000000"/>
                      <w:spacing w:val="3"/>
                      <w:sz w:val="24"/>
                      <w:highlight w:val="none"/>
                      <w:lang w:val="en-US" w:eastAsia="zh-CN"/>
                    </w:rPr>
                    <w:t>6</w:t>
                  </w:r>
                  <w:r>
                    <w:rPr>
                      <w:rFonts w:hint="eastAsia" w:ascii="宋体" w:hAnsi="宋体"/>
                      <w:color w:val="000000"/>
                      <w:spacing w:val="3"/>
                      <w:sz w:val="24"/>
                      <w:highlight w:val="none"/>
                    </w:rPr>
                    <w:t>分，未提供不得分</w:t>
                  </w:r>
                  <w:r>
                    <w:rPr>
                      <w:rFonts w:hint="eastAsia" w:ascii="宋体" w:hAnsi="宋体" w:eastAsia="宋体" w:cs="Times New Roman"/>
                      <w:color w:val="000000"/>
                      <w:spacing w:val="3"/>
                      <w:sz w:val="24"/>
                      <w:highlight w:val="none"/>
                      <w:lang w:val="en-US" w:eastAsia="zh-CN"/>
                    </w:rPr>
                    <w:t>。</w:t>
                  </w:r>
                </w:p>
              </w:tc>
              <w:tc>
                <w:tcPr>
                  <w:tcW w:w="1052" w:type="dxa"/>
                  <w:noWrap w:val="0"/>
                  <w:vAlign w:val="center"/>
                </w:tcPr>
                <w:p w14:paraId="59C59881">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cs="宋体"/>
                      <w:b/>
                      <w:bCs/>
                      <w:szCs w:val="21"/>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18</w:t>
                  </w:r>
                  <w:r>
                    <w:rPr>
                      <w:rFonts w:hint="eastAsia" w:ascii="宋体" w:hAnsi="宋体" w:cs="宋体"/>
                      <w:bCs/>
                      <w:color w:val="000000"/>
                      <w:sz w:val="24"/>
                      <w:szCs w:val="24"/>
                      <w:highlight w:val="none"/>
                    </w:rPr>
                    <w:t>分</w:t>
                  </w:r>
                </w:p>
              </w:tc>
            </w:tr>
            <w:tr w14:paraId="5E7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14:paraId="2A007702">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6</w:t>
                  </w:r>
                </w:p>
              </w:tc>
              <w:tc>
                <w:tcPr>
                  <w:tcW w:w="1100" w:type="dxa"/>
                  <w:noWrap w:val="0"/>
                  <w:vAlign w:val="center"/>
                </w:tcPr>
                <w:p w14:paraId="3906A815">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经营方</w:t>
                  </w:r>
                </w:p>
                <w:p w14:paraId="3CD35CD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案及技</w:t>
                  </w:r>
                </w:p>
                <w:p w14:paraId="10EA03F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术措施</w:t>
                  </w:r>
                </w:p>
                <w:p w14:paraId="3B32B49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等方案</w:t>
                  </w:r>
                </w:p>
                <w:p w14:paraId="5B88EC5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p>
              </w:tc>
              <w:tc>
                <w:tcPr>
                  <w:tcW w:w="6772" w:type="dxa"/>
                  <w:noWrap w:val="0"/>
                  <w:vAlign w:val="center"/>
                </w:tcPr>
                <w:p w14:paraId="65E3BA78">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根据有关法规、政策以及景区超市管理的特点和要求，合作方要提出提高便利店管理服务水平的总体设想及策划方案，具体内容包括但不限于以下方面： </w:t>
                  </w:r>
                </w:p>
                <w:p w14:paraId="2939E7B7">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1.项目经营方案、超市经营品种； </w:t>
                  </w:r>
                </w:p>
                <w:p w14:paraId="3E2E9CCB">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2.超市管理方案及食品保存管理方案等； </w:t>
                  </w:r>
                </w:p>
                <w:p w14:paraId="60351BF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3.各项规章制度健全，特别是超市食品安全保障制度、食品质量管理制度、卫生清洁管理制度、设施设备管理制度、人员管理制度、财务管理制度等； </w:t>
                  </w:r>
                </w:p>
                <w:p w14:paraId="6250CBF7">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4.食品安全管理及食品质量保证； </w:t>
                  </w:r>
                </w:p>
                <w:p w14:paraId="205EA61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5.服务质量控制方案； </w:t>
                  </w:r>
                </w:p>
                <w:p w14:paraId="04E6535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6.卫生管理控制方案； </w:t>
                  </w:r>
                </w:p>
                <w:p w14:paraId="0FC7B05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由评标委员会根据投标文件以上内容进行综合评审： </w:t>
                  </w:r>
                </w:p>
                <w:p w14:paraId="38BCC537">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①方案周密、科学、详尽、可实施性强、保障措施完善，充分满足项目实施需求的得10≤F≤15分。 </w:t>
                  </w:r>
                </w:p>
                <w:p w14:paraId="3FFF7BB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②方案较周密、较科学、较合理、可实施性强、保障措施基本满足项目要求的得5≤F&lt;10分。 </w:t>
                  </w:r>
                </w:p>
                <w:p w14:paraId="3F3099E7">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③方案基本可行,细微存在不足的，人员安排不充分得1≤F&lt;5分。 </w:t>
                  </w:r>
                </w:p>
                <w:p w14:paraId="6AB9BAB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④方案不能满足项目实施要求或未提供的不得分。 </w:t>
                  </w:r>
                </w:p>
              </w:tc>
              <w:tc>
                <w:tcPr>
                  <w:tcW w:w="1052" w:type="dxa"/>
                  <w:noWrap w:val="0"/>
                  <w:vAlign w:val="center"/>
                </w:tcPr>
                <w:p w14:paraId="1924A6C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rPr>
                    <w:t>0-</w:t>
                  </w:r>
                  <w:r>
                    <w:rPr>
                      <w:rFonts w:hint="eastAsia" w:ascii="宋体" w:hAnsi="宋体" w:eastAsia="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14:paraId="2B9D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14:paraId="670F44F0">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7</w:t>
                  </w:r>
                </w:p>
              </w:tc>
              <w:tc>
                <w:tcPr>
                  <w:tcW w:w="1100" w:type="dxa"/>
                  <w:noWrap w:val="0"/>
                  <w:vAlign w:val="center"/>
                </w:tcPr>
                <w:p w14:paraId="34C14686">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保底报价</w:t>
                  </w:r>
                </w:p>
                <w:p w14:paraId="154DBD5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（要求不少于40.12万元）</w:t>
                  </w:r>
                </w:p>
              </w:tc>
              <w:tc>
                <w:tcPr>
                  <w:tcW w:w="6772" w:type="dxa"/>
                  <w:noWrap w:val="0"/>
                  <w:vAlign w:val="center"/>
                </w:tcPr>
                <w:p w14:paraId="1AC02BF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应根据自身综合能力，对招商方年度能获得的保底分成额做出报价，报价需要不低于项目评估底价。以满足文件要求的有效最高保底报价作为基准价，得分15分，其他报价得分=（其他报价/基准价）×15%×100（保留至小数点后两位）。</w:t>
                  </w:r>
                </w:p>
                <w:p w14:paraId="30D6846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注意：招商方全年分成总和大于保底报价时，招商方按照分成总和收取合作经营款，招商方全年分成总和小于等于保底报价时，招商方按照保底报价收取合作经营款，请合作方谨慎对待，慎重报价。</w:t>
                  </w:r>
                </w:p>
              </w:tc>
              <w:tc>
                <w:tcPr>
                  <w:tcW w:w="1052" w:type="dxa"/>
                  <w:noWrap w:val="0"/>
                  <w:vAlign w:val="center"/>
                </w:tcPr>
                <w:p w14:paraId="68D5855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s="宋体"/>
                      <w:bCs/>
                      <w:color w:val="000000"/>
                      <w:sz w:val="24"/>
                      <w:szCs w:val="24"/>
                      <w:highlight w:val="none"/>
                      <w:lang w:val="en-US" w:eastAsia="zh-CN"/>
                    </w:rPr>
                    <w:t>0-15分</w:t>
                  </w:r>
                </w:p>
              </w:tc>
            </w:tr>
            <w:tr w14:paraId="4101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70" w:type="dxa"/>
                  <w:noWrap w:val="0"/>
                  <w:vAlign w:val="center"/>
                </w:tcPr>
                <w:p w14:paraId="7AE18DB4">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8</w:t>
                  </w:r>
                </w:p>
              </w:tc>
              <w:tc>
                <w:tcPr>
                  <w:tcW w:w="1100" w:type="dxa"/>
                  <w:noWrap w:val="0"/>
                  <w:vAlign w:val="center"/>
                </w:tcPr>
                <w:p w14:paraId="3ED7937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分成比例报价</w:t>
                  </w:r>
                  <w:r>
                    <w:rPr>
                      <w:rFonts w:hint="eastAsia" w:ascii="宋体" w:hAnsi="宋体" w:cs="宋体"/>
                      <w:color w:val="auto"/>
                      <w:sz w:val="24"/>
                      <w:szCs w:val="24"/>
                      <w:highlight w:val="none"/>
                      <w:lang w:val="en-US" w:eastAsia="zh-CN"/>
                    </w:rPr>
                    <w:t>（要求不少于32%）</w:t>
                  </w:r>
                </w:p>
              </w:tc>
              <w:tc>
                <w:tcPr>
                  <w:tcW w:w="6772" w:type="dxa"/>
                  <w:noWrap w:val="0"/>
                  <w:vAlign w:val="center"/>
                </w:tcPr>
                <w:p w14:paraId="3611A2E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招商方分成比例最低不得少于32%。以满足文件要求的有效最高招商方分成比例报价为基准价，得15分，其他报价得分=（其他报价/基准价）×15%×100（保留至小数点后两位）。</w:t>
                  </w:r>
                </w:p>
                <w:p w14:paraId="19C3F165">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Times New Roman"/>
                      <w:color w:val="000000"/>
                      <w:spacing w:val="3"/>
                      <w:sz w:val="24"/>
                      <w:highlight w:val="none"/>
                      <w:lang w:val="en-US" w:eastAsia="zh-CN"/>
                    </w:rPr>
                  </w:pPr>
                </w:p>
              </w:tc>
              <w:tc>
                <w:tcPr>
                  <w:tcW w:w="1052" w:type="dxa"/>
                  <w:noWrap w:val="0"/>
                  <w:vAlign w:val="center"/>
                </w:tcPr>
                <w:p w14:paraId="6BC3D9B6">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0-15分</w:t>
                  </w:r>
                </w:p>
              </w:tc>
            </w:tr>
            <w:tr w14:paraId="4CD4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70" w:type="dxa"/>
                  <w:noWrap w:val="0"/>
                  <w:vAlign w:val="center"/>
                </w:tcPr>
                <w:p w14:paraId="6C5BB0C9">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9</w:t>
                  </w:r>
                </w:p>
              </w:tc>
              <w:tc>
                <w:tcPr>
                  <w:tcW w:w="7872" w:type="dxa"/>
                  <w:gridSpan w:val="2"/>
                  <w:noWrap w:val="0"/>
                  <w:vAlign w:val="center"/>
                </w:tcPr>
                <w:p w14:paraId="00B20249">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合计（1</w:t>
                  </w:r>
                  <w:r>
                    <w:rPr>
                      <w:rFonts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8</w:t>
                  </w:r>
                  <w:r>
                    <w:rPr>
                      <w:rFonts w:hint="eastAsia" w:ascii="宋体" w:hAnsi="宋体" w:cs="宋体"/>
                      <w:b/>
                      <w:bCs/>
                      <w:color w:val="000000"/>
                      <w:sz w:val="24"/>
                      <w:szCs w:val="24"/>
                      <w:highlight w:val="none"/>
                    </w:rPr>
                    <w:t>项）</w:t>
                  </w:r>
                </w:p>
              </w:tc>
              <w:tc>
                <w:tcPr>
                  <w:tcW w:w="1052" w:type="dxa"/>
                  <w:noWrap w:val="0"/>
                  <w:vAlign w:val="center"/>
                </w:tcPr>
                <w:p w14:paraId="2E285C10">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100</w:t>
                  </w:r>
                  <w:r>
                    <w:rPr>
                      <w:rFonts w:hint="eastAsia" w:ascii="宋体" w:hAnsi="宋体" w:cs="宋体"/>
                      <w:b/>
                      <w:bCs/>
                      <w:color w:val="000000"/>
                      <w:sz w:val="24"/>
                      <w:szCs w:val="24"/>
                      <w:highlight w:val="none"/>
                    </w:rPr>
                    <w:t>分</w:t>
                  </w:r>
                </w:p>
              </w:tc>
            </w:tr>
          </w:tbl>
          <w:p w14:paraId="76BC00F9">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最终成交结果以</w:t>
            </w:r>
            <w:r>
              <w:rPr>
                <w:rFonts w:hint="eastAsia" w:cs="宋体"/>
                <w:b w:val="0"/>
                <w:bCs w:val="0"/>
                <w:color w:val="000000"/>
                <w:sz w:val="24"/>
                <w:szCs w:val="24"/>
                <w:highlight w:val="none"/>
                <w:lang w:val="zh-CN" w:eastAsia="zh-CN"/>
              </w:rPr>
              <w:t>招商结果公告</w:t>
            </w:r>
            <w:r>
              <w:rPr>
                <w:rFonts w:hint="eastAsia" w:ascii="宋体" w:hAnsi="宋体" w:eastAsia="宋体" w:cs="宋体"/>
                <w:b w:val="0"/>
                <w:bCs w:val="0"/>
                <w:color w:val="000000"/>
                <w:sz w:val="24"/>
                <w:szCs w:val="24"/>
                <w:highlight w:val="none"/>
                <w:lang w:val="zh-CN" w:eastAsia="zh-CN"/>
              </w:rPr>
              <w:t>为准。</w:t>
            </w:r>
            <w:r>
              <w:rPr>
                <w:rFonts w:hint="eastAsia" w:cs="宋体"/>
                <w:b w:val="0"/>
                <w:bCs w:val="0"/>
                <w:color w:val="000000"/>
                <w:sz w:val="24"/>
                <w:szCs w:val="24"/>
                <w:highlight w:val="none"/>
                <w:lang w:val="zh-CN" w:eastAsia="zh-CN"/>
              </w:rPr>
              <w:t>同等分值下，原合作方享有优先合作权。</w:t>
            </w:r>
          </w:p>
          <w:p w14:paraId="2735784A">
            <w:pPr>
              <w:pStyle w:val="14"/>
              <w:spacing w:before="2" w:line="310" w:lineRule="atLeast"/>
              <w:ind w:right="95"/>
              <w:rPr>
                <w:rFonts w:hint="eastAsia" w:ascii="宋体" w:hAnsi="宋体" w:eastAsia="宋体" w:cs="宋体"/>
                <w:color w:val="000000"/>
                <w:w w:val="100"/>
                <w:sz w:val="24"/>
                <w:szCs w:val="24"/>
                <w:highlight w:val="none"/>
              </w:rPr>
            </w:pPr>
            <w:r>
              <w:rPr>
                <w:rFonts w:hint="eastAsia" w:ascii="宋体" w:hAnsi="宋体" w:eastAsia="宋体" w:cs="宋体"/>
                <w:b/>
                <w:color w:val="000000"/>
                <w:sz w:val="24"/>
                <w:szCs w:val="24"/>
                <w:highlight w:val="none"/>
              </w:rPr>
              <w:t>注：最高报价是指不低于公告底价的最高报价。</w:t>
            </w:r>
            <w:r>
              <w:rPr>
                <w:rFonts w:hint="eastAsia" w:ascii="宋体" w:hAnsi="宋体" w:eastAsia="宋体" w:cs="宋体"/>
                <w:color w:val="000000"/>
                <w:w w:val="100"/>
                <w:sz w:val="24"/>
                <w:szCs w:val="24"/>
                <w:highlight w:val="none"/>
              </w:rPr>
              <w:t xml:space="preserve"> </w:t>
            </w:r>
          </w:p>
        </w:tc>
      </w:tr>
      <w:tr w14:paraId="4C795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068" w:type="dxa"/>
            <w:noWrap w:val="0"/>
            <w:vAlign w:val="top"/>
          </w:tcPr>
          <w:p w14:paraId="1C41AD7F">
            <w:pPr>
              <w:pStyle w:val="14"/>
              <w:spacing w:before="2" w:line="310" w:lineRule="atLeast"/>
              <w:ind w:right="95"/>
              <w:jc w:val="center"/>
              <w:rPr>
                <w:rFonts w:hint="eastAsia" w:ascii="宋体" w:hAnsi="宋体" w:eastAsia="宋体" w:cs="宋体"/>
                <w:b/>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投标方</w:t>
            </w:r>
            <w:r>
              <w:rPr>
                <w:rFonts w:hint="eastAsia" w:ascii="宋体" w:hAnsi="宋体" w:eastAsia="宋体" w:cs="宋体"/>
                <w:color w:val="000000"/>
                <w:sz w:val="24"/>
                <w:szCs w:val="24"/>
                <w:highlight w:val="none"/>
              </w:rPr>
              <w:t>参与方式</w:t>
            </w:r>
          </w:p>
        </w:tc>
      </w:tr>
      <w:tr w14:paraId="64760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068" w:type="dxa"/>
            <w:noWrap w:val="0"/>
            <w:vAlign w:val="center"/>
          </w:tcPr>
          <w:p w14:paraId="2AFEF321">
            <w:pPr>
              <w:pStyle w:val="14"/>
              <w:spacing w:before="2" w:line="310" w:lineRule="atLeast"/>
              <w:ind w:right="95"/>
              <w:jc w:val="left"/>
              <w:rPr>
                <w:rFonts w:hint="eastAsia"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bidi="zh-CN"/>
              </w:rPr>
              <w:t>登录合肥文旅博览集团网站</w:t>
            </w:r>
            <w:r>
              <w:rPr>
                <w:rFonts w:hint="eastAsia" w:ascii="宋体" w:hAnsi="宋体"/>
                <w:bCs/>
                <w:color w:val="000000"/>
                <w:sz w:val="24"/>
                <w:szCs w:val="24"/>
                <w:highlight w:val="none"/>
              </w:rPr>
              <w:t>http://www.zwzcgl.com/index/lists/008002</w:t>
            </w:r>
            <w:r>
              <w:rPr>
                <w:rFonts w:hint="eastAsia" w:ascii="宋体" w:hAnsi="宋体" w:eastAsia="宋体" w:cs="宋体"/>
                <w:b w:val="0"/>
                <w:bCs w:val="0"/>
                <w:color w:val="000000"/>
                <w:sz w:val="24"/>
                <w:szCs w:val="24"/>
                <w:highlight w:val="none"/>
                <w:lang w:val="en-US" w:eastAsia="zh-CN" w:bidi="zh-CN"/>
              </w:rPr>
              <w:t>下载附件</w:t>
            </w:r>
            <w:r>
              <w:rPr>
                <w:rFonts w:hint="eastAsia" w:ascii="宋体" w:hAnsi="宋体" w:eastAsia="宋体" w:cs="宋体"/>
                <w:b/>
                <w:bCs/>
                <w:color w:val="000000"/>
                <w:sz w:val="24"/>
                <w:szCs w:val="24"/>
                <w:highlight w:val="none"/>
                <w:lang w:val="en-US" w:eastAsia="zh-CN" w:bidi="zh-CN"/>
              </w:rPr>
              <w:t>《招商报名信息表》</w:t>
            </w:r>
            <w:r>
              <w:rPr>
                <w:rFonts w:hint="eastAsia" w:ascii="宋体" w:hAnsi="宋体" w:eastAsia="宋体" w:cs="宋体"/>
                <w:b w:val="0"/>
                <w:bCs w:val="0"/>
                <w:color w:val="000000"/>
                <w:sz w:val="24"/>
                <w:szCs w:val="24"/>
                <w:highlight w:val="none"/>
                <w:lang w:val="en-US" w:eastAsia="zh-CN" w:bidi="zh-CN"/>
              </w:rPr>
              <w:t>完整填写信息，在公告期内（202</w:t>
            </w:r>
            <w:r>
              <w:rPr>
                <w:rFonts w:hint="eastAsia" w:cs="宋体"/>
                <w:b w:val="0"/>
                <w:bCs w:val="0"/>
                <w:color w:val="000000"/>
                <w:sz w:val="24"/>
                <w:szCs w:val="24"/>
                <w:highlight w:val="none"/>
                <w:lang w:val="en-US" w:eastAsia="zh-CN" w:bidi="zh-CN"/>
              </w:rPr>
              <w:t>5</w:t>
            </w:r>
            <w:r>
              <w:rPr>
                <w:rFonts w:hint="eastAsia" w:ascii="宋体" w:hAnsi="宋体" w:eastAsia="宋体" w:cs="宋体"/>
                <w:b w:val="0"/>
                <w:bCs w:val="0"/>
                <w:color w:val="000000"/>
                <w:sz w:val="24"/>
                <w:szCs w:val="24"/>
                <w:highlight w:val="none"/>
                <w:lang w:val="en-US" w:eastAsia="zh-CN" w:bidi="zh-CN"/>
              </w:rPr>
              <w:t>年</w:t>
            </w:r>
            <w:r>
              <w:rPr>
                <w:rFonts w:hint="eastAsia" w:cs="宋体"/>
                <w:b w:val="0"/>
                <w:bCs w:val="0"/>
                <w:color w:val="000000"/>
                <w:sz w:val="24"/>
                <w:szCs w:val="24"/>
                <w:highlight w:val="none"/>
                <w:lang w:val="en-US" w:eastAsia="zh-CN" w:bidi="zh-CN"/>
              </w:rPr>
              <w:t>2</w:t>
            </w:r>
            <w:r>
              <w:rPr>
                <w:rFonts w:hint="eastAsia" w:ascii="宋体" w:hAnsi="宋体" w:eastAsia="宋体" w:cs="宋体"/>
                <w:b w:val="0"/>
                <w:bCs w:val="0"/>
                <w:color w:val="000000"/>
                <w:sz w:val="24"/>
                <w:szCs w:val="24"/>
                <w:highlight w:val="none"/>
                <w:lang w:val="en-US" w:eastAsia="zh-CN" w:bidi="zh-CN"/>
              </w:rPr>
              <w:t>月</w:t>
            </w:r>
            <w:r>
              <w:rPr>
                <w:rFonts w:hint="eastAsia" w:cs="宋体"/>
                <w:b w:val="0"/>
                <w:bCs w:val="0"/>
                <w:color w:val="000000"/>
                <w:sz w:val="24"/>
                <w:szCs w:val="24"/>
                <w:highlight w:val="none"/>
                <w:lang w:val="en-US" w:eastAsia="zh-CN" w:bidi="zh-CN"/>
              </w:rPr>
              <w:t>8</w:t>
            </w:r>
            <w:r>
              <w:rPr>
                <w:rFonts w:hint="eastAsia" w:ascii="宋体" w:hAnsi="宋体" w:eastAsia="宋体" w:cs="宋体"/>
                <w:b w:val="0"/>
                <w:bCs w:val="0"/>
                <w:color w:val="000000"/>
                <w:sz w:val="24"/>
                <w:szCs w:val="24"/>
                <w:highlight w:val="none"/>
                <w:lang w:val="en-US" w:eastAsia="zh-CN" w:bidi="zh-CN"/>
              </w:rPr>
              <w:t>日17:00前）发送至邮箱</w:t>
            </w:r>
            <w:r>
              <w:rPr>
                <w:rFonts w:hint="eastAsia" w:ascii="宋体" w:hAnsi="宋体" w:eastAsia="宋体" w:cs="宋体"/>
                <w:b w:val="0"/>
                <w:bCs w:val="0"/>
                <w:color w:val="000000"/>
                <w:sz w:val="24"/>
                <w:szCs w:val="24"/>
                <w:highlight w:val="none"/>
                <w:u w:val="none"/>
                <w:lang w:val="en-US" w:eastAsia="zh-CN" w:bidi="zh-CN"/>
              </w:rPr>
              <w:t>：</w:t>
            </w:r>
            <w:r>
              <w:rPr>
                <w:rFonts w:hint="eastAsia" w:cs="宋体"/>
                <w:b w:val="0"/>
                <w:bCs w:val="0"/>
                <w:color w:val="000000"/>
                <w:sz w:val="24"/>
                <w:szCs w:val="24"/>
                <w:highlight w:val="none"/>
                <w:u w:val="single"/>
                <w:lang w:val="en-US" w:eastAsia="zh-CN" w:bidi="zh-CN"/>
              </w:rPr>
              <w:t>510785072</w:t>
            </w:r>
            <w:r>
              <w:rPr>
                <w:rFonts w:hint="eastAsia" w:ascii="宋体" w:hAnsi="宋体" w:eastAsia="宋体" w:cs="宋体"/>
                <w:b w:val="0"/>
                <w:bCs w:val="0"/>
                <w:color w:val="000000"/>
                <w:sz w:val="24"/>
                <w:szCs w:val="24"/>
                <w:highlight w:val="none"/>
                <w:u w:val="single"/>
                <w:lang w:val="en-US" w:eastAsia="zh-CN" w:bidi="zh-CN"/>
              </w:rPr>
              <w:t>@qq.com</w:t>
            </w:r>
          </w:p>
        </w:tc>
      </w:tr>
    </w:tbl>
    <w:tbl>
      <w:tblPr>
        <w:tblStyle w:val="13"/>
        <w:tblW w:w="100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8643"/>
      </w:tblGrid>
      <w:tr w14:paraId="3BBB0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8" w:type="dxa"/>
            <w:gridSpan w:val="2"/>
            <w:noWrap w:val="0"/>
            <w:vAlign w:val="center"/>
          </w:tcPr>
          <w:p w14:paraId="239AD55A">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center"/>
              <w:textAlignment w:val="auto"/>
              <w:rPr>
                <w:highlight w:val="none"/>
              </w:rPr>
            </w:pPr>
            <w:r>
              <w:rPr>
                <w:rFonts w:hint="eastAsia"/>
                <w:spacing w:val="-2"/>
                <w:highlight w:val="none"/>
                <w:lang w:eastAsia="zh-CN"/>
              </w:rPr>
              <w:t>七</w:t>
            </w:r>
            <w:r>
              <w:rPr>
                <w:spacing w:val="-2"/>
                <w:highlight w:val="none"/>
              </w:rPr>
              <w:t>、</w:t>
            </w:r>
            <w:r>
              <w:rPr>
                <w:rFonts w:hint="eastAsia" w:cs="宋体"/>
                <w:color w:val="000000"/>
                <w:sz w:val="24"/>
                <w:szCs w:val="24"/>
                <w:highlight w:val="none"/>
                <w:lang w:val="en-US" w:eastAsia="zh-CN" w:bidi="zh-CN"/>
              </w:rPr>
              <w:t>投标方</w:t>
            </w:r>
            <w:r>
              <w:rPr>
                <w:rFonts w:hint="eastAsia" w:ascii="宋体" w:hAnsi="宋体" w:eastAsia="宋体" w:cs="宋体"/>
                <w:color w:val="000000"/>
                <w:sz w:val="24"/>
                <w:szCs w:val="24"/>
                <w:highlight w:val="none"/>
                <w:lang w:val="en-US" w:eastAsia="zh-CN" w:bidi="zh-CN"/>
              </w:rPr>
              <w:t>需提供的材料</w:t>
            </w:r>
          </w:p>
        </w:tc>
      </w:tr>
      <w:tr w14:paraId="7432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6" w:hRule="atLeast"/>
        </w:trPr>
        <w:tc>
          <w:tcPr>
            <w:tcW w:w="1425" w:type="dxa"/>
            <w:noWrap w:val="0"/>
            <w:vAlign w:val="center"/>
          </w:tcPr>
          <w:p w14:paraId="690373D5">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center"/>
              <w:textAlignment w:val="auto"/>
              <w:rPr>
                <w:highlight w:val="none"/>
              </w:rPr>
            </w:pPr>
            <w:r>
              <w:rPr>
                <w:rFonts w:hint="eastAsia" w:ascii="宋体" w:hAnsi="宋体" w:eastAsia="宋体" w:cs="宋体"/>
                <w:color w:val="000000"/>
                <w:sz w:val="24"/>
                <w:szCs w:val="24"/>
                <w:highlight w:val="none"/>
                <w:lang w:eastAsia="zh-CN"/>
              </w:rPr>
              <w:t>报送材料</w:t>
            </w:r>
          </w:p>
        </w:tc>
        <w:tc>
          <w:tcPr>
            <w:tcW w:w="8643" w:type="dxa"/>
            <w:noWrap w:val="0"/>
            <w:vAlign w:val="center"/>
          </w:tcPr>
          <w:p w14:paraId="07115F3A">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（一）合作方应提供的材料，包含但不限于以下内容：</w:t>
            </w:r>
          </w:p>
          <w:p w14:paraId="24570DC2">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1.主体资格证明文件：</w:t>
            </w:r>
          </w:p>
          <w:p w14:paraId="3718DC55">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（1）企业法人登记证书副本复印件或营业执照副本复印件；</w:t>
            </w:r>
          </w:p>
          <w:p w14:paraId="682B9D37">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（2）法定代表人或委托代理人身份证复印件及授权委托书；</w:t>
            </w:r>
          </w:p>
          <w:p w14:paraId="695CA7CD">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（3）合作方认为必要的其他证明资料，例如合作方信用承诺等。  </w:t>
            </w:r>
          </w:p>
          <w:p w14:paraId="3155CACA">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2、业绩证明材料及各类设计方案或样品；                                      </w:t>
            </w:r>
          </w:p>
          <w:p w14:paraId="754ACC19">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3.报价单（报价单须加盖单位公章）。</w:t>
            </w:r>
          </w:p>
          <w:p w14:paraId="04BDA39D">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cs="宋体"/>
                <w:i w:val="0"/>
                <w:iCs w:val="0"/>
                <w:caps w:val="0"/>
                <w:color w:val="000000"/>
                <w:spacing w:val="0"/>
                <w:sz w:val="24"/>
                <w:szCs w:val="24"/>
                <w:highlight w:val="none"/>
                <w:shd w:val="clear" w:color="auto" w:fill="FFFFFF"/>
                <w:lang w:eastAsia="zh-CN"/>
              </w:rPr>
              <w:t>所有材料必须</w:t>
            </w:r>
            <w:r>
              <w:rPr>
                <w:rFonts w:hint="eastAsia" w:ascii="宋体" w:hAnsi="宋体" w:eastAsia="宋体" w:cs="宋体"/>
                <w:i w:val="0"/>
                <w:iCs w:val="0"/>
                <w:caps w:val="0"/>
                <w:color w:val="000000"/>
                <w:spacing w:val="0"/>
                <w:sz w:val="24"/>
                <w:szCs w:val="24"/>
                <w:highlight w:val="none"/>
                <w:shd w:val="clear" w:color="auto" w:fill="FFFFFF"/>
              </w:rPr>
              <w:t>密封包装</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包装上标注“</w:t>
            </w:r>
            <w:r>
              <w:rPr>
                <w:rFonts w:hint="eastAsia" w:ascii="宋体" w:hAnsi="宋体" w:eastAsia="宋体" w:cs="宋体"/>
                <w:color w:val="000000"/>
                <w:kern w:val="0"/>
                <w:sz w:val="24"/>
                <w:szCs w:val="24"/>
                <w:highlight w:val="none"/>
              </w:rPr>
              <w:t>合肥野生动物园</w:t>
            </w:r>
            <w:r>
              <w:rPr>
                <w:rFonts w:hint="eastAsia" w:ascii="宋体" w:hAnsi="宋体" w:cs="宋体"/>
                <w:color w:val="000000"/>
                <w:kern w:val="0"/>
                <w:sz w:val="24"/>
                <w:szCs w:val="24"/>
                <w:highlight w:val="none"/>
                <w:lang w:val="en-US" w:eastAsia="zh-CN"/>
              </w:rPr>
              <w:t>日本猴园</w:t>
            </w:r>
            <w:r>
              <w:rPr>
                <w:rFonts w:hint="eastAsia" w:ascii="宋体" w:hAnsi="宋体" w:eastAsia="宋体" w:cs="宋体"/>
                <w:color w:val="000000"/>
                <w:kern w:val="0"/>
                <w:sz w:val="24"/>
                <w:szCs w:val="24"/>
                <w:highlight w:val="none"/>
              </w:rPr>
              <w:t>便利店</w:t>
            </w:r>
            <w:r>
              <w:rPr>
                <w:rFonts w:hint="eastAsia" w:ascii="宋体" w:hAnsi="宋体" w:cs="宋体"/>
                <w:color w:val="000000"/>
                <w:kern w:val="0"/>
                <w:sz w:val="24"/>
                <w:szCs w:val="24"/>
                <w:highlight w:val="none"/>
                <w:lang w:eastAsia="zh-CN"/>
              </w:rPr>
              <w:t>项目</w:t>
            </w:r>
            <w:r>
              <w:rPr>
                <w:rFonts w:hint="eastAsia" w:ascii="宋体" w:hAnsi="宋体" w:eastAsia="宋体" w:cs="宋体"/>
                <w:i w:val="0"/>
                <w:iCs w:val="0"/>
                <w:caps w:val="0"/>
                <w:color w:val="000000"/>
                <w:spacing w:val="0"/>
                <w:sz w:val="24"/>
                <w:szCs w:val="24"/>
                <w:highlight w:val="none"/>
                <w:shd w:val="clear" w:color="auto" w:fill="FFFFFF"/>
              </w:rPr>
              <w:t>”字样并清楚标明意向</w:t>
            </w:r>
            <w:r>
              <w:rPr>
                <w:rFonts w:hint="eastAsia" w:ascii="宋体" w:hAnsi="宋体" w:eastAsia="宋体" w:cs="宋体"/>
                <w:i w:val="0"/>
                <w:iCs w:val="0"/>
                <w:caps w:val="0"/>
                <w:color w:val="000000"/>
                <w:spacing w:val="0"/>
                <w:sz w:val="24"/>
                <w:szCs w:val="24"/>
                <w:highlight w:val="none"/>
                <w:shd w:val="clear" w:color="auto" w:fill="FFFFFF"/>
                <w:lang w:eastAsia="zh-CN"/>
              </w:rPr>
              <w:t>承租</w:t>
            </w:r>
            <w:r>
              <w:rPr>
                <w:rFonts w:hint="eastAsia" w:ascii="宋体" w:hAnsi="宋体" w:eastAsia="宋体" w:cs="宋体"/>
                <w:i w:val="0"/>
                <w:iCs w:val="0"/>
                <w:caps w:val="0"/>
                <w:color w:val="000000"/>
                <w:spacing w:val="0"/>
                <w:sz w:val="24"/>
                <w:szCs w:val="24"/>
                <w:highlight w:val="none"/>
                <w:shd w:val="clear" w:color="auto" w:fill="FFFFFF"/>
              </w:rPr>
              <w:t>方的名称及联系方式，同时加盖单位公章</w:t>
            </w:r>
            <w:r>
              <w:rPr>
                <w:rFonts w:hint="eastAsia" w:ascii="宋体" w:hAnsi="宋体" w:eastAsia="宋体" w:cs="宋体"/>
                <w:i w:val="0"/>
                <w:iCs w:val="0"/>
                <w:caps w:val="0"/>
                <w:color w:val="000000"/>
                <w:spacing w:val="0"/>
                <w:sz w:val="24"/>
                <w:szCs w:val="24"/>
                <w:highlight w:val="none"/>
                <w:shd w:val="clear" w:color="auto" w:fill="FFFFFF"/>
                <w:lang w:eastAsia="zh-CN"/>
              </w:rPr>
              <w:t>。</w:t>
            </w:r>
          </w:p>
          <w:p w14:paraId="1F70315A">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报价材料的送达地点：合肥市</w:t>
            </w:r>
            <w:r>
              <w:rPr>
                <w:rFonts w:hint="eastAsia" w:ascii="宋体" w:hAnsi="宋体" w:cs="宋体"/>
                <w:i w:val="0"/>
                <w:iCs w:val="0"/>
                <w:caps w:val="0"/>
                <w:color w:val="000000"/>
                <w:spacing w:val="0"/>
                <w:sz w:val="24"/>
                <w:szCs w:val="24"/>
                <w:highlight w:val="none"/>
                <w:shd w:val="clear" w:color="auto" w:fill="FFFFFF"/>
                <w:lang w:val="en-US" w:eastAsia="zh-CN"/>
              </w:rPr>
              <w:t>高新区望江西路600号合肥野生动物园商业管理部，报送截止时间为：2025年2</w:t>
            </w:r>
            <w:r>
              <w:rPr>
                <w:rFonts w:hint="eastAsia" w:ascii="宋体" w:hAnsi="宋体" w:cs="宋体"/>
                <w:i w:val="0"/>
                <w:iCs w:val="0"/>
                <w:caps w:val="0"/>
                <w:color w:val="000000"/>
                <w:spacing w:val="0"/>
                <w:sz w:val="24"/>
                <w:szCs w:val="24"/>
                <w:highlight w:val="none"/>
                <w:shd w:val="clear" w:color="auto" w:fill="FFFFFF"/>
                <w:lang w:val="en-US" w:eastAsia="zh-CN"/>
              </w:rPr>
              <w:t>月10</w:t>
            </w:r>
            <w:r>
              <w:rPr>
                <w:rFonts w:hint="eastAsia" w:ascii="宋体" w:hAnsi="宋体" w:cs="宋体"/>
                <w:i w:val="0"/>
                <w:iCs w:val="0"/>
                <w:caps w:val="0"/>
                <w:color w:val="000000"/>
                <w:spacing w:val="0"/>
                <w:sz w:val="24"/>
                <w:szCs w:val="24"/>
                <w:highlight w:val="none"/>
                <w:shd w:val="clear" w:color="auto" w:fill="FFFFFF"/>
                <w:lang w:val="en-US" w:eastAsia="zh-CN"/>
              </w:rPr>
              <w:t>日14：30</w:t>
            </w:r>
          </w:p>
          <w:p w14:paraId="200536C9">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在本公告要求提交材料的截止时间之后送达或未封装的报价材料，</w:t>
            </w:r>
            <w:r>
              <w:rPr>
                <w:rFonts w:hint="eastAsia" w:cs="宋体"/>
                <w:i w:val="0"/>
                <w:iCs w:val="0"/>
                <w:caps w:val="0"/>
                <w:color w:val="000000"/>
                <w:spacing w:val="0"/>
                <w:sz w:val="24"/>
                <w:szCs w:val="24"/>
                <w:highlight w:val="none"/>
                <w:shd w:val="clear" w:color="auto" w:fill="FFFFFF"/>
                <w:lang w:val="en-US" w:eastAsia="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rPr>
              <w:t>拒绝接收。</w:t>
            </w:r>
            <w:r>
              <w:rPr>
                <w:rFonts w:hint="eastAsia" w:ascii="宋体" w:hAnsi="宋体" w:eastAsia="宋体" w:cs="宋体"/>
                <w:color w:val="000000"/>
                <w:spacing w:val="-6"/>
                <w:sz w:val="24"/>
                <w:szCs w:val="24"/>
                <w:highlight w:val="none"/>
              </w:rPr>
              <w:t>联系人：</w:t>
            </w:r>
            <w:r>
              <w:rPr>
                <w:rFonts w:hint="eastAsia" w:cs="宋体"/>
                <w:color w:val="000000"/>
                <w:spacing w:val="-6"/>
                <w:sz w:val="24"/>
                <w:szCs w:val="24"/>
                <w:highlight w:val="none"/>
                <w:lang w:eastAsia="zh-CN"/>
              </w:rPr>
              <w:t>王</w:t>
            </w:r>
            <w:r>
              <w:rPr>
                <w:rFonts w:hint="eastAsia" w:ascii="宋体" w:hAnsi="宋体" w:eastAsia="宋体" w:cs="宋体"/>
                <w:color w:val="000000"/>
                <w:spacing w:val="-6"/>
                <w:sz w:val="24"/>
                <w:szCs w:val="24"/>
                <w:highlight w:val="none"/>
                <w:lang w:eastAsia="zh-CN"/>
              </w:rPr>
              <w:t>工</w:t>
            </w:r>
            <w:r>
              <w:rPr>
                <w:rFonts w:hint="eastAsia" w:ascii="宋体" w:hAnsi="宋体" w:eastAsia="宋体" w:cs="宋体"/>
                <w:color w:val="000000"/>
                <w:spacing w:val="-6"/>
                <w:sz w:val="24"/>
                <w:szCs w:val="24"/>
                <w:highlight w:val="none"/>
              </w:rPr>
              <w:t xml:space="preserve">，联系电话： </w:t>
            </w:r>
            <w:r>
              <w:rPr>
                <w:rFonts w:hint="eastAsia" w:ascii="宋体" w:hAnsi="宋体" w:eastAsia="宋体" w:cs="宋体"/>
                <w:color w:val="000000"/>
                <w:sz w:val="24"/>
                <w:szCs w:val="24"/>
                <w:highlight w:val="none"/>
              </w:rPr>
              <w:t>0551-</w:t>
            </w:r>
            <w:r>
              <w:rPr>
                <w:rFonts w:hint="eastAsia" w:cs="宋体"/>
                <w:color w:val="000000"/>
                <w:sz w:val="24"/>
                <w:szCs w:val="24"/>
                <w:highlight w:val="none"/>
                <w:lang w:val="en-US" w:eastAsia="zh-CN"/>
              </w:rPr>
              <w:t>65395636</w:t>
            </w:r>
            <w:r>
              <w:rPr>
                <w:rFonts w:hint="eastAsia" w:ascii="宋体" w:hAnsi="宋体" w:eastAsia="宋体" w:cs="宋体"/>
                <w:color w:val="000000"/>
                <w:sz w:val="24"/>
                <w:szCs w:val="24"/>
                <w:highlight w:val="none"/>
                <w:lang w:val="en-US" w:eastAsia="zh-CN"/>
              </w:rPr>
              <w:t>。</w:t>
            </w:r>
          </w:p>
        </w:tc>
      </w:tr>
    </w:tbl>
    <w:tbl>
      <w:tblPr>
        <w:tblStyle w:val="10"/>
        <w:tblW w:w="10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5"/>
        <w:gridCol w:w="8721"/>
      </w:tblGrid>
      <w:tr w14:paraId="1005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3517AFC7">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eastAsia="zh-CN"/>
              </w:rPr>
              <w:t>八</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招商</w:t>
            </w:r>
            <w:r>
              <w:rPr>
                <w:rFonts w:hint="eastAsia" w:ascii="宋体" w:hAnsi="宋体" w:eastAsia="宋体" w:cs="宋体"/>
                <w:color w:val="000000"/>
                <w:sz w:val="24"/>
                <w:szCs w:val="24"/>
                <w:highlight w:val="none"/>
              </w:rPr>
              <w:t>结束后相关程序</w:t>
            </w:r>
          </w:p>
        </w:tc>
      </w:tr>
      <w:tr w14:paraId="1A0EB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7232262E">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cs="宋体"/>
                <w:color w:val="000000"/>
                <w:sz w:val="24"/>
                <w:szCs w:val="24"/>
                <w:highlight w:val="none"/>
                <w:lang w:val="en-US" w:eastAsia="zh-CN" w:bidi="zh-CN"/>
              </w:rPr>
              <w:t>招商结果公告</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663915E7">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招商结束且无异常情况，合肥文旅博览集团野生动物园管理有限公司将在合肥文旅博览集团官网发布招商结果公告，公示期3个工作日。</w:t>
            </w:r>
          </w:p>
        </w:tc>
      </w:tr>
      <w:tr w14:paraId="1B3D6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5DDAAE49">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签订合同</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3BEBFAD5">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中标</w:t>
            </w:r>
            <w:r>
              <w:rPr>
                <w:rFonts w:hint="eastAsia" w:ascii="宋体" w:hAnsi="宋体" w:cs="宋体"/>
                <w:i w:val="0"/>
                <w:iCs w:val="0"/>
                <w:caps w:val="0"/>
                <w:color w:val="000000"/>
                <w:spacing w:val="0"/>
                <w:sz w:val="24"/>
                <w:szCs w:val="24"/>
                <w:highlight w:val="none"/>
                <w:shd w:val="clear" w:color="auto" w:fill="FFFFFF"/>
                <w:lang w:val="en-US" w:eastAsia="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rPr>
              <w:t>请于招商结果公告期结束日起 7 个工作日内前来我司签订合作经营合同。公司地址：合肥市高新区望江西路600号合肥野生动物园。</w:t>
            </w:r>
          </w:p>
        </w:tc>
      </w:tr>
      <w:tr w14:paraId="7EC27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32257578">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zh-CN"/>
              </w:rPr>
              <w:t>异议处理</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06B65618">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若对</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有异议，可自</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发布</w:t>
            </w:r>
            <w:r>
              <w:rPr>
                <w:rFonts w:hint="eastAsia" w:cs="宋体"/>
                <w:i w:val="0"/>
                <w:iCs w:val="0"/>
                <w:caps w:val="0"/>
                <w:color w:val="000000"/>
                <w:spacing w:val="0"/>
                <w:sz w:val="24"/>
                <w:szCs w:val="24"/>
                <w:highlight w:val="none"/>
                <w:shd w:val="clear" w:color="auto" w:fill="FFFFFF"/>
                <w:lang w:val="en-US" w:eastAsia="zh-CN" w:bidi="zh-CN"/>
              </w:rPr>
              <w:t>之日</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起</w:t>
            </w:r>
            <w:r>
              <w:rPr>
                <w:rFonts w:hint="eastAsia" w:cs="宋体"/>
                <w:i w:val="0"/>
                <w:iCs w:val="0"/>
                <w:caps w:val="0"/>
                <w:color w:val="000000"/>
                <w:spacing w:val="0"/>
                <w:sz w:val="24"/>
                <w:szCs w:val="24"/>
                <w:highlight w:val="none"/>
                <w:shd w:val="clear" w:color="auto" w:fill="FFFFFF"/>
                <w:lang w:val="en-US" w:eastAsia="zh-CN" w:bidi="zh-CN"/>
              </w:rPr>
              <w:t>3</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个工作日内，以书面形式向</w:t>
            </w:r>
            <w:r>
              <w:rPr>
                <w:rFonts w:hint="eastAsia" w:cs="宋体"/>
                <w:i w:val="0"/>
                <w:iCs w:val="0"/>
                <w:caps w:val="0"/>
                <w:color w:val="000000"/>
                <w:spacing w:val="0"/>
                <w:sz w:val="24"/>
                <w:szCs w:val="24"/>
                <w:highlight w:val="none"/>
                <w:shd w:val="clear" w:color="auto" w:fill="FFFFFF"/>
                <w:lang w:val="en-US" w:eastAsia="zh-CN" w:bidi="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提出异议，异议材料递交地址：合肥</w:t>
            </w:r>
            <w:r>
              <w:rPr>
                <w:rFonts w:hint="eastAsia" w:cs="宋体"/>
                <w:i w:val="0"/>
                <w:iCs w:val="0"/>
                <w:caps w:val="0"/>
                <w:color w:val="000000"/>
                <w:spacing w:val="0"/>
                <w:sz w:val="24"/>
                <w:szCs w:val="24"/>
                <w:highlight w:val="none"/>
                <w:shd w:val="clear" w:color="auto" w:fill="FFFFFF"/>
                <w:lang w:val="en-US" w:eastAsia="zh-CN" w:bidi="zh-CN"/>
              </w:rPr>
              <w:t>市高新区望江西路600号合肥野生动物园。</w:t>
            </w:r>
          </w:p>
          <w:p w14:paraId="055E57E2">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14:paraId="32156D9D">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（一）异议应以书面形式实名提出，书面异议材料应当包括以内容：</w:t>
            </w:r>
          </w:p>
          <w:p w14:paraId="5054B05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1.异议人的名称/姓名、地址、有效联系方式； </w:t>
            </w:r>
          </w:p>
          <w:p w14:paraId="0F77FA71">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项目名称、项目编号、标的号（如有）； </w:t>
            </w:r>
          </w:p>
          <w:p w14:paraId="2FB858D4">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被异议人名称/姓名； </w:t>
            </w:r>
          </w:p>
          <w:p w14:paraId="4DF6EF73">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具体的异议事项、基本事实及必要的证明材料； </w:t>
            </w:r>
          </w:p>
          <w:p w14:paraId="2E8BCF87">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明确的请求及主张； </w:t>
            </w:r>
          </w:p>
          <w:p w14:paraId="1D786021">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提起异议的日期。 </w:t>
            </w:r>
          </w:p>
          <w:p w14:paraId="51CE462E">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异议人为法人的，应当由法定代表人或其委托代理人（需有委托授权书）签字并加盖公章。 </w:t>
            </w:r>
          </w:p>
          <w:p w14:paraId="23F72D99">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异议人需要修改、补充异议材料的，应当在异议期内提交修改或补充材料。 </w:t>
            </w:r>
          </w:p>
          <w:p w14:paraId="26F121C2">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（二）有下列情形之一的，不予受理： </w:t>
            </w:r>
          </w:p>
          <w:p w14:paraId="5954293B">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提起异议的主体不是所异议项目</w:t>
            </w:r>
            <w:r>
              <w:rPr>
                <w:rFonts w:hint="eastAsia" w:cs="宋体"/>
                <w:i w:val="0"/>
                <w:iCs w:val="0"/>
                <w:caps w:val="0"/>
                <w:color w:val="000000"/>
                <w:spacing w:val="0"/>
                <w:sz w:val="24"/>
                <w:szCs w:val="24"/>
                <w:highlight w:val="none"/>
                <w:shd w:val="clear" w:color="auto" w:fill="FFFFFF"/>
                <w:lang w:val="en-US" w:eastAsia="zh-CN" w:bidi="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的</w:t>
            </w:r>
            <w:r>
              <w:rPr>
                <w:rFonts w:hint="eastAsia" w:cs="宋体"/>
                <w:i w:val="0"/>
                <w:iCs w:val="0"/>
                <w:caps w:val="0"/>
                <w:color w:val="000000"/>
                <w:spacing w:val="0"/>
                <w:sz w:val="24"/>
                <w:szCs w:val="24"/>
                <w:highlight w:val="none"/>
                <w:shd w:val="clear" w:color="auto" w:fill="FFFFFF"/>
                <w:lang w:val="en-US" w:eastAsia="zh-CN" w:bidi="zh-CN"/>
              </w:rPr>
              <w:t>，或者未通过资格审查的合作方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14:paraId="5FA45F04">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异议材料不完整的； </w:t>
            </w:r>
          </w:p>
          <w:p w14:paraId="1792BA7D">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异议事项含有主观猜测等内容且未提供有效线索、难以查证的。</w:t>
            </w:r>
          </w:p>
        </w:tc>
      </w:tr>
      <w:tr w14:paraId="7C6F1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2AF3C6C6">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center"/>
              <w:textAlignment w:val="auto"/>
              <w:rPr>
                <w:rFonts w:hint="eastAsia" w:ascii="宋体" w:hAnsi="宋体" w:eastAsia="宋体" w:cs="宋体"/>
                <w:color w:val="000000"/>
                <w:spacing w:val="-3"/>
                <w:sz w:val="24"/>
                <w:szCs w:val="24"/>
                <w:highlight w:val="none"/>
                <w:lang w:eastAsia="zh-CN"/>
              </w:rPr>
            </w:pPr>
            <w:r>
              <w:rPr>
                <w:rFonts w:hint="eastAsia" w:cs="宋体"/>
                <w:color w:val="000000"/>
                <w:spacing w:val="-3"/>
                <w:sz w:val="24"/>
                <w:szCs w:val="24"/>
                <w:highlight w:val="none"/>
                <w:lang w:eastAsia="zh-CN"/>
              </w:rPr>
              <w:t>九</w:t>
            </w:r>
            <w:r>
              <w:rPr>
                <w:rFonts w:hint="eastAsia" w:ascii="宋体" w:hAnsi="宋体" w:eastAsia="宋体" w:cs="宋体"/>
                <w:color w:val="000000"/>
                <w:spacing w:val="-3"/>
                <w:sz w:val="24"/>
                <w:szCs w:val="24"/>
                <w:highlight w:val="none"/>
                <w:lang w:eastAsia="zh-CN"/>
              </w:rPr>
              <w:t>、联系方式</w:t>
            </w:r>
          </w:p>
        </w:tc>
      </w:tr>
      <w:tr w14:paraId="065BD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36D6D6F1">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z w:val="24"/>
                <w:szCs w:val="24"/>
                <w:highlight w:val="none"/>
              </w:rPr>
              <w:t>现场</w:t>
            </w:r>
            <w:r>
              <w:rPr>
                <w:rFonts w:hint="eastAsia" w:cs="宋体"/>
                <w:color w:val="000000"/>
                <w:sz w:val="24"/>
                <w:szCs w:val="24"/>
                <w:highlight w:val="none"/>
                <w:lang w:eastAsia="zh-CN"/>
              </w:rPr>
              <w:t>实勘</w:t>
            </w:r>
            <w:r>
              <w:rPr>
                <w:rFonts w:hint="eastAsia" w:ascii="宋体" w:hAnsi="宋体" w:eastAsia="宋体" w:cs="宋体"/>
                <w:color w:val="000000"/>
                <w:sz w:val="24"/>
                <w:szCs w:val="24"/>
                <w:highlight w:val="none"/>
              </w:rPr>
              <w:t xml:space="preserve"> </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1E615908">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联系人：王工  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r>
              <w:rPr>
                <w:rFonts w:hint="eastAsia" w:ascii="宋体" w:hAnsi="宋体" w:eastAsia="宋体" w:cs="宋体"/>
                <w:color w:val="000000"/>
                <w:sz w:val="24"/>
                <w:szCs w:val="24"/>
                <w:highlight w:val="none"/>
              </w:rPr>
              <w:t xml:space="preserve">  </w:t>
            </w:r>
          </w:p>
        </w:tc>
      </w:tr>
      <w:tr w14:paraId="3F93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53E94689">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3"/>
                <w:sz w:val="24"/>
                <w:szCs w:val="24"/>
                <w:highlight w:val="none"/>
              </w:rPr>
              <w:t>本项目合作方如需咨询，务必首先认真阅读本项目公告，并针对具体条款进行咨询。本公告为本项目唯一法定文书，一切解释以本公告为准。商家需自行评估参与本次招商的预期风险及收益，参与合肥文旅博览集团野生动物园管理有限公司招商视作认可合肥文旅博览集团野生动物园管理有限公司招商相关要求及规定，本招商公告解释权归合肥文旅博览集团野生动物园管理有限公司所有。</w:t>
            </w:r>
          </w:p>
        </w:tc>
      </w:tr>
    </w:tbl>
    <w:p w14:paraId="365BAC1B">
      <w:pPr>
        <w:pStyle w:val="6"/>
        <w:snapToGrid w:val="0"/>
        <w:spacing w:line="360" w:lineRule="auto"/>
        <w:jc w:val="left"/>
        <w:rPr>
          <w:rFonts w:hint="eastAsia" w:ascii="宋体" w:hAnsi="宋体" w:eastAsia="宋体" w:cs="宋体"/>
          <w:color w:val="000000"/>
          <w:sz w:val="28"/>
          <w:szCs w:val="28"/>
          <w:highlight w:val="none"/>
        </w:rPr>
      </w:pPr>
      <w:r>
        <w:rPr>
          <w:rFonts w:hint="eastAsia" w:ascii="Arial" w:hAnsi="Arial" w:eastAsia="宋体" w:cs="Arial"/>
          <w:sz w:val="21"/>
          <w:szCs w:val="21"/>
          <w:highlight w:val="none"/>
          <w:lang w:eastAsia="zh-CN"/>
        </w:rPr>
        <w:br w:type="page"/>
      </w:r>
    </w:p>
    <w:p w14:paraId="60E5F596">
      <w:pPr>
        <w:pStyle w:val="2"/>
        <w:jc w:val="both"/>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eastAsia="zh-CN"/>
        </w:rPr>
        <w:t>附件一：</w:t>
      </w:r>
      <w:r>
        <w:rPr>
          <w:rFonts w:hint="eastAsia" w:ascii="方正小标宋简体" w:hAnsi="方正小标宋简体" w:eastAsia="方正小标宋简体" w:cs="方正小标宋简体"/>
          <w:b w:val="0"/>
          <w:bCs w:val="0"/>
          <w:sz w:val="32"/>
          <w:szCs w:val="32"/>
          <w:highlight w:val="none"/>
          <w:lang w:val="en-US" w:eastAsia="zh-CN"/>
        </w:rPr>
        <w:t xml:space="preserve">  </w:t>
      </w:r>
    </w:p>
    <w:p w14:paraId="258B0E51">
      <w:pPr>
        <w:pStyle w:val="2"/>
        <w:jc w:val="center"/>
        <w:rPr>
          <w:rFonts w:hint="eastAsia" w:ascii="方正小标宋简体" w:hAnsi="方正小标宋简体" w:eastAsia="方正小标宋简体" w:cs="方正小标宋简体"/>
          <w:b w:val="0"/>
          <w:bCs w:val="0"/>
          <w:sz w:val="32"/>
          <w:szCs w:val="32"/>
          <w:highlight w:val="none"/>
          <w:lang w:eastAsia="zh-CN"/>
        </w:rPr>
      </w:pPr>
      <w:r>
        <w:rPr>
          <w:rFonts w:hint="eastAsia" w:ascii="方正小标宋简体" w:hAnsi="方正小标宋简体" w:eastAsia="方正小标宋简体" w:cs="方正小标宋简体"/>
          <w:b w:val="0"/>
          <w:bCs w:val="0"/>
          <w:sz w:val="32"/>
          <w:szCs w:val="32"/>
          <w:highlight w:val="none"/>
          <w:lang w:eastAsia="zh-CN"/>
        </w:rPr>
        <w:t>授权书</w:t>
      </w:r>
    </w:p>
    <w:p w14:paraId="3FA3353D">
      <w:pPr>
        <w:pStyle w:val="6"/>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本授权书声明</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公司授权</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授权代表姓名、职务，手机号码）代表本公司参加合肥文旅博览集团野生动物园管理有限公司</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u w:val="none"/>
          <w:lang w:eastAsia="zh-CN"/>
        </w:rPr>
        <w:t>项目</w:t>
      </w:r>
      <w:r>
        <w:rPr>
          <w:rFonts w:hint="eastAsia" w:ascii="宋体" w:hAnsi="宋体" w:eastAsia="宋体" w:cs="宋体"/>
          <w:bCs/>
          <w:color w:val="000000"/>
          <w:sz w:val="24"/>
          <w:szCs w:val="28"/>
          <w:highlight w:val="none"/>
        </w:rPr>
        <w:t>招</w:t>
      </w:r>
      <w:r>
        <w:rPr>
          <w:rFonts w:hint="eastAsia" w:ascii="宋体" w:hAnsi="宋体" w:eastAsia="宋体" w:cs="宋体"/>
          <w:bCs/>
          <w:color w:val="000000"/>
          <w:sz w:val="24"/>
          <w:szCs w:val="28"/>
          <w:highlight w:val="none"/>
          <w:lang w:eastAsia="zh-CN"/>
        </w:rPr>
        <w:t>商</w:t>
      </w:r>
      <w:r>
        <w:rPr>
          <w:rFonts w:hint="eastAsia" w:ascii="宋体" w:hAnsi="宋体" w:eastAsia="宋体" w:cs="宋体"/>
          <w:color w:val="000000"/>
          <w:sz w:val="24"/>
          <w:szCs w:val="28"/>
          <w:highlight w:val="none"/>
        </w:rPr>
        <w:t>，全权代表本公司处理</w:t>
      </w:r>
      <w:r>
        <w:rPr>
          <w:rFonts w:hint="eastAsia" w:ascii="宋体" w:hAnsi="宋体" w:eastAsia="宋体" w:cs="宋体"/>
          <w:color w:val="000000"/>
          <w:sz w:val="24"/>
          <w:szCs w:val="28"/>
          <w:highlight w:val="none"/>
          <w:lang w:eastAsia="zh-CN"/>
        </w:rPr>
        <w:t>招商</w:t>
      </w:r>
      <w:r>
        <w:rPr>
          <w:rFonts w:hint="eastAsia" w:ascii="宋体" w:hAnsi="宋体" w:eastAsia="宋体" w:cs="宋体"/>
          <w:color w:val="000000"/>
          <w:sz w:val="24"/>
          <w:szCs w:val="28"/>
          <w:highlight w:val="none"/>
        </w:rPr>
        <w:t>过程的一切事宜，包括但不限于：投标、参与开标、谈判、签约等。</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授权代表在</w:t>
      </w:r>
      <w:r>
        <w:rPr>
          <w:rFonts w:hint="eastAsia" w:ascii="宋体" w:hAnsi="宋体" w:eastAsia="宋体" w:cs="宋体"/>
          <w:color w:val="000000"/>
          <w:sz w:val="24"/>
          <w:szCs w:val="28"/>
          <w:highlight w:val="none"/>
          <w:lang w:eastAsia="zh-CN"/>
        </w:rPr>
        <w:t>招商</w:t>
      </w:r>
      <w:r>
        <w:rPr>
          <w:rFonts w:hint="eastAsia" w:ascii="宋体" w:hAnsi="宋体" w:eastAsia="宋体" w:cs="宋体"/>
          <w:color w:val="000000"/>
          <w:sz w:val="24"/>
          <w:szCs w:val="28"/>
          <w:highlight w:val="none"/>
        </w:rPr>
        <w:t>过程中所签署的一切文件和处理与之有关的一切事务，本公司均予以认可并对此承担责任。</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授权代表无转委托权。特此授权。</w:t>
      </w:r>
    </w:p>
    <w:p w14:paraId="7CEF0404">
      <w:pPr>
        <w:pStyle w:val="6"/>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本授权书自出具之日起生效。</w:t>
      </w:r>
    </w:p>
    <w:p w14:paraId="2B8FD6CD">
      <w:pPr>
        <w:spacing w:line="360" w:lineRule="auto"/>
        <w:rPr>
          <w:rFonts w:hint="eastAsia" w:ascii="宋体" w:hAnsi="宋体" w:eastAsia="宋体" w:cs="宋体"/>
          <w:color w:val="000000"/>
          <w:sz w:val="24"/>
          <w:szCs w:val="28"/>
          <w:highlight w:val="none"/>
        </w:rPr>
      </w:pPr>
    </w:p>
    <w:p w14:paraId="3F518412">
      <w:pPr>
        <w:spacing w:line="360" w:lineRule="auto"/>
        <w:ind w:firstLine="645"/>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2" name="组合 2"/>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14:paraId="38B94ED1"/>
                            <w:p w14:paraId="344ED550">
                              <w:pPr>
                                <w:jc w:val="center"/>
                                <w:rPr>
                                  <w:color w:val="FF0000"/>
                                </w:rPr>
                              </w:pPr>
                              <w:r>
                                <w:rPr>
                                  <w:rFonts w:hint="eastAsia"/>
                                  <w:color w:val="FF0000"/>
                                </w:rPr>
                                <w:t>授权代表身份证正面</w:t>
                              </w:r>
                            </w:p>
                            <w:p w14:paraId="79FD92E5">
                              <w:pPr>
                                <w:jc w:val="center"/>
                                <w:rPr>
                                  <w:rFonts w:hint="eastAsia" w:eastAsia="宋体"/>
                                  <w:color w:val="FF0000"/>
                                  <w:szCs w:val="21"/>
                                  <w:lang w:eastAsia="zh-CN"/>
                                </w:rPr>
                              </w:pPr>
                              <w:r>
                                <w:rPr>
                                  <w:rFonts w:hint="eastAsia" w:eastAsia="宋体"/>
                                  <w:color w:val="FF0000"/>
                                  <w:lang w:eastAsia="zh-CN"/>
                                </w:rPr>
                                <w:t>复印件</w:t>
                              </w:r>
                            </w:p>
                            <w:p w14:paraId="37082590"/>
                          </w:txbxContent>
                        </wps:txbx>
                        <wps:bodyPr rot="0" vert="horz" wrap="square" lIns="91440" tIns="45720" rIns="91440" bIns="45720" anchor="t" anchorCtr="0" upright="1">
                          <a:noAutofit/>
                        </wps:bodyPr>
                      </wps:wsp>
                      <wps:wsp>
                        <wps:cNvPr id="4"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14:paraId="1FCF134A">
                              <w:pPr>
                                <w:rPr>
                                  <w:color w:val="FF0000"/>
                                </w:rPr>
                              </w:pPr>
                            </w:p>
                            <w:p w14:paraId="67742787">
                              <w:pPr>
                                <w:jc w:val="center"/>
                                <w:rPr>
                                  <w:color w:val="FF0000"/>
                                </w:rPr>
                              </w:pPr>
                              <w:r>
                                <w:rPr>
                                  <w:rFonts w:hint="eastAsia"/>
                                  <w:color w:val="FF0000"/>
                                </w:rPr>
                                <w:t>授权代表身份证反面</w:t>
                              </w:r>
                            </w:p>
                            <w:p w14:paraId="1B45333E">
                              <w:pPr>
                                <w:jc w:val="center"/>
                                <w:rPr>
                                  <w:rFonts w:hint="eastAsia" w:eastAsia="宋体"/>
                                  <w:color w:val="FF0000"/>
                                  <w:szCs w:val="21"/>
                                  <w:lang w:eastAsia="zh-CN"/>
                                </w:rPr>
                              </w:pPr>
                              <w:r>
                                <w:rPr>
                                  <w:rFonts w:hint="eastAsia" w:eastAsia="宋体"/>
                                  <w:color w:val="FF0000"/>
                                  <w:lang w:eastAsia="zh-CN"/>
                                </w:rPr>
                                <w:t>复印件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NBiZF2QAAAAkBAAAPAAAAAAAAAAEAIAAAACIA&#10;AABkcnMvZG93bnJldi54bWxQSwECFAAUAAAACACHTuJAdRZJlOwCAADJCAAADgAAAAAAAAABACAA&#10;AAAoAQAAZHJzL2Uyb0RvYy54bWxQSwUGAAAAAAYABgBZAQAAhgY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8B94ED1"/>
                      <w:p w14:paraId="344ED550">
                        <w:pPr>
                          <w:jc w:val="center"/>
                          <w:rPr>
                            <w:color w:val="FF0000"/>
                          </w:rPr>
                        </w:pPr>
                        <w:r>
                          <w:rPr>
                            <w:rFonts w:hint="eastAsia"/>
                            <w:color w:val="FF0000"/>
                          </w:rPr>
                          <w:t>授权代表身份证正面</w:t>
                        </w:r>
                      </w:p>
                      <w:p w14:paraId="79FD92E5">
                        <w:pPr>
                          <w:jc w:val="center"/>
                          <w:rPr>
                            <w:rFonts w:hint="eastAsia" w:eastAsia="宋体"/>
                            <w:color w:val="FF0000"/>
                            <w:szCs w:val="21"/>
                            <w:lang w:eastAsia="zh-CN"/>
                          </w:rPr>
                        </w:pPr>
                        <w:r>
                          <w:rPr>
                            <w:rFonts w:hint="eastAsia" w:eastAsia="宋体"/>
                            <w:color w:val="FF0000"/>
                            <w:lang w:eastAsia="zh-CN"/>
                          </w:rPr>
                          <w:t>复印件</w:t>
                        </w:r>
                      </w:p>
                      <w:p w14:paraId="37082590"/>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1FCF134A">
                        <w:pPr>
                          <w:rPr>
                            <w:color w:val="FF0000"/>
                          </w:rPr>
                        </w:pPr>
                      </w:p>
                      <w:p w14:paraId="67742787">
                        <w:pPr>
                          <w:jc w:val="center"/>
                          <w:rPr>
                            <w:color w:val="FF0000"/>
                          </w:rPr>
                        </w:pPr>
                        <w:r>
                          <w:rPr>
                            <w:rFonts w:hint="eastAsia"/>
                            <w:color w:val="FF0000"/>
                          </w:rPr>
                          <w:t>授权代表身份证反面</w:t>
                        </w:r>
                      </w:p>
                      <w:p w14:paraId="1B45333E">
                        <w:pPr>
                          <w:jc w:val="center"/>
                          <w:rPr>
                            <w:rFonts w:hint="eastAsia" w:eastAsia="宋体"/>
                            <w:color w:val="FF0000"/>
                            <w:szCs w:val="21"/>
                            <w:lang w:eastAsia="zh-CN"/>
                          </w:rPr>
                        </w:pPr>
                        <w:r>
                          <w:rPr>
                            <w:rFonts w:hint="eastAsia" w:eastAsia="宋体"/>
                            <w:color w:val="FF0000"/>
                            <w:lang w:eastAsia="zh-CN"/>
                          </w:rPr>
                          <w:t>复印件</w:t>
                        </w:r>
                      </w:p>
                    </w:txbxContent>
                  </v:textbox>
                </v:roundrect>
              </v:group>
            </w:pict>
          </mc:Fallback>
        </mc:AlternateContent>
      </w:r>
      <w:r>
        <w:rPr>
          <w:rFonts w:hint="eastAsia" w:ascii="宋体" w:hAnsi="宋体" w:eastAsia="宋体" w:cs="宋体"/>
          <w:color w:val="000000"/>
          <w:sz w:val="24"/>
          <w:szCs w:val="28"/>
          <w:highlight w:val="none"/>
        </w:rPr>
        <w:t>特此声明。</w:t>
      </w:r>
    </w:p>
    <w:p w14:paraId="2E5B5FDF">
      <w:pPr>
        <w:pStyle w:val="3"/>
        <w:rPr>
          <w:rFonts w:hint="eastAsia" w:ascii="宋体" w:hAnsi="宋体" w:eastAsia="宋体" w:cs="宋体"/>
          <w:color w:val="000000"/>
          <w:sz w:val="24"/>
          <w:szCs w:val="28"/>
          <w:highlight w:val="none"/>
        </w:rPr>
      </w:pPr>
    </w:p>
    <w:p w14:paraId="1C44E0E6">
      <w:pPr>
        <w:rPr>
          <w:rFonts w:hint="eastAsia" w:ascii="宋体" w:hAnsi="宋体" w:eastAsia="宋体" w:cs="宋体"/>
          <w:color w:val="000000"/>
          <w:sz w:val="24"/>
          <w:szCs w:val="28"/>
          <w:highlight w:val="none"/>
        </w:rPr>
      </w:pPr>
    </w:p>
    <w:p w14:paraId="43FD160D">
      <w:pPr>
        <w:pStyle w:val="3"/>
        <w:rPr>
          <w:rFonts w:hint="eastAsia" w:ascii="宋体" w:hAnsi="宋体" w:eastAsia="宋体" w:cs="宋体"/>
          <w:highlight w:val="none"/>
        </w:rPr>
      </w:pPr>
    </w:p>
    <w:p w14:paraId="3E971E4C">
      <w:pPr>
        <w:pStyle w:val="3"/>
        <w:rPr>
          <w:rFonts w:hint="eastAsia" w:ascii="宋体" w:hAnsi="宋体" w:eastAsia="宋体" w:cs="宋体"/>
          <w:color w:val="000000"/>
          <w:sz w:val="24"/>
          <w:szCs w:val="28"/>
          <w:highlight w:val="none"/>
        </w:rPr>
      </w:pPr>
    </w:p>
    <w:p w14:paraId="4F73DC57">
      <w:pPr>
        <w:rPr>
          <w:rFonts w:hint="eastAsia" w:ascii="宋体" w:hAnsi="宋体" w:eastAsia="宋体" w:cs="宋体"/>
          <w:highlight w:val="none"/>
        </w:rPr>
      </w:pPr>
    </w:p>
    <w:p w14:paraId="64BC58A8">
      <w:pPr>
        <w:spacing w:line="360" w:lineRule="auto"/>
        <w:rPr>
          <w:rFonts w:hint="eastAsia" w:ascii="宋体" w:hAnsi="宋体" w:eastAsia="宋体" w:cs="宋体"/>
          <w:color w:val="000000"/>
          <w:sz w:val="24"/>
          <w:szCs w:val="28"/>
          <w:highlight w:val="none"/>
        </w:rPr>
      </w:pPr>
    </w:p>
    <w:p w14:paraId="39233AD0">
      <w:pPr>
        <w:spacing w:line="360" w:lineRule="auto"/>
        <w:rPr>
          <w:rFonts w:hint="eastAsia" w:ascii="宋体" w:hAnsi="宋体" w:eastAsia="宋体" w:cs="宋体"/>
          <w:color w:val="000000"/>
          <w:sz w:val="24"/>
          <w:szCs w:val="28"/>
          <w:highlight w:val="none"/>
        </w:rPr>
      </w:pPr>
    </w:p>
    <w:p w14:paraId="6A3FD437">
      <w:pPr>
        <w:spacing w:line="360" w:lineRule="auto"/>
        <w:rPr>
          <w:rFonts w:hint="eastAsia" w:ascii="宋体" w:hAnsi="宋体" w:eastAsia="宋体" w:cs="宋体"/>
          <w:color w:val="000000"/>
          <w:sz w:val="24"/>
          <w:szCs w:val="28"/>
          <w:highlight w:val="none"/>
        </w:rPr>
      </w:pPr>
    </w:p>
    <w:p w14:paraId="230F2173">
      <w:pPr>
        <w:spacing w:line="360" w:lineRule="auto"/>
        <w:rPr>
          <w:rFonts w:hint="eastAsia"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lang w:eastAsia="zh-CN"/>
        </w:rPr>
        <w:t>合作方</w:t>
      </w:r>
      <w:r>
        <w:rPr>
          <w:rFonts w:hint="eastAsia" w:ascii="宋体" w:hAnsi="宋体" w:eastAsia="宋体" w:cs="宋体"/>
          <w:b/>
          <w:bCs/>
          <w:color w:val="000000"/>
          <w:sz w:val="24"/>
          <w:szCs w:val="28"/>
          <w:highlight w:val="none"/>
        </w:rPr>
        <w:t>(公章)：</w:t>
      </w:r>
    </w:p>
    <w:p w14:paraId="4DBD5521">
      <w:pPr>
        <w:spacing w:line="360" w:lineRule="auto"/>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日        期： </w:t>
      </w:r>
    </w:p>
    <w:p w14:paraId="7B631FCD">
      <w:pPr>
        <w:rPr>
          <w:rFonts w:hint="eastAsia" w:ascii="宋体" w:hAnsi="宋体" w:eastAsia="宋体" w:cs="宋体"/>
          <w:color w:val="000000"/>
          <w:sz w:val="28"/>
          <w:szCs w:val="28"/>
          <w:highlight w:val="none"/>
        </w:rPr>
      </w:pPr>
    </w:p>
    <w:p w14:paraId="78C2F483">
      <w:pPr>
        <w:pStyle w:val="6"/>
        <w:snapToGrid w:val="0"/>
        <w:spacing w:line="360" w:lineRule="auto"/>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注：</w:t>
      </w:r>
    </w:p>
    <w:p w14:paraId="29AF89AE">
      <w:pPr>
        <w:pStyle w:val="6"/>
        <w:snapToGrid w:val="0"/>
        <w:spacing w:line="360" w:lineRule="auto"/>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1.本项目只允许有唯一的</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授权代表，投标文件中提供授权代表身份证</w:t>
      </w:r>
      <w:r>
        <w:rPr>
          <w:rFonts w:hint="eastAsia" w:hAnsi="宋体" w:eastAsia="宋体" w:cs="宋体"/>
          <w:color w:val="000000"/>
          <w:sz w:val="24"/>
          <w:highlight w:val="none"/>
          <w:lang w:eastAsia="zh-CN"/>
        </w:rPr>
        <w:t>复印件</w:t>
      </w:r>
      <w:r>
        <w:rPr>
          <w:rFonts w:hint="eastAsia" w:ascii="宋体" w:hAnsi="宋体" w:eastAsia="宋体" w:cs="宋体"/>
          <w:color w:val="000000"/>
          <w:sz w:val="24"/>
          <w:szCs w:val="28"/>
          <w:highlight w:val="none"/>
        </w:rPr>
        <w:t>。</w:t>
      </w:r>
    </w:p>
    <w:p w14:paraId="50F648DF">
      <w:pPr>
        <w:pStyle w:val="6"/>
        <w:snapToGrid w:val="0"/>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4"/>
          <w:szCs w:val="28"/>
          <w:highlight w:val="none"/>
        </w:rPr>
        <w:t>2.法定代表人参加投标的无需此件，</w:t>
      </w:r>
      <w:r>
        <w:rPr>
          <w:rFonts w:hint="eastAsia" w:ascii="宋体" w:hAnsi="宋体" w:eastAsia="宋体" w:cs="宋体"/>
          <w:color w:val="000000"/>
          <w:sz w:val="24"/>
          <w:highlight w:val="none"/>
        </w:rPr>
        <w:t>但投标文件中须提供身份证</w:t>
      </w:r>
      <w:r>
        <w:rPr>
          <w:rFonts w:hint="eastAsia" w:hAnsi="宋体" w:eastAsia="宋体" w:cs="宋体"/>
          <w:color w:val="000000"/>
          <w:sz w:val="24"/>
          <w:highlight w:val="none"/>
          <w:lang w:eastAsia="zh-CN"/>
        </w:rPr>
        <w:t>复印件</w:t>
      </w:r>
      <w:r>
        <w:rPr>
          <w:rFonts w:hint="eastAsia" w:ascii="宋体" w:hAnsi="宋体" w:eastAsia="宋体" w:cs="宋体"/>
          <w:color w:val="000000"/>
          <w:sz w:val="24"/>
          <w:highlight w:val="none"/>
        </w:rPr>
        <w:t>。</w:t>
      </w:r>
    </w:p>
    <w:p w14:paraId="5FACC55C">
      <w:pPr>
        <w:pStyle w:val="2"/>
        <w:jc w:val="left"/>
        <w:rPr>
          <w:rFonts w:hint="eastAsia" w:ascii="宋体" w:hAnsi="宋体" w:eastAsia="宋体" w:cs="宋体"/>
          <w:color w:val="000000"/>
          <w:sz w:val="28"/>
          <w:szCs w:val="28"/>
          <w:highlight w:val="none"/>
        </w:rPr>
      </w:pPr>
      <w:r>
        <w:rPr>
          <w:rFonts w:hint="eastAsia" w:hAnsi="宋体" w:cs="宋体"/>
          <w:color w:val="000000"/>
          <w:sz w:val="28"/>
          <w:szCs w:val="28"/>
          <w:highlight w:val="none"/>
        </w:rPr>
        <w:br w:type="page"/>
      </w:r>
      <w:r>
        <w:rPr>
          <w:rFonts w:hint="eastAsia" w:ascii="宋体" w:hAnsi="宋体" w:eastAsia="宋体" w:cs="宋体"/>
          <w:color w:val="000000"/>
          <w:sz w:val="32"/>
          <w:szCs w:val="32"/>
          <w:highlight w:val="none"/>
          <w:lang w:eastAsia="zh-CN"/>
        </w:rPr>
        <w:t>附件</w:t>
      </w:r>
      <w:r>
        <w:rPr>
          <w:rFonts w:hint="eastAsia" w:hAnsi="宋体" w:eastAsia="宋体" w:cs="宋体"/>
          <w:color w:val="000000"/>
          <w:sz w:val="32"/>
          <w:szCs w:val="32"/>
          <w:highlight w:val="none"/>
          <w:lang w:eastAsia="zh-CN"/>
        </w:rPr>
        <w:t>二</w:t>
      </w:r>
      <w:r>
        <w:rPr>
          <w:rFonts w:hint="eastAsia" w:ascii="宋体" w:hAnsi="宋体" w:eastAsia="宋体" w:cs="宋体"/>
          <w:color w:val="000000"/>
          <w:sz w:val="32"/>
          <w:szCs w:val="32"/>
          <w:highlight w:val="none"/>
          <w:lang w:val="en-US" w:eastAsia="zh-CN"/>
        </w:rPr>
        <w:t>：</w:t>
      </w:r>
      <w:r>
        <w:rPr>
          <w:rFonts w:hint="eastAsia" w:ascii="宋体" w:hAnsi="宋体" w:eastAsia="宋体" w:cs="宋体"/>
          <w:color w:val="000000"/>
          <w:sz w:val="28"/>
          <w:szCs w:val="28"/>
          <w:highlight w:val="none"/>
          <w:lang w:val="en-US" w:eastAsia="zh-CN"/>
        </w:rPr>
        <w:t xml:space="preserve">                   </w:t>
      </w:r>
      <w:r>
        <w:rPr>
          <w:rFonts w:hint="eastAsia" w:hAnsi="宋体" w:eastAsia="宋体" w:cs="宋体"/>
          <w:color w:val="000000"/>
          <w:sz w:val="28"/>
          <w:szCs w:val="28"/>
          <w:highlight w:val="none"/>
          <w:lang w:eastAsia="zh-CN"/>
        </w:rPr>
        <w:t>合作方</w:t>
      </w:r>
      <w:r>
        <w:rPr>
          <w:rFonts w:hint="eastAsia" w:ascii="宋体" w:hAnsi="宋体" w:eastAsia="宋体" w:cs="宋体"/>
          <w:color w:val="000000"/>
          <w:sz w:val="28"/>
          <w:szCs w:val="28"/>
          <w:highlight w:val="none"/>
        </w:rPr>
        <w:t>信用承诺</w:t>
      </w:r>
    </w:p>
    <w:p w14:paraId="5D8C61F8">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我公司申明，我公司无以下不良信用记录情形：</w:t>
      </w:r>
    </w:p>
    <w:p w14:paraId="39287E97">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1.公司被人民法院列入失信被执行人；</w:t>
      </w:r>
    </w:p>
    <w:p w14:paraId="26B1C816">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2.公司、公司法定代表人被人民检察院列入行贿犯罪档案；</w:t>
      </w:r>
    </w:p>
    <w:p w14:paraId="752FA344">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3.公司被工商行政管理部门列入企业经营异常名录；</w:t>
      </w:r>
    </w:p>
    <w:p w14:paraId="76CEA5FA">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4.公司被税务部门列入重大税收违法案件当事人名单的；</w:t>
      </w:r>
    </w:p>
    <w:p w14:paraId="33CAED60">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 参加本次投标活动前三年内，在服务活动中没有重大违法及安全事故记录。</w:t>
      </w:r>
    </w:p>
    <w:p w14:paraId="41008542">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14:paraId="2DA44CDD">
      <w:pPr>
        <w:spacing w:line="360" w:lineRule="auto"/>
        <w:ind w:firstLine="630"/>
        <w:rPr>
          <w:rFonts w:hint="eastAsia" w:ascii="宋体" w:hAnsi="宋体" w:eastAsia="宋体" w:cs="宋体"/>
          <w:b/>
          <w:color w:val="000000"/>
          <w:sz w:val="24"/>
          <w:szCs w:val="24"/>
          <w:highlight w:val="none"/>
        </w:rPr>
      </w:pPr>
    </w:p>
    <w:p w14:paraId="01BCFE03">
      <w:pPr>
        <w:spacing w:line="360" w:lineRule="auto"/>
        <w:ind w:firstLine="63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合作方</w:t>
      </w:r>
      <w:r>
        <w:rPr>
          <w:rFonts w:hint="eastAsia" w:ascii="宋体" w:hAnsi="宋体" w:eastAsia="宋体" w:cs="宋体"/>
          <w:b/>
          <w:color w:val="000000"/>
          <w:sz w:val="24"/>
          <w:szCs w:val="24"/>
          <w:highlight w:val="none"/>
        </w:rPr>
        <w:t>（公章）：</w:t>
      </w:r>
    </w:p>
    <w:p w14:paraId="10E84946">
      <w:pPr>
        <w:rPr>
          <w:rFonts w:hint="default" w:ascii="Arial" w:hAnsi="Arial" w:eastAsia="Arial" w:cs="Arial"/>
          <w:sz w:val="21"/>
          <w:szCs w:val="21"/>
          <w:highlight w:val="none"/>
          <w:lang w:val="en-US" w:eastAsia="zh-CN"/>
        </w:rPr>
      </w:pPr>
      <w:r>
        <w:rPr>
          <w:rFonts w:hint="default" w:ascii="Arial" w:hAnsi="Arial" w:eastAsia="Arial" w:cs="Arial"/>
          <w:sz w:val="21"/>
          <w:szCs w:val="21"/>
          <w:highlight w:val="none"/>
          <w:lang w:val="en-US" w:eastAsia="zh-CN"/>
        </w:rPr>
        <w:br w:type="page"/>
      </w:r>
    </w:p>
    <w:p w14:paraId="73BE68D3">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Fonts w:hint="eastAsia" w:ascii="宋体" w:hAnsi="宋体" w:eastAsia="宋体" w:cs="宋体"/>
          <w:color w:val="000000"/>
          <w:sz w:val="32"/>
          <w:szCs w:val="32"/>
          <w:highlight w:val="none"/>
          <w:lang w:val="en-US" w:eastAsia="zh-CN"/>
        </w:rPr>
      </w:pPr>
      <w:r>
        <w:rPr>
          <w:rFonts w:hint="eastAsia" w:ascii="宋体" w:hAnsi="宋体" w:eastAsia="宋体" w:cs="宋体"/>
          <w:b/>
          <w:bCs/>
          <w:color w:val="000000"/>
          <w:kern w:val="2"/>
          <w:sz w:val="32"/>
          <w:szCs w:val="32"/>
          <w:highlight w:val="none"/>
          <w:lang w:val="en-US" w:eastAsia="zh-CN" w:bidi="ar-SA"/>
        </w:rPr>
        <w:t xml:space="preserve">附件三： </w:t>
      </w:r>
      <w:r>
        <w:rPr>
          <w:rFonts w:hint="eastAsia" w:ascii="宋体" w:hAnsi="宋体" w:eastAsia="宋体" w:cs="宋体"/>
          <w:color w:val="000000"/>
          <w:sz w:val="32"/>
          <w:szCs w:val="32"/>
          <w:highlight w:val="none"/>
          <w:lang w:val="en-US" w:eastAsia="zh-CN"/>
        </w:rPr>
        <w:t xml:space="preserve"> </w:t>
      </w:r>
    </w:p>
    <w:p w14:paraId="07BC0DB6">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center"/>
        <w:textAlignment w:val="auto"/>
        <w:outlineLvl w:val="9"/>
        <w:rPr>
          <w:rFonts w:hint="eastAsia" w:ascii="黑体" w:hAnsi="黑体" w:eastAsia="黑体"/>
          <w:sz w:val="36"/>
          <w:szCs w:val="36"/>
          <w:highlight w:val="none"/>
        </w:rPr>
      </w:pPr>
      <w:r>
        <w:rPr>
          <w:rFonts w:hint="eastAsia" w:ascii="黑体" w:hAnsi="黑体" w:eastAsia="黑体"/>
          <w:sz w:val="36"/>
          <w:szCs w:val="36"/>
          <w:highlight w:val="none"/>
        </w:rPr>
        <w:t>信用查询截图</w:t>
      </w:r>
    </w:p>
    <w:p w14:paraId="2CB7F31E">
      <w:pPr>
        <w:rPr>
          <w:rFonts w:hint="eastAsia"/>
          <w:highlight w:val="none"/>
        </w:rPr>
      </w:pPr>
      <w:r>
        <w:rPr>
          <w:rFonts w:hint="eastAsia"/>
          <w:highlight w:val="none"/>
        </w:rPr>
        <w:t>1</w:t>
      </w:r>
      <w:r>
        <w:rPr>
          <w:highlight w:val="none"/>
        </w:rPr>
        <w:t>.</w:t>
      </w:r>
      <w:r>
        <w:rPr>
          <w:rFonts w:hint="eastAsia"/>
          <w:highlight w:val="none"/>
        </w:rPr>
        <w:t xml:space="preserve"> 国家企业信用信息公示系统</w:t>
      </w:r>
    </w:p>
    <w:p w14:paraId="720033A6">
      <w:pPr>
        <w:rPr>
          <w:highlight w:val="none"/>
        </w:rPr>
      </w:pPr>
    </w:p>
    <w:p w14:paraId="6B280495">
      <w:pPr>
        <w:rPr>
          <w:highlight w:val="none"/>
        </w:rPr>
      </w:pPr>
    </w:p>
    <w:p w14:paraId="2ADD4EAB">
      <w:pPr>
        <w:rPr>
          <w:highlight w:val="none"/>
        </w:rPr>
      </w:pPr>
    </w:p>
    <w:p w14:paraId="71F49F3B">
      <w:pPr>
        <w:rPr>
          <w:highlight w:val="none"/>
        </w:rPr>
      </w:pPr>
    </w:p>
    <w:p w14:paraId="00CDB5BF">
      <w:pPr>
        <w:rPr>
          <w:highlight w:val="none"/>
        </w:rPr>
      </w:pPr>
    </w:p>
    <w:p w14:paraId="122A9E7F">
      <w:pPr>
        <w:rPr>
          <w:highlight w:val="none"/>
        </w:rPr>
      </w:pPr>
    </w:p>
    <w:p w14:paraId="57709792">
      <w:pPr>
        <w:rPr>
          <w:highlight w:val="none"/>
        </w:rPr>
      </w:pPr>
    </w:p>
    <w:p w14:paraId="66B24A2D">
      <w:pPr>
        <w:rPr>
          <w:highlight w:val="none"/>
        </w:rPr>
      </w:pPr>
    </w:p>
    <w:p w14:paraId="5FBD47D1">
      <w:pPr>
        <w:rPr>
          <w:highlight w:val="none"/>
        </w:rPr>
      </w:pPr>
    </w:p>
    <w:p w14:paraId="4670FD21">
      <w:pPr>
        <w:rPr>
          <w:highlight w:val="none"/>
        </w:rPr>
      </w:pPr>
    </w:p>
    <w:p w14:paraId="54B4124D">
      <w:pPr>
        <w:rPr>
          <w:highlight w:val="none"/>
        </w:rPr>
      </w:pPr>
    </w:p>
    <w:p w14:paraId="745124FD">
      <w:pPr>
        <w:rPr>
          <w:highlight w:val="none"/>
        </w:rPr>
      </w:pPr>
    </w:p>
    <w:p w14:paraId="7FCA9556">
      <w:pPr>
        <w:rPr>
          <w:highlight w:val="none"/>
        </w:rPr>
      </w:pPr>
    </w:p>
    <w:p w14:paraId="34F7A6CA">
      <w:pPr>
        <w:rPr>
          <w:highlight w:val="none"/>
        </w:rPr>
      </w:pPr>
    </w:p>
    <w:p w14:paraId="6EAC382F">
      <w:pPr>
        <w:rPr>
          <w:rFonts w:hint="eastAsia"/>
          <w:highlight w:val="none"/>
        </w:rPr>
      </w:pPr>
    </w:p>
    <w:p w14:paraId="6582D0C7">
      <w:pPr>
        <w:rPr>
          <w:rFonts w:hint="eastAsia"/>
          <w:highlight w:val="none"/>
        </w:rPr>
      </w:pPr>
    </w:p>
    <w:p w14:paraId="5B209134">
      <w:pPr>
        <w:rPr>
          <w:highlight w:val="none"/>
        </w:rPr>
      </w:pPr>
    </w:p>
    <w:p w14:paraId="50191A82">
      <w:pPr>
        <w:rPr>
          <w:highlight w:val="none"/>
        </w:rPr>
      </w:pPr>
    </w:p>
    <w:p w14:paraId="2D865CF6">
      <w:pPr>
        <w:rPr>
          <w:highlight w:val="none"/>
        </w:rPr>
      </w:pPr>
    </w:p>
    <w:p w14:paraId="4FC4C2E5">
      <w:pPr>
        <w:rPr>
          <w:rFonts w:hint="eastAsia"/>
          <w:highlight w:val="none"/>
        </w:rPr>
      </w:pPr>
      <w:r>
        <w:rPr>
          <w:rFonts w:hint="eastAsia"/>
          <w:highlight w:val="none"/>
        </w:rPr>
        <w:t>2</w:t>
      </w:r>
      <w:r>
        <w:rPr>
          <w:highlight w:val="none"/>
        </w:rPr>
        <w:t>.</w:t>
      </w:r>
      <w:r>
        <w:rPr>
          <w:rFonts w:hint="eastAsia"/>
          <w:highlight w:val="none"/>
        </w:rPr>
        <w:t xml:space="preserve"> 信用中国</w:t>
      </w:r>
    </w:p>
    <w:p w14:paraId="3D234687">
      <w:pPr>
        <w:rPr>
          <w:highlight w:val="none"/>
        </w:rPr>
      </w:pPr>
    </w:p>
    <w:p w14:paraId="37084E7F">
      <w:pPr>
        <w:rPr>
          <w:highlight w:val="none"/>
        </w:rPr>
      </w:pPr>
    </w:p>
    <w:p w14:paraId="00F9E2BA">
      <w:pPr>
        <w:rPr>
          <w:highlight w:val="none"/>
        </w:rPr>
      </w:pPr>
    </w:p>
    <w:p w14:paraId="2E3681EF">
      <w:pPr>
        <w:rPr>
          <w:highlight w:val="none"/>
        </w:rPr>
      </w:pPr>
    </w:p>
    <w:p w14:paraId="0A34EFE7">
      <w:pPr>
        <w:rPr>
          <w:highlight w:val="none"/>
        </w:rPr>
      </w:pPr>
    </w:p>
    <w:p w14:paraId="68D0FF6E">
      <w:pPr>
        <w:rPr>
          <w:highlight w:val="none"/>
        </w:rPr>
      </w:pPr>
    </w:p>
    <w:p w14:paraId="1022D54D">
      <w:pPr>
        <w:rPr>
          <w:highlight w:val="none"/>
        </w:rPr>
      </w:pPr>
    </w:p>
    <w:p w14:paraId="29903BFB">
      <w:pPr>
        <w:keepNext/>
        <w:keepLines/>
        <w:spacing w:before="260" w:after="260" w:line="416" w:lineRule="auto"/>
        <w:ind w:firstLine="420" w:firstLineChars="200"/>
        <w:jc w:val="both"/>
        <w:outlineLvl w:val="2"/>
        <w:rPr>
          <w:rFonts w:hint="eastAsia" w:ascii="宋体" w:hAnsi="宋体" w:eastAsia="宋体" w:cs="宋体"/>
          <w:b/>
          <w:bCs/>
          <w:color w:val="000000"/>
          <w:sz w:val="28"/>
          <w:szCs w:val="28"/>
          <w:highlight w:val="none"/>
        </w:rPr>
      </w:pPr>
      <w:r>
        <w:rPr>
          <w:rFonts w:hint="default" w:ascii="Arial" w:hAnsi="Arial" w:eastAsia="Arial" w:cs="Arial"/>
          <w:sz w:val="21"/>
          <w:szCs w:val="21"/>
          <w:highlight w:val="none"/>
          <w:lang w:val="en-US" w:eastAsia="zh-CN"/>
        </w:rPr>
        <w:br w:type="page"/>
      </w:r>
      <w:r>
        <w:rPr>
          <w:rFonts w:hint="eastAsia" w:ascii="宋体" w:hAnsi="宋体" w:eastAsia="宋体" w:cs="宋体"/>
          <w:b/>
          <w:bCs/>
          <w:sz w:val="32"/>
          <w:szCs w:val="32"/>
          <w:highlight w:val="none"/>
          <w:lang w:val="en-US" w:eastAsia="zh-CN"/>
        </w:rPr>
        <w:t xml:space="preserve">附件四： </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color w:val="000000"/>
          <w:sz w:val="28"/>
          <w:szCs w:val="28"/>
          <w:highlight w:val="none"/>
          <w:lang w:eastAsia="zh-CN"/>
        </w:rPr>
        <w:t>报价</w:t>
      </w:r>
      <w:r>
        <w:rPr>
          <w:rFonts w:hint="eastAsia" w:ascii="宋体" w:hAnsi="宋体" w:eastAsia="宋体" w:cs="宋体"/>
          <w:b/>
          <w:bCs/>
          <w:color w:val="000000"/>
          <w:sz w:val="28"/>
          <w:szCs w:val="28"/>
          <w:highlight w:val="none"/>
        </w:rPr>
        <w:t>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629B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14:paraId="7936114D">
            <w:pPr>
              <w:widowControl/>
              <w:spacing w:line="360" w:lineRule="exact"/>
              <w:ind w:firstLine="482" w:firstLineChars="200"/>
              <w:jc w:val="cente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t>项 目 名 称</w:t>
            </w:r>
          </w:p>
        </w:tc>
        <w:tc>
          <w:tcPr>
            <w:tcW w:w="6876" w:type="dxa"/>
            <w:tcBorders>
              <w:top w:val="single" w:color="auto" w:sz="4" w:space="0"/>
              <w:bottom w:val="single" w:color="auto" w:sz="4" w:space="0"/>
              <w:right w:val="single" w:color="auto" w:sz="4" w:space="0"/>
            </w:tcBorders>
            <w:noWrap w:val="0"/>
            <w:vAlign w:val="center"/>
          </w:tcPr>
          <w:p w14:paraId="718268F3">
            <w:pPr>
              <w:spacing w:line="360" w:lineRule="exact"/>
              <w:ind w:firstLine="480" w:firstLineChars="200"/>
              <w:jc w:val="center"/>
              <w:rPr>
                <w:rFonts w:hint="eastAsia" w:ascii="宋体" w:hAnsi="宋体" w:eastAsia="宋体" w:cs="宋体"/>
                <w:bCs/>
                <w:color w:val="000000"/>
                <w:sz w:val="24"/>
                <w:szCs w:val="22"/>
                <w:highlight w:val="none"/>
              </w:rPr>
            </w:pPr>
          </w:p>
        </w:tc>
      </w:tr>
      <w:tr w14:paraId="34F4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14:paraId="5B8BBA6F">
            <w:pPr>
              <w:spacing w:line="360" w:lineRule="exact"/>
              <w:ind w:firstLine="482" w:firstLineChars="200"/>
              <w:jc w:val="cente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合作方</w:t>
            </w:r>
            <w:r>
              <w:rPr>
                <w:rFonts w:hint="eastAsia" w:ascii="宋体" w:hAnsi="宋体" w:eastAsia="宋体" w:cs="宋体"/>
                <w:b/>
                <w:color w:val="000000"/>
                <w:sz w:val="24"/>
                <w:szCs w:val="22"/>
                <w:highlight w:val="none"/>
              </w:rPr>
              <w:t>全称</w:t>
            </w:r>
          </w:p>
        </w:tc>
        <w:tc>
          <w:tcPr>
            <w:tcW w:w="6876" w:type="dxa"/>
            <w:tcBorders>
              <w:top w:val="nil"/>
            </w:tcBorders>
            <w:noWrap w:val="0"/>
            <w:vAlign w:val="center"/>
          </w:tcPr>
          <w:p w14:paraId="4434D443">
            <w:pPr>
              <w:spacing w:line="360" w:lineRule="auto"/>
              <w:ind w:firstLine="480" w:firstLineChars="200"/>
              <w:rPr>
                <w:rFonts w:hint="eastAsia" w:ascii="宋体" w:hAnsi="宋体" w:eastAsia="宋体" w:cs="宋体"/>
                <w:color w:val="000000"/>
                <w:sz w:val="24"/>
                <w:szCs w:val="22"/>
                <w:highlight w:val="none"/>
              </w:rPr>
            </w:pPr>
          </w:p>
        </w:tc>
      </w:tr>
      <w:tr w14:paraId="4353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14:paraId="5E4F4387">
            <w:pPr>
              <w:spacing w:line="360" w:lineRule="exact"/>
              <w:ind w:firstLine="482" w:firstLineChars="200"/>
              <w:jc w:val="center"/>
              <w:rPr>
                <w:rFonts w:hint="eastAsia" w:ascii="宋体" w:hAnsi="宋体" w:eastAsia="宋体" w:cs="宋体"/>
                <w:b/>
                <w:color w:val="000000"/>
                <w:sz w:val="24"/>
                <w:szCs w:val="22"/>
                <w:highlight w:val="none"/>
                <w:lang w:eastAsia="zh-CN"/>
              </w:rPr>
            </w:pPr>
            <w:r>
              <w:rPr>
                <w:rFonts w:hint="eastAsia" w:ascii="宋体" w:hAnsi="宋体" w:eastAsia="宋体" w:cs="宋体"/>
                <w:b/>
                <w:color w:val="000000"/>
                <w:sz w:val="24"/>
                <w:szCs w:val="22"/>
                <w:highlight w:val="none"/>
                <w:lang w:eastAsia="zh-CN"/>
              </w:rPr>
              <w:t>保底</w:t>
            </w:r>
            <w:r>
              <w:rPr>
                <w:rFonts w:hint="eastAsia" w:ascii="宋体" w:hAnsi="宋体" w:eastAsia="宋体" w:cs="宋体"/>
                <w:b/>
                <w:color w:val="000000"/>
                <w:sz w:val="24"/>
                <w:szCs w:val="22"/>
                <w:highlight w:val="none"/>
                <w:lang w:val="en-US" w:eastAsia="zh-CN"/>
              </w:rPr>
              <w:t>报</w:t>
            </w:r>
            <w:r>
              <w:rPr>
                <w:rFonts w:hint="eastAsia" w:ascii="宋体" w:hAnsi="宋体" w:eastAsia="宋体" w:cs="宋体"/>
                <w:b/>
                <w:color w:val="000000"/>
                <w:sz w:val="24"/>
                <w:szCs w:val="22"/>
                <w:highlight w:val="none"/>
                <w:lang w:eastAsia="zh-CN"/>
              </w:rPr>
              <w:t>价</w:t>
            </w:r>
          </w:p>
        </w:tc>
        <w:tc>
          <w:tcPr>
            <w:tcW w:w="6876" w:type="dxa"/>
            <w:tcBorders>
              <w:top w:val="nil"/>
            </w:tcBorders>
            <w:noWrap w:val="0"/>
            <w:vAlign w:val="center"/>
          </w:tcPr>
          <w:p w14:paraId="783D00CA">
            <w:pPr>
              <w:spacing w:line="360" w:lineRule="auto"/>
              <w:ind w:right="-670" w:firstLine="480" w:firstLineChars="200"/>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u w:val="none"/>
              </w:rPr>
              <w:t xml:space="preserve"> </w:t>
            </w:r>
            <w:r>
              <w:rPr>
                <w:rFonts w:hint="eastAsia" w:ascii="宋体" w:hAnsi="宋体" w:eastAsia="宋体" w:cs="宋体"/>
                <w:color w:val="000000"/>
                <w:sz w:val="24"/>
                <w:szCs w:val="22"/>
                <w:highlight w:val="none"/>
                <w:u w:val="none"/>
                <w:lang w:val="en-US" w:eastAsia="zh-CN"/>
              </w:rPr>
              <w:t>万元/年</w:t>
            </w:r>
          </w:p>
        </w:tc>
      </w:tr>
      <w:tr w14:paraId="3B7D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14:paraId="19B915D1">
            <w:pPr>
              <w:spacing w:line="360" w:lineRule="auto"/>
              <w:ind w:firstLine="482" w:firstLineChars="200"/>
              <w:jc w:val="center"/>
              <w:rPr>
                <w:rFonts w:hint="eastAsia" w:ascii="宋体" w:hAnsi="宋体" w:eastAsia="宋体" w:cs="宋体"/>
                <w:b/>
                <w:color w:val="000000"/>
                <w:sz w:val="24"/>
                <w:szCs w:val="22"/>
                <w:highlight w:val="none"/>
                <w:lang w:eastAsia="zh-CN"/>
              </w:rPr>
            </w:pPr>
            <w:r>
              <w:rPr>
                <w:rFonts w:hint="eastAsia" w:ascii="宋体" w:hAnsi="宋体" w:eastAsia="宋体" w:cs="宋体"/>
                <w:b/>
                <w:color w:val="000000"/>
                <w:sz w:val="24"/>
                <w:szCs w:val="22"/>
                <w:highlight w:val="none"/>
                <w:lang w:eastAsia="zh-CN"/>
              </w:rPr>
              <w:t>分成比例</w:t>
            </w:r>
          </w:p>
        </w:tc>
        <w:tc>
          <w:tcPr>
            <w:tcW w:w="6876" w:type="dxa"/>
            <w:tcBorders>
              <w:top w:val="nil"/>
            </w:tcBorders>
            <w:noWrap w:val="0"/>
            <w:vAlign w:val="center"/>
          </w:tcPr>
          <w:p w14:paraId="28D8809D">
            <w:pPr>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含税销售额的</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w:t>
            </w:r>
          </w:p>
        </w:tc>
      </w:tr>
    </w:tbl>
    <w:p w14:paraId="47262F47">
      <w:pPr>
        <w:spacing w:before="100" w:beforeAutospacing="1" w:after="100" w:afterAutospacing="1" w:line="360" w:lineRule="auto"/>
        <w:ind w:firstLine="482" w:firstLineChars="200"/>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合作方</w:t>
      </w:r>
      <w:r>
        <w:rPr>
          <w:rFonts w:hint="eastAsia" w:ascii="宋体" w:hAnsi="宋体" w:eastAsia="宋体" w:cs="宋体"/>
          <w:b/>
          <w:color w:val="000000"/>
          <w:sz w:val="24"/>
          <w:szCs w:val="22"/>
          <w:highlight w:val="none"/>
        </w:rPr>
        <w:t xml:space="preserve">(公章)：                                  </w:t>
      </w:r>
    </w:p>
    <w:p w14:paraId="272DD37E">
      <w:pP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br w:type="page"/>
      </w:r>
    </w:p>
    <w:p w14:paraId="6778AAEB">
      <w:pPr>
        <w:spacing w:before="100" w:beforeAutospacing="1" w:after="100" w:afterAutospacing="1" w:line="360" w:lineRule="auto"/>
        <w:ind w:firstLine="643" w:firstLineChars="200"/>
        <w:rPr>
          <w:rFonts w:hint="eastAsia" w:ascii="宋体" w:hAnsi="宋体" w:eastAsia="宋体" w:cs="宋体"/>
          <w:b/>
          <w:color w:val="000000"/>
          <w:sz w:val="24"/>
          <w:szCs w:val="22"/>
          <w:highlight w:val="none"/>
        </w:rPr>
      </w:pPr>
      <w:r>
        <w:rPr>
          <w:rFonts w:hint="eastAsia" w:ascii="宋体" w:hAnsi="宋体" w:eastAsia="宋体" w:cs="宋体"/>
          <w:b/>
          <w:bCs/>
          <w:sz w:val="32"/>
          <w:szCs w:val="32"/>
          <w:highlight w:val="none"/>
          <w:lang w:val="en-US" w:eastAsia="zh-CN"/>
        </w:rPr>
        <w:t>附件五：</w:t>
      </w:r>
      <w:r>
        <w:rPr>
          <w:rFonts w:hint="eastAsia" w:ascii="宋体" w:hAnsi="宋体" w:eastAsia="宋体" w:cs="宋体"/>
          <w:b/>
          <w:color w:val="000000"/>
          <w:sz w:val="32"/>
          <w:szCs w:val="28"/>
          <w:highlight w:val="none"/>
        </w:rPr>
        <w:t xml:space="preserve">   </w:t>
      </w:r>
      <w:r>
        <w:rPr>
          <w:rFonts w:hint="eastAsia" w:ascii="宋体" w:hAnsi="宋体" w:eastAsia="宋体" w:cs="宋体"/>
          <w:b/>
          <w:color w:val="000000"/>
          <w:sz w:val="24"/>
          <w:szCs w:val="22"/>
          <w:highlight w:val="none"/>
        </w:rPr>
        <w:t xml:space="preserve">   </w:t>
      </w:r>
    </w:p>
    <w:p w14:paraId="41986E20">
      <w:pPr>
        <w:keepNext/>
        <w:keepLines/>
        <w:spacing w:before="260" w:after="260" w:line="416" w:lineRule="auto"/>
        <w:ind w:firstLine="562" w:firstLineChars="200"/>
        <w:jc w:val="center"/>
        <w:outlineLvl w:val="2"/>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其他相关证明材料</w:t>
      </w:r>
    </w:p>
    <w:p w14:paraId="53740AD0">
      <w:pPr>
        <w:rPr>
          <w:highlight w:val="none"/>
          <w:lang w:val="en-US" w:eastAsia="zh-CN"/>
        </w:rPr>
      </w:pPr>
    </w:p>
    <w:p w14:paraId="33B725C3">
      <w:pPr>
        <w:rPr>
          <w:highlight w:val="none"/>
          <w:lang w:val="en-US" w:eastAsia="zh-CN"/>
        </w:rPr>
      </w:pPr>
      <w:r>
        <w:rPr>
          <w:highlight w:val="none"/>
          <w:lang w:val="en-US" w:eastAsia="zh-CN"/>
        </w:rPr>
        <w:br w:type="page"/>
      </w:r>
    </w:p>
    <w:p w14:paraId="3E73D551">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合肥野生动物园日本猴园便利店</w:t>
      </w:r>
      <w:r>
        <w:rPr>
          <w:rFonts w:hint="eastAsia" w:ascii="方正小标宋简体" w:hAnsi="方正小标宋简体" w:eastAsia="方正小标宋简体" w:cs="方正小标宋简体"/>
          <w:color w:val="000000" w:themeColor="text1"/>
          <w:sz w:val="32"/>
          <w:szCs w:val="32"/>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合作经营合同</w:t>
      </w:r>
    </w:p>
    <w:p w14:paraId="64A919E2">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合肥文旅博览集团野生动物园管理有限公司</w:t>
      </w:r>
    </w:p>
    <w:p w14:paraId="6475488F">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p>
    <w:p w14:paraId="78FC12FE">
      <w:pPr>
        <w:keepNext w:val="0"/>
        <w:keepLines w:val="0"/>
        <w:pageBreakBefore w:val="0"/>
        <w:numPr>
          <w:ilvl w:val="0"/>
          <w:numId w:val="5"/>
        </w:numPr>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甲、乙双方根据《中华人民共和国民法典》规定，在协商一致的基础上，就甲、乙双方在合肥野生动物园内日本猴园第三经营点位合作经营便利店项目达成本合同。</w:t>
      </w:r>
    </w:p>
    <w:p w14:paraId="6F7D496B">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一、基本合作内容</w:t>
      </w:r>
    </w:p>
    <w:p w14:paraId="482F358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名称：合肥野生动物园日本猴园便利店</w:t>
      </w:r>
    </w:p>
    <w:p w14:paraId="0A875F2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2、经营范围：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便利店（商品零售）</w:t>
      </w:r>
    </w:p>
    <w:p w14:paraId="0498903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rPr>
        <w:t>所在位置以及</w:t>
      </w:r>
      <w:r>
        <w:rPr>
          <w:rFonts w:hint="eastAsia" w:ascii="仿宋_GB2312" w:hAnsi="仿宋_GB2312" w:eastAsia="仿宋_GB2312" w:cs="仿宋_GB2312"/>
          <w:sz w:val="28"/>
          <w:szCs w:val="28"/>
          <w:highlight w:val="none"/>
          <w:lang w:eastAsia="zh-CN"/>
        </w:rPr>
        <w:t>房屋</w:t>
      </w:r>
      <w:r>
        <w:rPr>
          <w:rFonts w:hint="eastAsia" w:ascii="仿宋_GB2312" w:hAnsi="仿宋_GB2312" w:eastAsia="仿宋_GB2312" w:cs="仿宋_GB2312"/>
          <w:sz w:val="28"/>
          <w:szCs w:val="28"/>
          <w:highlight w:val="none"/>
        </w:rPr>
        <w:t>基本信息：合肥市高新区望江西路600号合肥野生动物园内日本猴园</w:t>
      </w:r>
      <w:r>
        <w:rPr>
          <w:rFonts w:hint="eastAsia" w:ascii="仿宋_GB2312" w:hAnsi="仿宋_GB2312" w:eastAsia="仿宋_GB2312" w:cs="仿宋_GB2312"/>
          <w:sz w:val="28"/>
          <w:szCs w:val="28"/>
          <w:highlight w:val="none"/>
          <w:lang w:val="en-US" w:eastAsia="zh-CN"/>
        </w:rPr>
        <w:t>附近</w:t>
      </w:r>
      <w:bookmarkStart w:id="0" w:name="_GoBack"/>
      <w:bookmarkEnd w:id="0"/>
      <w:r>
        <w:rPr>
          <w:rFonts w:hint="eastAsia" w:ascii="仿宋_GB2312" w:hAnsi="仿宋_GB2312" w:eastAsia="仿宋_GB2312" w:cs="仿宋_GB2312"/>
          <w:sz w:val="28"/>
          <w:szCs w:val="28"/>
          <w:highlight w:val="none"/>
        </w:rPr>
        <w:t>第三经营点位，面积约37.15平方米。</w:t>
      </w:r>
    </w:p>
    <w:p w14:paraId="1A2EF65A">
      <w:pPr>
        <w:keepNext w:val="0"/>
        <w:keepLines w:val="0"/>
        <w:pageBreakBefore w:val="0"/>
        <w:widowControl/>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4、合作期限：</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日至</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，共</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年。（其中：</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 xml:space="preserve">日-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日共计</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天为项目装修期，在此期间可进行试营业，试营业的收益可计入合同前9个合同月收益，试营业的收益分成按合同收益分成进行</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w:t>
      </w:r>
    </w:p>
    <w:p w14:paraId="5B7933C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5、履约保证金为人民币：</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陆万零贰佰元整（¥60200元）</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14:paraId="032ABB5D">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二、甲方权利义务</w:t>
      </w:r>
    </w:p>
    <w:p w14:paraId="5F7C255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1、甲方对乙方进行运营管理。甲方有权对乙方的运营管理情况进行监督和了解。</w:t>
      </w:r>
    </w:p>
    <w:p w14:paraId="31FC424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sz w:val="28"/>
          <w:szCs w:val="28"/>
          <w:highlight w:val="none"/>
        </w:rPr>
        <w:t>甲方负责</w:t>
      </w:r>
      <w:r>
        <w:rPr>
          <w:rFonts w:hint="eastAsia" w:ascii="仿宋_GB2312" w:hAnsi="仿宋_GB2312" w:eastAsia="仿宋_GB2312" w:cs="仿宋_GB2312"/>
          <w:sz w:val="28"/>
          <w:szCs w:val="28"/>
          <w:highlight w:val="none"/>
          <w:lang w:eastAsia="zh-CN"/>
        </w:rPr>
        <w:t>提供合作经营的房屋</w:t>
      </w:r>
      <w:r>
        <w:rPr>
          <w:rFonts w:hint="eastAsia" w:ascii="仿宋_GB2312" w:hAnsi="仿宋_GB2312" w:eastAsia="仿宋_GB2312" w:cs="仿宋_GB2312"/>
          <w:sz w:val="28"/>
          <w:szCs w:val="28"/>
          <w:highlight w:val="none"/>
        </w:rPr>
        <w:t>。</w:t>
      </w:r>
    </w:p>
    <w:p w14:paraId="1A1739B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自行采购的收银系统需与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w:t>
      </w:r>
      <w:r>
        <w:rPr>
          <w:rFonts w:hint="eastAsia" w:ascii="仿宋_GB2312" w:hAnsi="仿宋_GB2312" w:eastAsia="仿宋_GB2312" w:cs="仿宋_GB2312"/>
          <w:color w:val="000000" w:themeColor="text1"/>
          <w:sz w:val="28"/>
          <w:szCs w:val="28"/>
          <w:highlight w:val="none"/>
          <w14:textFill>
            <w14:solidFill>
              <w14:schemeClr w14:val="tx1"/>
            </w14:solidFill>
          </w14:textFill>
        </w:rPr>
        <w:t>方要求的保持一致，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所有</w:t>
      </w:r>
      <w:r>
        <w:rPr>
          <w:rFonts w:hint="eastAsia" w:ascii="仿宋_GB2312" w:hAnsi="仿宋_GB2312" w:eastAsia="仿宋_GB2312" w:cs="仿宋_GB2312"/>
          <w:color w:val="000000" w:themeColor="text1"/>
          <w:sz w:val="28"/>
          <w:szCs w:val="28"/>
          <w:highlight w:val="none"/>
          <w14:textFill>
            <w14:solidFill>
              <w14:schemeClr w14:val="tx1"/>
            </w14:solidFill>
          </w14:textFill>
        </w:rPr>
        <w:t>营收款项统一进入甲方指定的账户。</w:t>
      </w:r>
    </w:p>
    <w:p w14:paraId="1992C4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、甲方有权监督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的经营活动，但不得干扰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正常经营。</w:t>
      </w:r>
    </w:p>
    <w:p w14:paraId="36FCEF2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28"/>
          <w:szCs w:val="28"/>
          <w:highlight w:val="none"/>
          <w14:textFill>
            <w14:solidFill>
              <w14:schemeClr w14:val="tx1"/>
            </w14:solidFill>
          </w14:textFill>
        </w:rPr>
        <w:t>未经甲方书面同意，乙方不得更改合作经营项目的经营范围</w:t>
      </w:r>
      <w:r>
        <w:rPr>
          <w:rFonts w:hint="eastAsia" w:ascii="仿宋_GB2312" w:hAnsi="仿宋_GB2312" w:eastAsia="仿宋_GB2312" w:cs="仿宋_GB2312"/>
          <w:b w:val="0"/>
          <w:bCs w:val="0"/>
          <w:i w:val="0"/>
          <w:iCs w:val="0"/>
          <w:caps w:val="0"/>
          <w:color w:val="000000" w:themeColor="text1"/>
          <w:spacing w:val="0"/>
          <w:sz w:val="28"/>
          <w:szCs w:val="28"/>
          <w:highlight w:val="none"/>
          <w:lang w:eastAsia="zh-CN"/>
          <w14:textFill>
            <w14:solidFill>
              <w14:schemeClr w14:val="tx1"/>
            </w14:solidFill>
          </w14:textFill>
        </w:rPr>
        <w:t>。</w:t>
      </w:r>
    </w:p>
    <w:p w14:paraId="15BD7175">
      <w:pPr>
        <w:pStyle w:val="1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560" w:firstLineChars="200"/>
        <w:jc w:val="both"/>
        <w:textAlignment w:val="auto"/>
        <w:rPr>
          <w:rFonts w:hint="default" w:ascii="仿宋_GB2312" w:hAnsi="仿宋_GB2312" w:eastAsia="仿宋_GB2312" w:cs="仿宋_GB2312"/>
          <w:b w:val="0"/>
          <w:bCs w:val="0"/>
          <w:i w:val="0"/>
          <w:iCs w:val="0"/>
          <w:caps w:val="0"/>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6、如遇园区后期有新的商业规划在点位附近设置新的业态，乙方不得以此为由要求减免保底价及分成</w:t>
      </w:r>
      <w:r>
        <w:rPr>
          <w:rFonts w:hint="eastAsia" w:ascii="仿宋_GB2312" w:hAnsi="仿宋_GB2312" w:eastAsia="仿宋_GB2312" w:cs="仿宋_GB2312"/>
          <w:b w:val="0"/>
          <w:bCs w:val="0"/>
          <w:i w:val="0"/>
          <w:iCs w:val="0"/>
          <w:caps w:val="0"/>
          <w:color w:val="000000" w:themeColor="text1"/>
          <w:spacing w:val="0"/>
          <w:kern w:val="2"/>
          <w:sz w:val="28"/>
          <w:szCs w:val="28"/>
          <w:highlight w:val="none"/>
          <w:lang w:val="en-US" w:eastAsia="zh-CN" w:bidi="ar-SA"/>
          <w14:textFill>
            <w14:solidFill>
              <w14:schemeClr w14:val="tx1"/>
            </w14:solidFill>
          </w14:textFill>
        </w:rPr>
        <w:t>。</w:t>
      </w:r>
    </w:p>
    <w:p w14:paraId="66F78E15">
      <w:pPr>
        <w:keepNext w:val="0"/>
        <w:keepLines w:val="0"/>
        <w:pageBreakBefore w:val="0"/>
        <w:kinsoku/>
        <w:wordWrap/>
        <w:overflowPunct/>
        <w:topLinePunct w:val="0"/>
        <w:autoSpaceDE/>
        <w:autoSpaceDN/>
        <w:bidi w:val="0"/>
        <w:adjustRightInd/>
        <w:snapToGrid/>
        <w:spacing w:line="500" w:lineRule="exact"/>
        <w:textAlignment w:val="baseline"/>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 、</w:t>
      </w:r>
      <w:r>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经营与日常管理</w:t>
      </w:r>
    </w:p>
    <w:p w14:paraId="7BF8B6F4">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的日常经营和管理工作由乙方负责，乙方的经营活动，必须遵守国家法律、法规，并接受有关职能部门的检查、监督，甲方在不干涉乙方正常经营活动的前提下有权对乙方进行监督，对于乙方可能发生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已经发生的损害双方合作基础、甲方权益、公共利益以及违法违规行为进行制止和要求纠正。</w:t>
      </w:r>
    </w:p>
    <w:p w14:paraId="764D3072">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卫生和</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安全保卫工作，乙方存放在该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内的商品、物品由乙方自己保管，乙方自行负责使用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内的财产安全。</w:t>
      </w:r>
    </w:p>
    <w:p w14:paraId="6FB6BA48">
      <w:pPr>
        <w:pStyle w:val="12"/>
        <w:keepNext w:val="0"/>
        <w:keepLines w:val="0"/>
        <w:pageBreakBefore w:val="0"/>
        <w:widowControl w:val="0"/>
        <w:kinsoku/>
        <w:wordWrap/>
        <w:overflowPunct/>
        <w:topLinePunct w:val="0"/>
        <w:autoSpaceDE/>
        <w:autoSpaceDN/>
        <w:bidi w:val="0"/>
        <w:adjustRightInd w:val="0"/>
        <w:snapToGrid w:val="0"/>
        <w:spacing w:line="500" w:lineRule="exact"/>
        <w:ind w:left="105" w:leftChars="50" w:right="0" w:firstLine="560" w:firstLineChars="200"/>
        <w:jc w:val="both"/>
        <w:textAlignment w:val="auto"/>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乙方需结合甲方统一商业规划要求，对房屋自行装修、装潢，装修、装潢方案须经甲方同意后方可实行。房屋的装修、装潢费用及合同期内房屋的维修费用全部由乙</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方自行承担，未经甲方允许，不得在房屋及周边私搭乱建，不得破坏周边绿化。</w:t>
      </w:r>
      <w:r>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合作期间场地如遇政府部门要求（如生态红线内违规建设等原因）拆</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除部分建筑或园区后期有新的商业规划在点位附近设置新的业态，合作方不得以此为由要求减免保底价及分成。</w:t>
      </w:r>
    </w:p>
    <w:p w14:paraId="028B8AE2">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的消防安全工作，同时自行承担因消防问题引起的一切不利后果。</w:t>
      </w:r>
    </w:p>
    <w:p w14:paraId="35E79D3A">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、乙方应配合甲方做好公共部位、公共场所的消防、安全和环境秩序工作。</w:t>
      </w:r>
    </w:p>
    <w:p w14:paraId="2B8C18E6">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内存放易燃易爆、化学危险品；不在该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留宿，室内不得使用明火</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2F97B88">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、乙方经营过程对外发生的债权债务，以及与消费者或者客户间发生的争议和纠纷，以及遭受的行政处罚、行政强制措施等，均由乙方自行负责解决，因此给甲方造成损失的，乙方应当负责赔偿。</w:t>
      </w:r>
    </w:p>
    <w:p w14:paraId="4B16B8F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、乙方应当承担对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内人员（包括但不限于消费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者</w:t>
      </w:r>
      <w:r>
        <w:rPr>
          <w:rFonts w:hint="eastAsia" w:ascii="仿宋_GB2312" w:hAnsi="仿宋_GB2312" w:eastAsia="仿宋_GB2312" w:cs="仿宋_GB2312"/>
          <w:color w:val="000000" w:themeColor="text1"/>
          <w:sz w:val="28"/>
          <w:szCs w:val="28"/>
          <w:highlight w:val="none"/>
          <w14:textFill>
            <w14:solidFill>
              <w14:schemeClr w14:val="tx1"/>
            </w14:solidFill>
          </w14:textFill>
        </w:rPr>
        <w:t>、客户、店员）的安全保障义务，并自行承担相应法律责任</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sz w:val="28"/>
          <w:szCs w:val="28"/>
          <w:highlight w:val="none"/>
          <w:lang w:val="en-US" w:eastAsia="zh-CN"/>
        </w:rPr>
        <w:t>甲方因此遭受损失的，有权向乙方追偿</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58FC079">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项目运营过程中</w:t>
      </w:r>
      <w:r>
        <w:rPr>
          <w:rFonts w:hint="eastAsia" w:ascii="仿宋_GB2312" w:hAnsi="仿宋_GB2312" w:eastAsia="仿宋_GB2312" w:cs="仿宋_GB2312"/>
          <w:color w:val="000000" w:themeColor="text1"/>
          <w:sz w:val="28"/>
          <w:szCs w:val="28"/>
          <w:highlight w:val="none"/>
          <w14:textFill>
            <w14:solidFill>
              <w14:schemeClr w14:val="tx1"/>
            </w14:solidFill>
          </w14:textFill>
        </w:rPr>
        <w:t>所提供的服务，应负责起售后或善后工作。</w:t>
      </w:r>
    </w:p>
    <w:p w14:paraId="106893E8">
      <w:pPr>
        <w:keepNext w:val="0"/>
        <w:keepLines w:val="0"/>
        <w:pageBreakBefore w:val="0"/>
        <w:kinsoku/>
        <w:wordWrap/>
        <w:overflowPunct/>
        <w:topLinePunct w:val="0"/>
        <w:autoSpaceDE/>
        <w:autoSpaceDN/>
        <w:bidi w:val="0"/>
        <w:adjustRightInd/>
        <w:snapToGrid/>
        <w:spacing w:line="500" w:lineRule="exact"/>
        <w:ind w:firstLine="435"/>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、对于在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内外或在公共部位张贴、悬挂或展示任何广告、宣传标语、招牌、符号、装饰、灯饰、标志，均应当得到甲方确认，具体的张贴、悬挂和展示工作由乙方负责实施，并由乙方对实施后果和安全性负责。</w:t>
      </w:r>
    </w:p>
    <w:p w14:paraId="5C3FFD9A">
      <w:pPr>
        <w:keepNext w:val="0"/>
        <w:keepLines w:val="0"/>
        <w:pageBreakBefore w:val="0"/>
        <w:kinsoku/>
        <w:wordWrap/>
        <w:overflowPunct/>
        <w:topLinePunct w:val="0"/>
        <w:autoSpaceDE/>
        <w:autoSpaceDN/>
        <w:bidi w:val="0"/>
        <w:adjustRightInd/>
        <w:snapToGrid/>
        <w:spacing w:line="460" w:lineRule="exact"/>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合作</w:t>
      </w:r>
      <w:r>
        <w:rPr>
          <w:rFonts w:hint="eastAsia" w:ascii="仿宋_GB2312" w:hAnsi="仿宋_GB2312" w:eastAsia="仿宋_GB2312" w:cs="仿宋_GB2312"/>
          <w:color w:val="auto"/>
          <w:sz w:val="28"/>
          <w:szCs w:val="28"/>
          <w:highlight w:val="none"/>
        </w:rPr>
        <w:t>期间发生的水、电、网络等公共设施和公共能源费用由乙方缴纳。</w:t>
      </w:r>
      <w:r>
        <w:rPr>
          <w:rFonts w:hint="eastAsia" w:ascii="仿宋_GB2312" w:hAnsi="仿宋_GB2312" w:eastAsia="仿宋_GB2312" w:cs="仿宋_GB2312"/>
          <w:color w:val="auto"/>
          <w:sz w:val="28"/>
          <w:szCs w:val="28"/>
          <w:highlight w:val="none"/>
          <w:lang w:eastAsia="zh-CN"/>
        </w:rPr>
        <w:t>物业费为</w:t>
      </w:r>
      <w:r>
        <w:rPr>
          <w:rFonts w:hint="eastAsia" w:ascii="仿宋_GB2312" w:hAnsi="仿宋_GB2312" w:eastAsia="仿宋_GB2312" w:cs="仿宋_GB2312"/>
          <w:color w:val="auto"/>
          <w:sz w:val="28"/>
          <w:szCs w:val="28"/>
          <w:highlight w:val="none"/>
          <w:lang w:val="en-US" w:eastAsia="zh-CN"/>
        </w:rPr>
        <w:t>4458元/年（10元/m²/月），在合同签订后4个月内支付。</w:t>
      </w:r>
      <w:r>
        <w:rPr>
          <w:rFonts w:hint="eastAsia" w:ascii="仿宋_GB2312" w:hAnsi="仿宋_GB2312" w:eastAsia="仿宋_GB2312" w:cs="仿宋_GB2312"/>
          <w:color w:val="auto"/>
          <w:sz w:val="28"/>
          <w:szCs w:val="28"/>
          <w:highlight w:val="none"/>
          <w:lang w:eastAsia="zh-CN"/>
        </w:rPr>
        <w:t>物业费按年支付，后两年每年的物业费在合同年开始后</w:t>
      </w:r>
      <w:r>
        <w:rPr>
          <w:rFonts w:hint="eastAsia" w:ascii="仿宋_GB2312" w:hAnsi="仿宋_GB2312" w:eastAsia="仿宋_GB2312" w:cs="仿宋_GB2312"/>
          <w:color w:val="auto"/>
          <w:sz w:val="28"/>
          <w:szCs w:val="28"/>
          <w:highlight w:val="none"/>
          <w:lang w:val="en-US" w:eastAsia="zh-CN"/>
        </w:rPr>
        <w:t>15个工作日内缴清。</w:t>
      </w:r>
    </w:p>
    <w:p w14:paraId="23E6B44C">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、乙方不得绕过甲方直接对外收取销售款。</w:t>
      </w:r>
    </w:p>
    <w:p w14:paraId="731FF84A">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收款</w:t>
      </w:r>
      <w:r>
        <w:rPr>
          <w:rFonts w:hint="eastAsia" w:ascii="仿宋_GB2312" w:hAnsi="仿宋_GB2312" w:eastAsia="仿宋_GB2312" w:cs="仿宋_GB2312"/>
          <w:color w:val="000000" w:themeColor="text1"/>
          <w:sz w:val="28"/>
          <w:szCs w:val="28"/>
          <w:highlight w:val="none"/>
          <w14:textFill>
            <w14:solidFill>
              <w14:schemeClr w14:val="tx1"/>
            </w14:solidFill>
          </w14:textFill>
        </w:rPr>
        <w:t>工作，收款账户由甲方指定。</w:t>
      </w:r>
      <w:r>
        <w:rPr>
          <w:rFonts w:hint="eastAsia" w:ascii="仿宋_GB2312" w:hAnsi="仿宋_GB2312" w:eastAsia="仿宋_GB2312" w:cs="仿宋_GB2312"/>
          <w:color w:val="auto"/>
          <w:sz w:val="28"/>
          <w:szCs w:val="28"/>
          <w:highlight w:val="none"/>
          <w:lang w:eastAsia="zh-CN"/>
        </w:rPr>
        <w:t>合作经营房屋</w:t>
      </w:r>
      <w:r>
        <w:rPr>
          <w:rFonts w:hint="eastAsia" w:ascii="仿宋_GB2312" w:hAnsi="仿宋_GB2312" w:eastAsia="仿宋_GB2312" w:cs="仿宋_GB2312"/>
          <w:color w:val="auto"/>
          <w:sz w:val="28"/>
          <w:szCs w:val="28"/>
          <w:highlight w:val="none"/>
        </w:rPr>
        <w:t>的收银手续费由乙方承担。</w:t>
      </w:r>
    </w:p>
    <w:p w14:paraId="4AF077C5">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、乙方负责消费者发票的开具及售后，因乙方未及时开具发票导致客户投诉的由乙方负责解决。如消费者直接用现金支付的，乙方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月底统一将现金销售款的金额打款至甲方指定账户。</w:t>
      </w:r>
    </w:p>
    <w:p w14:paraId="31AD1CE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场地正式营业前乙方自行安装监控并共享给甲方，以便甲方对乙方的经营行为进行监督，监控设备需配备内存卡，影像需可回放一周</w:t>
      </w:r>
      <w:r>
        <w:rPr>
          <w:rFonts w:hint="eastAsia" w:ascii="仿宋_GB2312" w:hAnsi="仿宋_GB2312" w:eastAsia="仿宋_GB2312" w:cs="仿宋_GB2312"/>
          <w:color w:val="auto"/>
          <w:sz w:val="28"/>
          <w:szCs w:val="28"/>
          <w:highlight w:val="none"/>
        </w:rPr>
        <w:t>。</w:t>
      </w:r>
    </w:p>
    <w:p w14:paraId="6EB91A68">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、乙方负责合同履行期内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日常维护管理、安全、消防等事项并承担产生的相应费用。</w:t>
      </w:r>
    </w:p>
    <w:p w14:paraId="364522D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28"/>
          <w:szCs w:val="28"/>
          <w:highlight w:val="none"/>
          <w14:textFill>
            <w14:solidFill>
              <w14:schemeClr w14:val="tx1"/>
            </w14:solidFill>
          </w14:textFill>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14:paraId="6CE8AE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i w:val="0"/>
          <w:iCs w:val="0"/>
          <w:caps w:val="0"/>
          <w:color w:val="000000" w:themeColor="text1"/>
          <w:spacing w:val="0"/>
          <w:sz w:val="28"/>
          <w:szCs w:val="28"/>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lang w:val="en-US" w:eastAsia="zh-CN"/>
          <w14:textFill>
            <w14:solidFill>
              <w14:schemeClr w14:val="tx1"/>
            </w14:solidFill>
          </w14:textFill>
        </w:rPr>
        <w:t>18、乙方需无条件代售甲方和合肥文旅博览集团及旗下子公司各类文创产品（货品具体摆放位置由甲方指定）。</w:t>
      </w:r>
    </w:p>
    <w:p w14:paraId="5B500DA3">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乙方每季度有效投诉不得超过1起，超过的每起有效投诉乙方需支付违约金500元，造成舆情的，不论原因每起舆情乙方需支付违约金3000元（以收到政府相关部门舆情提示单为准），所有违约金从该季度分成款中扣除。</w:t>
      </w:r>
    </w:p>
    <w:p w14:paraId="1B011BA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的装修</w:t>
      </w:r>
    </w:p>
    <w:p w14:paraId="6EE0851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的装饰装修工作由乙方负责，与装饰装修相关的审批、申请、验收等手续由乙方负责，费用由乙方承担。</w:t>
      </w:r>
    </w:p>
    <w:p w14:paraId="7CF8F4C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2、乙方在使用期间，不得擅自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附加建筑。乙方的装修方案应当经甲方同意。但乙方应当对其装饰装修行为的合法性、安全性、可靠性、有效性负责，甲方的同意行为不视为对乙方上述义务的减轻或者豁免。</w:t>
      </w:r>
    </w:p>
    <w:p w14:paraId="294F5EA1">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sz w:val="28"/>
          <w:szCs w:val="28"/>
          <w:highlight w:val="none"/>
        </w:rPr>
        <w:t>投入的装修、装潢部分应在合作期限结束后无偿地移交给甲方。</w:t>
      </w:r>
    </w:p>
    <w:p w14:paraId="12395D3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4、乙方自行办理经营、设计、装修涉及的规划、环保、卫生、水、电、气、通讯、消防改造验收等国家规定的相关报批手续，所产生的相关费用由乙方承担。甲方应及时提供办理资质文件所需的资料，乙方对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的装修改造工程必须符合相关法律法规，乙方装修改造工程依法需要报建的，乙方还应当自行办理规定的报建手续。</w:t>
      </w:r>
    </w:p>
    <w:p w14:paraId="3D78F21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5、乙方应当对其在本合同项下装饰装修、改造行为的安全性、合法性、可靠性、有效性负责，甲方在本合同项下的任何同意、审核行为不视为对乙方上述责任和义务的减轻或者豁免。</w:t>
      </w:r>
    </w:p>
    <w:p w14:paraId="2BD88A47">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6、因乙方的装修改造行为使甲方陷入与第三方纠纷或者使甲方被第三方索赔，或者使甲方遭受行政处罚的，甲方有权向乙方追偿所遭受的全部损失。</w:t>
      </w:r>
    </w:p>
    <w:p w14:paraId="3675B45E">
      <w:pPr>
        <w:keepNext w:val="0"/>
        <w:keepLines w:val="0"/>
        <w:pageBreakBefore w:val="0"/>
        <w:kinsoku/>
        <w:wordWrap/>
        <w:overflowPunct/>
        <w:topLinePunct w:val="0"/>
        <w:autoSpaceDE/>
        <w:autoSpaceDN/>
        <w:bidi w:val="0"/>
        <w:adjustRightInd/>
        <w:snapToGrid/>
        <w:spacing w:line="500" w:lineRule="exact"/>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w:t>
      </w:r>
      <w:r>
        <w:rPr>
          <w:rFonts w:hint="eastAsia" w:ascii="仿宋_GB2312" w:hAnsi="仿宋_GB2312" w:eastAsia="仿宋_GB2312" w:cs="仿宋_GB2312"/>
          <w:b/>
          <w:bCs/>
          <w:sz w:val="28"/>
          <w:szCs w:val="28"/>
          <w:highlight w:val="none"/>
          <w:lang w:eastAsia="zh-CN"/>
        </w:rPr>
        <w:t>房屋</w:t>
      </w:r>
      <w:r>
        <w:rPr>
          <w:rFonts w:hint="eastAsia" w:ascii="仿宋_GB2312" w:hAnsi="仿宋_GB2312" w:eastAsia="仿宋_GB2312" w:cs="仿宋_GB2312"/>
          <w:b/>
          <w:bCs/>
          <w:sz w:val="28"/>
          <w:szCs w:val="28"/>
          <w:highlight w:val="none"/>
        </w:rPr>
        <w:t>的维护维修</w:t>
      </w:r>
    </w:p>
    <w:p w14:paraId="584201C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在交付乙方前的原有的设施设备由甲方负责维护维修，乙方在接收</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后投入的设施设备以及装饰装修由乙方负责维护维修。</w:t>
      </w:r>
    </w:p>
    <w:p w14:paraId="4B26693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2、乙方应爱护并合理使用</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及附属设施，对于交付乙方前的原有的设施设备因乙方原因导致的损坏，由乙方负责维修及赔偿因此给乙方造成的损失。</w:t>
      </w:r>
    </w:p>
    <w:p w14:paraId="29B69E55">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六、收益和分成</w:t>
      </w:r>
    </w:p>
    <w:p w14:paraId="78A6623F">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sz w:val="28"/>
          <w:szCs w:val="28"/>
          <w:highlight w:val="none"/>
        </w:rPr>
        <w:t>甲方按照销售额（含税）的</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%收取收益分成。</w:t>
      </w:r>
    </w:p>
    <w:p w14:paraId="2BC11CB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销售款项由甲方先行代收，按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合同月</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每个合同月结束后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15天内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甲乙双方进行对账并</w:t>
      </w:r>
      <w:r>
        <w:rPr>
          <w:rFonts w:hint="eastAsia" w:ascii="仿宋_GB2312" w:hAnsi="仿宋_GB2312" w:eastAsia="仿宋_GB2312" w:cs="仿宋_GB2312"/>
          <w:color w:val="000000" w:themeColor="text1"/>
          <w:sz w:val="28"/>
          <w:szCs w:val="28"/>
          <w:highlight w:val="none"/>
          <w14:textFill>
            <w14:solidFill>
              <w14:schemeClr w14:val="tx1"/>
            </w14:solidFill>
          </w14:textFill>
        </w:rPr>
        <w:t>形成确认单。</w:t>
      </w:r>
    </w:p>
    <w:p w14:paraId="10ADEBC1">
      <w:pPr>
        <w:keepNext w:val="0"/>
        <w:keepLines w:val="0"/>
        <w:pageBreakBefore w:val="0"/>
        <w:widowControl/>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sz w:val="28"/>
          <w:szCs w:val="28"/>
          <w:highlight w:val="none"/>
          <w:u w:val="single" w:color="FFFFFF"/>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甲乙双方对账确认好金额后，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甲方向乙方开具增值税专用发票，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甲方将银行或第三方服务平台扣除手续费后乙方应得分成款项</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一次性支付至乙方指定账号。合同期内最后一次打款需在甲乙双方对账无误后十五个工作日内完成。每年在合作的第10个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月对前9个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月收益分成进行汇总结算，甲方前9个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月的分成款超过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元时，则按分成款结算，若不足则按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z w:val="28"/>
          <w:szCs w:val="28"/>
          <w:highlight w:val="none"/>
          <w14:textFill>
            <w14:solidFill>
              <w14:schemeClr w14:val="tx1"/>
            </w14:solidFill>
          </w14:textFill>
        </w:rPr>
        <w:t>元结算（不足部分从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销售款</w:t>
      </w:r>
      <w:r>
        <w:rPr>
          <w:rFonts w:hint="eastAsia" w:ascii="仿宋_GB2312" w:hAnsi="仿宋_GB2312" w:eastAsia="仿宋_GB2312" w:cs="仿宋_GB2312"/>
          <w:color w:val="000000" w:themeColor="text1"/>
          <w:sz w:val="28"/>
          <w:szCs w:val="28"/>
          <w:highlight w:val="none"/>
          <w14:textFill>
            <w14:solidFill>
              <w14:schemeClr w14:val="tx1"/>
            </w14:solidFill>
          </w14:textFill>
        </w:rPr>
        <w:t>扣除）。年度最后一个季度对全年应分成款进行核算，当全年应分成款≤保底价，最后一个季度甲方不再分成，</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销售额</w:t>
      </w:r>
      <w:r>
        <w:rPr>
          <w:rFonts w:hint="eastAsia" w:ascii="仿宋_GB2312" w:hAnsi="仿宋_GB2312" w:eastAsia="仿宋_GB2312" w:cs="仿宋_GB2312"/>
          <w:color w:val="000000" w:themeColor="text1"/>
          <w:sz w:val="28"/>
          <w:szCs w:val="28"/>
          <w:highlight w:val="none"/>
          <w14:textFill>
            <w14:solidFill>
              <w14:schemeClr w14:val="tx1"/>
            </w14:solidFill>
          </w14:textFill>
        </w:rPr>
        <w:t>归乙方所有；当全年应分成款＞保底价，最后一个季度甲方按全年应分成款-前期已分成（或当前期分成不足保底价时已扣除的保底价）为甲方应得分成款。</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销售额</w:t>
      </w:r>
      <w:r>
        <w:rPr>
          <w:rFonts w:hint="eastAsia" w:ascii="仿宋_GB2312" w:hAnsi="仿宋_GB2312" w:eastAsia="仿宋_GB2312" w:cs="仿宋_GB2312"/>
          <w:color w:val="000000" w:themeColor="text1"/>
          <w:sz w:val="28"/>
          <w:szCs w:val="28"/>
          <w:highlight w:val="none"/>
          <w14:textFill>
            <w14:solidFill>
              <w14:schemeClr w14:val="tx1"/>
            </w14:solidFill>
          </w14:textFill>
        </w:rPr>
        <w:t>中扣除后仍达不到保底价部分乙方应在10个工作日内补齐，否则甲方有权终止合同，且不退还履约保证金。</w:t>
      </w:r>
    </w:p>
    <w:p w14:paraId="6C52BA0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甲方付款前，乙方应当向甲方提供足额的收据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（或乙方收到甲方转账后开具确认函）</w:t>
      </w:r>
      <w:r>
        <w:rPr>
          <w:rFonts w:hint="eastAsia" w:ascii="仿宋_GB2312" w:hAnsi="仿宋_GB2312" w:eastAsia="仿宋_GB2312" w:cs="仿宋_GB2312"/>
          <w:color w:val="000000"/>
          <w:sz w:val="28"/>
          <w:szCs w:val="28"/>
          <w:highlight w:val="none"/>
        </w:rPr>
        <w:t>。</w:t>
      </w:r>
    </w:p>
    <w:p w14:paraId="4F24A508">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5、甲方收款账户及开票信息:</w:t>
      </w:r>
    </w:p>
    <w:p w14:paraId="5103CFA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公司名称：合肥文旅博览集团野生动物园管理有限公司</w:t>
      </w:r>
    </w:p>
    <w:p w14:paraId="474C1261">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纳税人识别号：91340100MAD15H6X3E</w:t>
      </w:r>
    </w:p>
    <w:p w14:paraId="45D84DB7">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地址：合肥市高新区望江西路600号</w:t>
      </w:r>
    </w:p>
    <w:p w14:paraId="4345CC4E">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电话：0551-65395530</w:t>
      </w:r>
    </w:p>
    <w:p w14:paraId="4BD2A8A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工行合肥包河支行</w:t>
      </w:r>
    </w:p>
    <w:p w14:paraId="1DA74254">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开户银行账号：1302010509200496628</w:t>
      </w:r>
    </w:p>
    <w:p w14:paraId="772ED3AA">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EB81E97">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6、乙方收款账户及开票信息：</w:t>
      </w:r>
    </w:p>
    <w:p w14:paraId="06F60E3A">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w:t>
      </w:r>
    </w:p>
    <w:p w14:paraId="3F7DF473">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w:t>
      </w:r>
    </w:p>
    <w:p w14:paraId="648C117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30EF6135">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开户行：</w:t>
      </w:r>
    </w:p>
    <w:p w14:paraId="5FFE9017">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开户行账号：</w:t>
      </w:r>
    </w:p>
    <w:p w14:paraId="5B99CA7E">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七、合同终止</w:t>
      </w:r>
    </w:p>
    <w:p w14:paraId="4478AB4E">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1、本合同到期终止，未到期之前，双方当事人不得随意提前解除合同。</w:t>
      </w:r>
    </w:p>
    <w:p w14:paraId="06DBECAC">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2、乙方有下列情形之一的，甲方有权解除合同且不承担违约责任：</w:t>
      </w:r>
    </w:p>
    <w:p w14:paraId="31EBC412">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未经甲方允许</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对房屋进行装修、装潢或</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w:t>
      </w:r>
    </w:p>
    <w:p w14:paraId="1F51444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（2）未经甲方书面同意，乙方擅自将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全部或部分予以转让或变相转让、转借他人或调换使用，或交与第三方承包经营、合作经营或联合经营的；</w:t>
      </w:r>
    </w:p>
    <w:p w14:paraId="6549A331">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（3）因违法违章行为被相关政府职能部门处以停业整顿、吊销许可证或营业执照等行政处罚的；</w:t>
      </w:r>
    </w:p>
    <w:p w14:paraId="0E9DFA19">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（4）未经甲方书面同意，擅自停止营业连续超过7天或一年内累计停止营业超过15天的；</w:t>
      </w:r>
    </w:p>
    <w:p w14:paraId="5A9DC1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（5）因乙方行为，甲方陷入与第三方纠纷或者使甲方被第三方索赔，或者使甲方遭受行政处罚，或者其他违约行为使甲方遭受重大损失的；</w:t>
      </w:r>
    </w:p>
    <w:p w14:paraId="1ED336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eastAsia="仿宋_GB2312"/>
          <w:highlight w:val="none"/>
          <w:lang w:eastAsia="zh-CN"/>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）乙方不遵守合同前述其他条款的；</w:t>
      </w:r>
    </w:p>
    <w:p w14:paraId="776E92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因乙方原因导致本合同解除的，乙方应当赔偿甲方因此遭受的损失。</w:t>
      </w:r>
    </w:p>
    <w:p w14:paraId="7A512D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3、甲方有下列情形之一的，乙方有权解除合同且不承担违约责任：</w:t>
      </w:r>
    </w:p>
    <w:p w14:paraId="06455F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（1）甲方未按约定时间交付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达</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30 </w:t>
      </w:r>
      <w:r>
        <w:rPr>
          <w:rFonts w:hint="eastAsia" w:ascii="仿宋_GB2312" w:hAnsi="仿宋_GB2312" w:eastAsia="仿宋_GB2312" w:cs="仿宋_GB2312"/>
          <w:color w:val="000000" w:themeColor="text1"/>
          <w:sz w:val="28"/>
          <w:szCs w:val="28"/>
          <w:highlight w:val="none"/>
          <w14:textFill>
            <w14:solidFill>
              <w14:schemeClr w14:val="tx1"/>
            </w14:solidFill>
          </w14:textFill>
        </w:rPr>
        <w:t>日的；</w:t>
      </w:r>
    </w:p>
    <w:p w14:paraId="547D8D87">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因甲方未按约定时间交付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导致本合同解除的，甲方应当赔偿乙方遭受的损失。</w:t>
      </w:r>
    </w:p>
    <w:p w14:paraId="75A0D3BD">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4、有下列情形之一的，甲乙双方均有权单方面解除本合同，且互不承担违约责任：</w:t>
      </w:r>
    </w:p>
    <w:p w14:paraId="3FAFFCED">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因政府部门要求拆迁（如生态红线内违规建设等原因）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城市建设需要被依法动迁或因甲方改造提升需要进行拆迁的；</w:t>
      </w:r>
    </w:p>
    <w:p w14:paraId="360668E8">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因社会公共利益的需要被依法征用的；</w:t>
      </w:r>
    </w:p>
    <w:p w14:paraId="0246FB54">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（3）因不可抗力致使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及附属设施毁损、灭失或造成其他损失的；</w:t>
      </w:r>
    </w:p>
    <w:p w14:paraId="265637F4">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（4）因不可抗力导致本合同无法履行的。</w:t>
      </w:r>
    </w:p>
    <w:p w14:paraId="0FD8CE5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5、本合同提前解除或者到期终止的，乙方应当在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w:t>
      </w:r>
      <w:r>
        <w:rPr>
          <w:rFonts w:hint="eastAsia" w:ascii="仿宋_GB2312" w:hAnsi="仿宋_GB2312" w:eastAsia="仿宋_GB2312" w:cs="仿宋_GB2312"/>
          <w:sz w:val="28"/>
          <w:szCs w:val="28"/>
          <w:highlight w:val="none"/>
        </w:rPr>
        <w:t>乙方物品以及乙方投入的未形成附合物的设施设备应当在上述期限内全部从</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内搬离</w:t>
      </w:r>
      <w:r>
        <w:rPr>
          <w:rFonts w:hint="eastAsia" w:ascii="仿宋_GB2312" w:hAnsi="仿宋_GB2312" w:eastAsia="仿宋_GB2312" w:cs="仿宋_GB2312"/>
          <w:sz w:val="28"/>
          <w:szCs w:val="28"/>
          <w:highlight w:val="none"/>
          <w:lang w:eastAsia="zh-CN"/>
        </w:rPr>
        <w:t>并将房屋恢复原状</w:t>
      </w:r>
      <w:r>
        <w:rPr>
          <w:rFonts w:hint="eastAsia" w:ascii="仿宋_GB2312" w:hAnsi="仿宋_GB2312" w:eastAsia="仿宋_GB2312" w:cs="仿宋_GB2312"/>
          <w:sz w:val="28"/>
          <w:szCs w:val="28"/>
          <w:highlight w:val="none"/>
        </w:rPr>
        <w:t>，乙方逾期未搬离的，甲方视为乙方遗弃上述物品和装饰装修物，甲方有权自行处置，所获得的款项归甲方所有。对于</w:t>
      </w:r>
      <w:r>
        <w:rPr>
          <w:rFonts w:hint="eastAsia" w:ascii="仿宋_GB2312" w:hAnsi="仿宋_GB2312" w:eastAsia="仿宋_GB2312" w:cs="仿宋_GB2312"/>
          <w:sz w:val="28"/>
          <w:szCs w:val="28"/>
          <w:highlight w:val="none"/>
          <w:lang w:eastAsia="zh-CN"/>
        </w:rPr>
        <w:t>装修装潢部分</w:t>
      </w:r>
      <w:r>
        <w:rPr>
          <w:rFonts w:hint="eastAsia" w:ascii="仿宋_GB2312" w:hAnsi="仿宋_GB2312" w:eastAsia="仿宋_GB2312" w:cs="仿宋_GB2312"/>
          <w:sz w:val="28"/>
          <w:szCs w:val="28"/>
          <w:highlight w:val="none"/>
        </w:rPr>
        <w:t>及其他物品，乙方无偿移交给甲方。</w:t>
      </w:r>
    </w:p>
    <w:p w14:paraId="6FC35AE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6、合作期间，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highlight w:val="none"/>
          <w14:textFill>
            <w14:solidFill>
              <w14:schemeClr w14:val="tx1"/>
            </w14:solidFill>
          </w14:textFill>
        </w:rPr>
        <w:t>提前解除或者到期终止的，甲乙双方应在解除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15日内</w:t>
      </w:r>
      <w:r>
        <w:rPr>
          <w:rFonts w:hint="eastAsia" w:ascii="仿宋_GB2312" w:hAnsi="仿宋_GB2312" w:eastAsia="仿宋_GB2312" w:cs="仿宋_GB2312"/>
          <w:color w:val="000000" w:themeColor="text1"/>
          <w:sz w:val="28"/>
          <w:szCs w:val="28"/>
          <w:highlight w:val="none"/>
          <w14:textFill>
            <w14:solidFill>
              <w14:schemeClr w14:val="tx1"/>
            </w14:solidFill>
          </w14:textFill>
        </w:rPr>
        <w:t>完成全部费用的清算。</w:t>
      </w:r>
    </w:p>
    <w:p w14:paraId="65851E3B">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八、违约责任</w:t>
      </w:r>
    </w:p>
    <w:p w14:paraId="456B1BAD">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14:paraId="0783475C">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、乙方绕过甲方直接对外收取销售款</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sz w:val="28"/>
          <w:szCs w:val="28"/>
          <w:highlight w:val="none"/>
          <w:lang w:val="en-US" w:eastAsia="zh-CN"/>
        </w:rPr>
        <w:t>甲方有权直接</w:t>
      </w:r>
      <w:r>
        <w:rPr>
          <w:rFonts w:hint="eastAsia" w:ascii="仿宋_GB2312" w:hAnsi="仿宋_GB2312" w:eastAsia="仿宋_GB2312" w:cs="仿宋_GB2312"/>
          <w:sz w:val="28"/>
          <w:szCs w:val="28"/>
          <w:highlight w:val="none"/>
          <w:lang w:eastAsia="zh-CN"/>
        </w:rPr>
        <w:t>解除合同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53199CA">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3、乙方装修未按照装修效果图（定稿版）严格执行，甲方有权要求其在期限内进行整改，如若未及时整改，甲方有权直接解除合同。</w:t>
      </w:r>
    </w:p>
    <w:p w14:paraId="7E39D1D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、因乙方原因导致本合同提前解除的，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扣除履约保证金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不足以弥补甲方损失的，乙方应当继续赔偿甲方损失。</w:t>
      </w:r>
    </w:p>
    <w:p w14:paraId="1E6A7C27">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、本合同到期终止或提前解除后，乙方逾期未将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清空并将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交还给甲方的，每逾期一日，乙方应当</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元/日向甲方支付违约金。</w:t>
      </w:r>
    </w:p>
    <w:p w14:paraId="09457A9A">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九、合同生效</w:t>
      </w:r>
    </w:p>
    <w:p w14:paraId="18661693">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1、本合同自甲、乙双方签字盖章之日生效。</w:t>
      </w:r>
    </w:p>
    <w:p w14:paraId="154DA3CB">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2、本合同一式</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壹</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4236D838">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3、本合同的附件与本合同具有同等法律效力。</w:t>
      </w:r>
    </w:p>
    <w:p w14:paraId="26DC48AF">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十、争议解决</w:t>
      </w:r>
    </w:p>
    <w:p w14:paraId="30EFD4F4">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甲、乙双方在履行本合同过程中发生争议，应友好协商解决。协商不能解决的，可依法向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所在地有管辖权的人民法院提起诉讼。</w:t>
      </w:r>
    </w:p>
    <w:p w14:paraId="76C1FAC8">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p>
    <w:p w14:paraId="52712296">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合肥文旅博览集团野生动物园管理有限公司</w:t>
      </w:r>
    </w:p>
    <w:p w14:paraId="0CF5FE3E">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14:paraId="6A305A60">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14:paraId="6FC857C8">
      <w:pP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p>
    <w:p w14:paraId="424CA768">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14:paraId="70B03376">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14:paraId="324EE92C">
      <w:pPr>
        <w:rPr>
          <w:highlight w:val="none"/>
          <w:lang w:val="en-US" w:eastAsia="zh-CN"/>
        </w:rPr>
      </w:pPr>
    </w:p>
    <w:p w14:paraId="688212D1"/>
    <w:p w14:paraId="310FBF52">
      <w:pPr>
        <w:rPr>
          <w:rFonts w:hint="default"/>
          <w:highlight w:val="none"/>
          <w:lang w:val="en-US" w:eastAsia="zh-CN"/>
        </w:rPr>
      </w:pPr>
    </w:p>
    <w:p w14:paraId="0BEDBB33">
      <w:pPr>
        <w:rPr>
          <w:rFonts w:hint="default"/>
          <w:highlight w:val="none"/>
          <w:lang w:val="en-US" w:eastAsia="zh-CN"/>
        </w:rPr>
      </w:pPr>
    </w:p>
    <w:sectPr>
      <w:footerReference r:id="rId3" w:type="default"/>
      <w:pgSz w:w="11906" w:h="16838"/>
      <w:pgMar w:top="1117" w:right="969" w:bottom="1361"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4D3A">
    <w:pPr>
      <w:spacing w:line="176" w:lineRule="auto"/>
      <w:ind w:left="49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23D26B">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A23D26B">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25B654F3"/>
    <w:multiLevelType w:val="multilevel"/>
    <w:tmpl w:val="25B654F3"/>
    <w:lvl w:ilvl="0" w:tentative="0">
      <w:start w:val="2"/>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abstractNum w:abstractNumId="2">
    <w:nsid w:val="3D898E1D"/>
    <w:multiLevelType w:val="singleLevel"/>
    <w:tmpl w:val="3D898E1D"/>
    <w:lvl w:ilvl="0" w:tentative="0">
      <w:start w:val="2"/>
      <w:numFmt w:val="chineseCounting"/>
      <w:suff w:val="nothing"/>
      <w:lvlText w:val="%1、"/>
      <w:lvlJc w:val="left"/>
      <w:rPr>
        <w:rFonts w:hint="eastAsia"/>
      </w:rPr>
    </w:lvl>
  </w:abstractNum>
  <w:abstractNum w:abstractNumId="3">
    <w:nsid w:val="3FF742C0"/>
    <w:multiLevelType w:val="singleLevel"/>
    <w:tmpl w:val="3FF742C0"/>
    <w:lvl w:ilvl="0" w:tentative="0">
      <w:start w:val="1"/>
      <w:numFmt w:val="decimal"/>
      <w:lvlText w:val="%1."/>
      <w:lvlJc w:val="left"/>
      <w:pPr>
        <w:tabs>
          <w:tab w:val="left" w:pos="312"/>
        </w:tabs>
      </w:pPr>
    </w:lvl>
  </w:abstractNum>
  <w:abstractNum w:abstractNumId="4">
    <w:nsid w:val="72183CF9"/>
    <w:multiLevelType w:val="multilevel"/>
    <w:tmpl w:val="72183CF9"/>
    <w:lvl w:ilvl="0" w:tentative="0">
      <w:start w:val="1"/>
      <w:numFmt w:val="decimal"/>
      <w:lvlText w:val="%1."/>
      <w:lvlJc w:val="left"/>
      <w:pPr>
        <w:ind w:left="32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47" w:hanging="213"/>
      </w:pPr>
      <w:rPr>
        <w:rFonts w:hint="default"/>
        <w:lang w:val="zh-CN" w:eastAsia="zh-CN" w:bidi="zh-CN"/>
      </w:rPr>
    </w:lvl>
    <w:lvl w:ilvl="2" w:tentative="0">
      <w:start w:val="0"/>
      <w:numFmt w:val="bullet"/>
      <w:lvlText w:val="•"/>
      <w:lvlJc w:val="left"/>
      <w:pPr>
        <w:ind w:left="1775" w:hanging="213"/>
      </w:pPr>
      <w:rPr>
        <w:rFonts w:hint="default"/>
        <w:lang w:val="zh-CN" w:eastAsia="zh-CN" w:bidi="zh-CN"/>
      </w:rPr>
    </w:lvl>
    <w:lvl w:ilvl="3" w:tentative="0">
      <w:start w:val="0"/>
      <w:numFmt w:val="bullet"/>
      <w:lvlText w:val="•"/>
      <w:lvlJc w:val="left"/>
      <w:pPr>
        <w:ind w:left="2502" w:hanging="213"/>
      </w:pPr>
      <w:rPr>
        <w:rFonts w:hint="default"/>
        <w:lang w:val="zh-CN" w:eastAsia="zh-CN" w:bidi="zh-CN"/>
      </w:rPr>
    </w:lvl>
    <w:lvl w:ilvl="4" w:tentative="0">
      <w:start w:val="0"/>
      <w:numFmt w:val="bullet"/>
      <w:lvlText w:val="•"/>
      <w:lvlJc w:val="left"/>
      <w:pPr>
        <w:ind w:left="3230" w:hanging="213"/>
      </w:pPr>
      <w:rPr>
        <w:rFonts w:hint="default"/>
        <w:lang w:val="zh-CN" w:eastAsia="zh-CN" w:bidi="zh-CN"/>
      </w:rPr>
    </w:lvl>
    <w:lvl w:ilvl="5" w:tentative="0">
      <w:start w:val="0"/>
      <w:numFmt w:val="bullet"/>
      <w:lvlText w:val="•"/>
      <w:lvlJc w:val="left"/>
      <w:pPr>
        <w:ind w:left="3957" w:hanging="213"/>
      </w:pPr>
      <w:rPr>
        <w:rFonts w:hint="default"/>
        <w:lang w:val="zh-CN" w:eastAsia="zh-CN" w:bidi="zh-CN"/>
      </w:rPr>
    </w:lvl>
    <w:lvl w:ilvl="6" w:tentative="0">
      <w:start w:val="0"/>
      <w:numFmt w:val="bullet"/>
      <w:lvlText w:val="•"/>
      <w:lvlJc w:val="left"/>
      <w:pPr>
        <w:ind w:left="4685" w:hanging="213"/>
      </w:pPr>
      <w:rPr>
        <w:rFonts w:hint="default"/>
        <w:lang w:val="zh-CN" w:eastAsia="zh-CN" w:bidi="zh-CN"/>
      </w:rPr>
    </w:lvl>
    <w:lvl w:ilvl="7" w:tentative="0">
      <w:start w:val="0"/>
      <w:numFmt w:val="bullet"/>
      <w:lvlText w:val="•"/>
      <w:lvlJc w:val="left"/>
      <w:pPr>
        <w:ind w:left="5412" w:hanging="213"/>
      </w:pPr>
      <w:rPr>
        <w:rFonts w:hint="default"/>
        <w:lang w:val="zh-CN" w:eastAsia="zh-CN" w:bidi="zh-CN"/>
      </w:rPr>
    </w:lvl>
    <w:lvl w:ilvl="8" w:tentative="0">
      <w:start w:val="0"/>
      <w:numFmt w:val="bullet"/>
      <w:lvlText w:val="•"/>
      <w:lvlJc w:val="left"/>
      <w:pPr>
        <w:ind w:left="6140" w:hanging="213"/>
      </w:pPr>
      <w:rPr>
        <w:rFonts w:hint="default"/>
        <w:lang w:val="zh-CN" w:eastAsia="zh-CN" w:bidi="zh-C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MjczOWFiOWZjZDIzYmZiZTk2ODNkNWQ3NWVjNjgifQ=="/>
  </w:docVars>
  <w:rsids>
    <w:rsidRoot w:val="00000000"/>
    <w:rsid w:val="003E22BB"/>
    <w:rsid w:val="00583768"/>
    <w:rsid w:val="00A83AD0"/>
    <w:rsid w:val="00D9637F"/>
    <w:rsid w:val="014756EF"/>
    <w:rsid w:val="0162532A"/>
    <w:rsid w:val="018379C7"/>
    <w:rsid w:val="01EC37B9"/>
    <w:rsid w:val="020243FF"/>
    <w:rsid w:val="021202B7"/>
    <w:rsid w:val="023757A2"/>
    <w:rsid w:val="02F93376"/>
    <w:rsid w:val="04115E30"/>
    <w:rsid w:val="044B4B70"/>
    <w:rsid w:val="049F168E"/>
    <w:rsid w:val="04AE418F"/>
    <w:rsid w:val="04EC6201"/>
    <w:rsid w:val="05105B0A"/>
    <w:rsid w:val="05411EB8"/>
    <w:rsid w:val="056211A0"/>
    <w:rsid w:val="06EF6388"/>
    <w:rsid w:val="06FF08C7"/>
    <w:rsid w:val="072645F8"/>
    <w:rsid w:val="074D53D1"/>
    <w:rsid w:val="078354CD"/>
    <w:rsid w:val="07B471FE"/>
    <w:rsid w:val="07E5385B"/>
    <w:rsid w:val="07FE030A"/>
    <w:rsid w:val="081D4246"/>
    <w:rsid w:val="084A2A34"/>
    <w:rsid w:val="08796D60"/>
    <w:rsid w:val="094840A2"/>
    <w:rsid w:val="095D38E2"/>
    <w:rsid w:val="09AB5FE4"/>
    <w:rsid w:val="09BB6AB2"/>
    <w:rsid w:val="0A320E90"/>
    <w:rsid w:val="0ACA6D38"/>
    <w:rsid w:val="0AE826D1"/>
    <w:rsid w:val="0B24469B"/>
    <w:rsid w:val="0B4E7969"/>
    <w:rsid w:val="0B567CE2"/>
    <w:rsid w:val="0B70168E"/>
    <w:rsid w:val="0C564D28"/>
    <w:rsid w:val="0C684EB8"/>
    <w:rsid w:val="0C811298"/>
    <w:rsid w:val="0CEA2865"/>
    <w:rsid w:val="0CFF74B3"/>
    <w:rsid w:val="0D1042C9"/>
    <w:rsid w:val="0D887163"/>
    <w:rsid w:val="0DA1742E"/>
    <w:rsid w:val="0DB1255B"/>
    <w:rsid w:val="0E222ECF"/>
    <w:rsid w:val="0E3A5F93"/>
    <w:rsid w:val="0E4B47DC"/>
    <w:rsid w:val="0E7D7A4F"/>
    <w:rsid w:val="0ECE1F86"/>
    <w:rsid w:val="0EE64222"/>
    <w:rsid w:val="0F6C3380"/>
    <w:rsid w:val="1010172C"/>
    <w:rsid w:val="105F788D"/>
    <w:rsid w:val="10AA5642"/>
    <w:rsid w:val="11292746"/>
    <w:rsid w:val="11B0724B"/>
    <w:rsid w:val="12104EB8"/>
    <w:rsid w:val="127E0235"/>
    <w:rsid w:val="12941C29"/>
    <w:rsid w:val="134A2A14"/>
    <w:rsid w:val="1350413D"/>
    <w:rsid w:val="13884CF1"/>
    <w:rsid w:val="13FB7424"/>
    <w:rsid w:val="141C0605"/>
    <w:rsid w:val="14255AAC"/>
    <w:rsid w:val="153D4CD7"/>
    <w:rsid w:val="156A35F2"/>
    <w:rsid w:val="15B42ABF"/>
    <w:rsid w:val="15CA578C"/>
    <w:rsid w:val="161C52F1"/>
    <w:rsid w:val="166B67EA"/>
    <w:rsid w:val="16C531D6"/>
    <w:rsid w:val="16ED20B8"/>
    <w:rsid w:val="176A29DE"/>
    <w:rsid w:val="176C6A6D"/>
    <w:rsid w:val="17B86896"/>
    <w:rsid w:val="17CC0594"/>
    <w:rsid w:val="191166C5"/>
    <w:rsid w:val="1A3A1272"/>
    <w:rsid w:val="1A6938AB"/>
    <w:rsid w:val="1A6B7A18"/>
    <w:rsid w:val="1AE62C1F"/>
    <w:rsid w:val="1B316F0C"/>
    <w:rsid w:val="1B4671D7"/>
    <w:rsid w:val="1BA62EAA"/>
    <w:rsid w:val="1C3A1F70"/>
    <w:rsid w:val="1C93375D"/>
    <w:rsid w:val="1CB73AE0"/>
    <w:rsid w:val="1CED6CF9"/>
    <w:rsid w:val="1D14431E"/>
    <w:rsid w:val="1D2329C7"/>
    <w:rsid w:val="1D2B2EEA"/>
    <w:rsid w:val="1D3A7D4E"/>
    <w:rsid w:val="1D78539C"/>
    <w:rsid w:val="1DB14C0D"/>
    <w:rsid w:val="1DB46A19"/>
    <w:rsid w:val="1DD12460"/>
    <w:rsid w:val="1E4E3AB1"/>
    <w:rsid w:val="1E502F17"/>
    <w:rsid w:val="1E935967"/>
    <w:rsid w:val="1EA66032"/>
    <w:rsid w:val="1ECD620C"/>
    <w:rsid w:val="1ED52782"/>
    <w:rsid w:val="1FC77A98"/>
    <w:rsid w:val="1FCA39DF"/>
    <w:rsid w:val="201E5705"/>
    <w:rsid w:val="202A40A9"/>
    <w:rsid w:val="21A63C04"/>
    <w:rsid w:val="22307F06"/>
    <w:rsid w:val="22AA6AAC"/>
    <w:rsid w:val="22C61B62"/>
    <w:rsid w:val="22D402FC"/>
    <w:rsid w:val="23157672"/>
    <w:rsid w:val="23687A86"/>
    <w:rsid w:val="23CB7951"/>
    <w:rsid w:val="24801192"/>
    <w:rsid w:val="24F37160"/>
    <w:rsid w:val="25005A1B"/>
    <w:rsid w:val="253A197D"/>
    <w:rsid w:val="25BF54C8"/>
    <w:rsid w:val="25E46AA9"/>
    <w:rsid w:val="261455E0"/>
    <w:rsid w:val="26211AAB"/>
    <w:rsid w:val="267E6EFD"/>
    <w:rsid w:val="26A60202"/>
    <w:rsid w:val="26B96187"/>
    <w:rsid w:val="27A22094"/>
    <w:rsid w:val="27AA3110"/>
    <w:rsid w:val="28001E2F"/>
    <w:rsid w:val="280F17AD"/>
    <w:rsid w:val="284F024E"/>
    <w:rsid w:val="28515F1D"/>
    <w:rsid w:val="28FB1A86"/>
    <w:rsid w:val="299E1A89"/>
    <w:rsid w:val="29C94933"/>
    <w:rsid w:val="2A4A36B6"/>
    <w:rsid w:val="2A9578E2"/>
    <w:rsid w:val="2A9A007E"/>
    <w:rsid w:val="2ADA4F38"/>
    <w:rsid w:val="2B471FB3"/>
    <w:rsid w:val="2BF00DE1"/>
    <w:rsid w:val="2C8C4073"/>
    <w:rsid w:val="2D0D2D89"/>
    <w:rsid w:val="2D1B1A54"/>
    <w:rsid w:val="2D6938D9"/>
    <w:rsid w:val="2D844651"/>
    <w:rsid w:val="2D8C0368"/>
    <w:rsid w:val="2D915768"/>
    <w:rsid w:val="2DD368F5"/>
    <w:rsid w:val="2DD938D5"/>
    <w:rsid w:val="2FA07EE4"/>
    <w:rsid w:val="2FC8743B"/>
    <w:rsid w:val="2FCC7A26"/>
    <w:rsid w:val="31016FA3"/>
    <w:rsid w:val="31107B47"/>
    <w:rsid w:val="313E79B5"/>
    <w:rsid w:val="31C5649B"/>
    <w:rsid w:val="31EC03AB"/>
    <w:rsid w:val="32923D3F"/>
    <w:rsid w:val="329F26D5"/>
    <w:rsid w:val="33095DA0"/>
    <w:rsid w:val="332C6031"/>
    <w:rsid w:val="3421711A"/>
    <w:rsid w:val="34364674"/>
    <w:rsid w:val="34A91D2A"/>
    <w:rsid w:val="34B425AD"/>
    <w:rsid w:val="366B4E64"/>
    <w:rsid w:val="36CF0758"/>
    <w:rsid w:val="36E94AFA"/>
    <w:rsid w:val="37296B05"/>
    <w:rsid w:val="379E6A5D"/>
    <w:rsid w:val="37A533D9"/>
    <w:rsid w:val="37DF0E58"/>
    <w:rsid w:val="380A05F1"/>
    <w:rsid w:val="38A709A4"/>
    <w:rsid w:val="38CF35E8"/>
    <w:rsid w:val="38DC2DEC"/>
    <w:rsid w:val="3925145A"/>
    <w:rsid w:val="39811AC3"/>
    <w:rsid w:val="39893D59"/>
    <w:rsid w:val="3A8D0FAB"/>
    <w:rsid w:val="3AA54601"/>
    <w:rsid w:val="3AD7039B"/>
    <w:rsid w:val="3AE1337E"/>
    <w:rsid w:val="3BC767F9"/>
    <w:rsid w:val="3C342CD5"/>
    <w:rsid w:val="3C357C06"/>
    <w:rsid w:val="3C376E41"/>
    <w:rsid w:val="3C8E5AF7"/>
    <w:rsid w:val="3C9B1B7E"/>
    <w:rsid w:val="3D1629E5"/>
    <w:rsid w:val="3D346F52"/>
    <w:rsid w:val="3D687B67"/>
    <w:rsid w:val="3D984E54"/>
    <w:rsid w:val="3DB82C7B"/>
    <w:rsid w:val="3DBD1D98"/>
    <w:rsid w:val="3DE32483"/>
    <w:rsid w:val="3E710014"/>
    <w:rsid w:val="3EEA2F2A"/>
    <w:rsid w:val="3F870779"/>
    <w:rsid w:val="3F8844F1"/>
    <w:rsid w:val="402C4889"/>
    <w:rsid w:val="40387CC5"/>
    <w:rsid w:val="40420B44"/>
    <w:rsid w:val="40672358"/>
    <w:rsid w:val="409C309C"/>
    <w:rsid w:val="40AF0059"/>
    <w:rsid w:val="40F24FB0"/>
    <w:rsid w:val="41006A35"/>
    <w:rsid w:val="412941B0"/>
    <w:rsid w:val="41792401"/>
    <w:rsid w:val="41822FD8"/>
    <w:rsid w:val="41B27C0F"/>
    <w:rsid w:val="423050F8"/>
    <w:rsid w:val="42C03CBA"/>
    <w:rsid w:val="42C43A92"/>
    <w:rsid w:val="446525AE"/>
    <w:rsid w:val="44BC7291"/>
    <w:rsid w:val="44E16B7D"/>
    <w:rsid w:val="45216F7A"/>
    <w:rsid w:val="454115CB"/>
    <w:rsid w:val="459272E1"/>
    <w:rsid w:val="45B63E7B"/>
    <w:rsid w:val="45D74A41"/>
    <w:rsid w:val="46104A6D"/>
    <w:rsid w:val="46AD5FE0"/>
    <w:rsid w:val="46CC73B9"/>
    <w:rsid w:val="473004A5"/>
    <w:rsid w:val="47A67C0A"/>
    <w:rsid w:val="47C702AC"/>
    <w:rsid w:val="47CD2257"/>
    <w:rsid w:val="48114DBB"/>
    <w:rsid w:val="487D6BBD"/>
    <w:rsid w:val="489839F7"/>
    <w:rsid w:val="49067A1A"/>
    <w:rsid w:val="497208EB"/>
    <w:rsid w:val="4A4200BE"/>
    <w:rsid w:val="4A9E2F91"/>
    <w:rsid w:val="4BB072A9"/>
    <w:rsid w:val="4BC863A1"/>
    <w:rsid w:val="4BF62A99"/>
    <w:rsid w:val="4C431ECB"/>
    <w:rsid w:val="4CD93612"/>
    <w:rsid w:val="4CF6538A"/>
    <w:rsid w:val="4D20220D"/>
    <w:rsid w:val="4D694884"/>
    <w:rsid w:val="4DCD5EF0"/>
    <w:rsid w:val="4DDE0FB6"/>
    <w:rsid w:val="4DE7381C"/>
    <w:rsid w:val="4DEB1114"/>
    <w:rsid w:val="4DEF0B37"/>
    <w:rsid w:val="4DFD286B"/>
    <w:rsid w:val="4E263E4D"/>
    <w:rsid w:val="4E5B2FC7"/>
    <w:rsid w:val="4E656D12"/>
    <w:rsid w:val="4EA15013"/>
    <w:rsid w:val="4ED137BE"/>
    <w:rsid w:val="4EDA0ED2"/>
    <w:rsid w:val="4EF25C39"/>
    <w:rsid w:val="4F7D56F4"/>
    <w:rsid w:val="4F951EC7"/>
    <w:rsid w:val="4FE42991"/>
    <w:rsid w:val="50575F45"/>
    <w:rsid w:val="50644151"/>
    <w:rsid w:val="50701320"/>
    <w:rsid w:val="50CC66C6"/>
    <w:rsid w:val="51402E7D"/>
    <w:rsid w:val="51705511"/>
    <w:rsid w:val="51813BD6"/>
    <w:rsid w:val="51F97C7B"/>
    <w:rsid w:val="521560B8"/>
    <w:rsid w:val="525E35BB"/>
    <w:rsid w:val="525F7333"/>
    <w:rsid w:val="52716E4D"/>
    <w:rsid w:val="52996302"/>
    <w:rsid w:val="52A041F2"/>
    <w:rsid w:val="531225F7"/>
    <w:rsid w:val="536F55EA"/>
    <w:rsid w:val="53B250FE"/>
    <w:rsid w:val="53E140F8"/>
    <w:rsid w:val="5409022C"/>
    <w:rsid w:val="541C372E"/>
    <w:rsid w:val="544D1DB1"/>
    <w:rsid w:val="545F0D14"/>
    <w:rsid w:val="548D63DA"/>
    <w:rsid w:val="549F0033"/>
    <w:rsid w:val="55284354"/>
    <w:rsid w:val="55385E9D"/>
    <w:rsid w:val="55910B25"/>
    <w:rsid w:val="55BB516A"/>
    <w:rsid w:val="55CE4284"/>
    <w:rsid w:val="565E796F"/>
    <w:rsid w:val="56622EE6"/>
    <w:rsid w:val="569029BC"/>
    <w:rsid w:val="5732642F"/>
    <w:rsid w:val="57A27139"/>
    <w:rsid w:val="57D45BDD"/>
    <w:rsid w:val="591A2206"/>
    <w:rsid w:val="598F05C5"/>
    <w:rsid w:val="59F667CF"/>
    <w:rsid w:val="5A611B44"/>
    <w:rsid w:val="5A902780"/>
    <w:rsid w:val="5A974541"/>
    <w:rsid w:val="5AFA5E4B"/>
    <w:rsid w:val="5B914A01"/>
    <w:rsid w:val="5BC51D12"/>
    <w:rsid w:val="5BDF51E5"/>
    <w:rsid w:val="5CF43483"/>
    <w:rsid w:val="5D1B5A98"/>
    <w:rsid w:val="5D900CE9"/>
    <w:rsid w:val="5DAE2216"/>
    <w:rsid w:val="5DCF291A"/>
    <w:rsid w:val="5E2D441E"/>
    <w:rsid w:val="5E504046"/>
    <w:rsid w:val="5E7D126D"/>
    <w:rsid w:val="5E7F31BE"/>
    <w:rsid w:val="5F160C0D"/>
    <w:rsid w:val="5F410A39"/>
    <w:rsid w:val="5F594CFF"/>
    <w:rsid w:val="5F7839D9"/>
    <w:rsid w:val="5FF137C1"/>
    <w:rsid w:val="60260BC1"/>
    <w:rsid w:val="60BF3DBF"/>
    <w:rsid w:val="60F4333C"/>
    <w:rsid w:val="610B0F2F"/>
    <w:rsid w:val="621974FF"/>
    <w:rsid w:val="624765A0"/>
    <w:rsid w:val="62B3157B"/>
    <w:rsid w:val="6329229E"/>
    <w:rsid w:val="632D0578"/>
    <w:rsid w:val="63D86F45"/>
    <w:rsid w:val="63F76ACF"/>
    <w:rsid w:val="640B6DBE"/>
    <w:rsid w:val="6439584C"/>
    <w:rsid w:val="644A1BF1"/>
    <w:rsid w:val="645C36D2"/>
    <w:rsid w:val="646031C3"/>
    <w:rsid w:val="64E85F4C"/>
    <w:rsid w:val="64F37AE5"/>
    <w:rsid w:val="655679FB"/>
    <w:rsid w:val="65975EC8"/>
    <w:rsid w:val="65E9543A"/>
    <w:rsid w:val="66507267"/>
    <w:rsid w:val="66882EA5"/>
    <w:rsid w:val="66AF38F3"/>
    <w:rsid w:val="66C20E08"/>
    <w:rsid w:val="676B54B2"/>
    <w:rsid w:val="67834E89"/>
    <w:rsid w:val="678C1DD8"/>
    <w:rsid w:val="67A21D44"/>
    <w:rsid w:val="67C577E1"/>
    <w:rsid w:val="67E1643F"/>
    <w:rsid w:val="68084075"/>
    <w:rsid w:val="681B5129"/>
    <w:rsid w:val="684D4276"/>
    <w:rsid w:val="686312C9"/>
    <w:rsid w:val="688915DD"/>
    <w:rsid w:val="688D23A8"/>
    <w:rsid w:val="68AB2673"/>
    <w:rsid w:val="690600B1"/>
    <w:rsid w:val="69083E29"/>
    <w:rsid w:val="695157D0"/>
    <w:rsid w:val="69992BB4"/>
    <w:rsid w:val="69B661C8"/>
    <w:rsid w:val="6AD56B25"/>
    <w:rsid w:val="6BAF4A30"/>
    <w:rsid w:val="6BF5102E"/>
    <w:rsid w:val="6D81480B"/>
    <w:rsid w:val="6DCC39BB"/>
    <w:rsid w:val="6E0D7A37"/>
    <w:rsid w:val="6E8F2AB8"/>
    <w:rsid w:val="6EAD34A8"/>
    <w:rsid w:val="6ED3037C"/>
    <w:rsid w:val="6F5A0777"/>
    <w:rsid w:val="6F9A0492"/>
    <w:rsid w:val="700F10FE"/>
    <w:rsid w:val="70A950CE"/>
    <w:rsid w:val="70BC5C25"/>
    <w:rsid w:val="70D647FB"/>
    <w:rsid w:val="71DE6BCF"/>
    <w:rsid w:val="72215C43"/>
    <w:rsid w:val="72624E83"/>
    <w:rsid w:val="72CE7E91"/>
    <w:rsid w:val="72DB2E43"/>
    <w:rsid w:val="733410F8"/>
    <w:rsid w:val="7375655F"/>
    <w:rsid w:val="739A500D"/>
    <w:rsid w:val="739C1D3D"/>
    <w:rsid w:val="73B811A6"/>
    <w:rsid w:val="740334B9"/>
    <w:rsid w:val="741033A8"/>
    <w:rsid w:val="7418231F"/>
    <w:rsid w:val="741E2955"/>
    <w:rsid w:val="74224491"/>
    <w:rsid w:val="74A36C7B"/>
    <w:rsid w:val="7509770A"/>
    <w:rsid w:val="751A65D0"/>
    <w:rsid w:val="75F15D9E"/>
    <w:rsid w:val="76761FBD"/>
    <w:rsid w:val="76976D91"/>
    <w:rsid w:val="76A4354A"/>
    <w:rsid w:val="76BC01B9"/>
    <w:rsid w:val="76F9562B"/>
    <w:rsid w:val="770B3462"/>
    <w:rsid w:val="778375A9"/>
    <w:rsid w:val="77895CD1"/>
    <w:rsid w:val="77DB4CAF"/>
    <w:rsid w:val="78406F27"/>
    <w:rsid w:val="78426D38"/>
    <w:rsid w:val="784B08F9"/>
    <w:rsid w:val="78967EE6"/>
    <w:rsid w:val="794800DA"/>
    <w:rsid w:val="7A536490"/>
    <w:rsid w:val="7A707A80"/>
    <w:rsid w:val="7A92187A"/>
    <w:rsid w:val="7AB71463"/>
    <w:rsid w:val="7AD54A83"/>
    <w:rsid w:val="7B1E128A"/>
    <w:rsid w:val="7BF03718"/>
    <w:rsid w:val="7C634321"/>
    <w:rsid w:val="7D3F2465"/>
    <w:rsid w:val="7D58415F"/>
    <w:rsid w:val="7D5B0252"/>
    <w:rsid w:val="7D6D2002"/>
    <w:rsid w:val="7D8762A4"/>
    <w:rsid w:val="7DE8674C"/>
    <w:rsid w:val="7E01111B"/>
    <w:rsid w:val="7E1779E1"/>
    <w:rsid w:val="7E301A00"/>
    <w:rsid w:val="7E732430"/>
    <w:rsid w:val="7EA002A1"/>
    <w:rsid w:val="7EE236F9"/>
    <w:rsid w:val="7F17770C"/>
    <w:rsid w:val="7F863EFF"/>
    <w:rsid w:val="7F9658C9"/>
    <w:rsid w:val="7FE40652"/>
    <w:rsid w:val="7FF158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kern w:val="2"/>
      <w:sz w:val="21"/>
      <w:szCs w:val="24"/>
      <w:lang w:val="en-US" w:eastAsia="zh-CN" w:bidi="ar-SA"/>
    </w:rPr>
  </w:style>
  <w:style w:type="paragraph" w:styleId="2">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43"/>
      <w:szCs w:val="43"/>
      <w:lang w:val="en-US" w:eastAsia="en-US" w:bidi="ar-SA"/>
    </w:rPr>
  </w:style>
  <w:style w:type="paragraph" w:styleId="4">
    <w:name w:val="Body Text Indent"/>
    <w:basedOn w:val="1"/>
    <w:next w:val="5"/>
    <w:qFormat/>
    <w:uiPriority w:val="0"/>
    <w:pPr>
      <w:ind w:firstLine="645"/>
    </w:pPr>
    <w:rPr>
      <w:rFonts w:ascii="楷体_GB2312" w:hAnsi="Times New Roman"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99"/>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spacing w:after="120"/>
      <w:ind w:left="420" w:leftChars="200" w:firstLine="420" w:firstLineChars="200"/>
    </w:pPr>
    <w:rPr>
      <w:rFonts w:ascii="Times New Roman" w:eastAsia="宋体"/>
      <w:sz w:val="21"/>
      <w:szCs w:val="22"/>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5067</Words>
  <Characters>5360</Characters>
  <Lines>0</Lines>
  <Paragraphs>0</Paragraphs>
  <TotalTime>1</TotalTime>
  <ScaleCrop>false</ScaleCrop>
  <LinksUpToDate>false</LinksUpToDate>
  <CharactersWithSpaces>5458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凤凰于飞</cp:lastModifiedBy>
  <cp:lastPrinted>2024-12-12T00:41:00Z</cp:lastPrinted>
  <dcterms:modified xsi:type="dcterms:W3CDTF">2025-01-24T07:55:27Z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9B8A9E92363C40C6841BD9C1F000FE1D_13</vt:lpwstr>
  </property>
  <property fmtid="{D5CDD505-2E9C-101B-9397-08002B2CF9AE}" pid="4" name="KSOTemplateDocerSaveRecord">
    <vt:lpwstr>eyJoZGlkIjoiNmE3MjczOWFiOWZjZDIzYmZiZTk2ODNkNWQ3NWVjNjgiLCJ1c2VySWQiOiI1MjEyMTU5MDAifQ==</vt:lpwstr>
  </property>
</Properties>
</file>